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240" w:before="24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Especificación Detallada de Requisitos de Software - SISCOP V2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225" w:before="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Proyecto: Sistema de Control de Peso (SISCOP)</w:t>
      </w:r>
    </w:p>
    <w:p w:rsidR="00000000" w:rsidDel="00000000" w:rsidP="00000000" w:rsidRDefault="00000000" w:rsidRPr="00000000" w14:paraId="00000003">
      <w:pPr>
        <w:widowControl w:val="0"/>
        <w:spacing w:after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Destinatario:</w:t>
      </w:r>
      <w:r w:rsidDel="00000000" w:rsidR="00000000" w:rsidRPr="00000000">
        <w:rPr>
          <w:rtl w:val="0"/>
        </w:rPr>
        <w:t xml:space="preserve"> Ministerio de Salud (MINSA)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widowControl w:val="0"/>
        <w:spacing w:after="240" w:before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widowControl w:val="0"/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Este documento define los lineamientos técnicos y funcionales del Sistema de Control de Peso (SISCOP). La plataforma está diseñada para combatir los índices de malnutrición y obesidad en el país mediante el monitoreo constante, la gestión de datos en tiempo real y la interoperabilidad con los sistemas de salud pública vigentes.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widowControl w:val="0"/>
        <w:spacing w:after="240" w:before="0" w:line="24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Actores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fe59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ffe59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y Responsabilidades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 de Salud (Nutricionista/Médico)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20" w:before="12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principal encargado de la toma de medidas antropométricas, registro de pacientes y visualización de alertas clínicas.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de Centro de Salud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120" w:before="12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Gestiona los niveles de acceso del personal dentro de un hospital o posta específica y genera reportes locales.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Analista MINSA (Nivel Central)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120" w:before="12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Acceso a módulos de Business Intelligence (BI) para observar tendencias epidemiológicas nacionales sin acceso a datos identificables de pacientes.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Paciente (Ciudadano)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120" w:before="12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Actor de consulta que puede visualizar su progreso personal y recibir recomendaciones preventivas a través de un portal ciudadano.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del Sistema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120" w:before="12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Encargado del mantenimiento técnico, backups, gestión de la infraestructura en la nube y soporte de segundo nivel.</w:t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bookmarkStart w:colFirst="0" w:colLast="0" w:name="_w0w6mw95jdx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Requisitos Funcionales (RF) Detallados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166.22314453125" w:hRule="atLeast"/>
          <w:tblHeader w:val="1"/>
        </w:trPr>
        <w:tc>
          <w:tcPr>
            <w:shd w:fill="c9da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9da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Requisito</w:t>
            </w:r>
          </w:p>
        </w:tc>
        <w:tc>
          <w:tcPr>
            <w:shd w:fill="c9da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Técnica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 Federada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20" w:before="12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integrarse con el servicio de identidad del Estado para permitir el acceso mediante credenciales institucionales.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RENIEC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20" w:before="12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 ingresar un DNI, el sistema debe consumir el API de RENIEC para autocompletar nombres, apellidos y fecha de nacimiento.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Antropometría Avanzada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20" w:before="12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el ingreso de peso, talla, perímetros (cintura, cadera) y pliegues cutáneos con validación de rangos lógicos.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de Cálculo Nutricional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120" w:before="12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Cálculo automático de IMC, porcentaje de grasa estimado y diagnóstico según las tablas vigentes de la OMS y el INS.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Epidemiológico Georreferenciado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120" w:before="12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Visualización de mapas de calor para identificar zonas con altos índices de anemia o sobrepeso en tiempo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de Alertas Tempranas (SAT)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120" w:before="12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Envío automático de notificaciones al personal de salud cuando un paciente pediátrico caiga por debajo de 2 desviaciones estándar en su curva de crecimiento.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RF-07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Exportación de Datos Normados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120" w:before="12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Capacidad de exportar reportes en formatos compatibles con el sistema HIS (Health Information System) del MINSA.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Planes Alimenticios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120" w:before="12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Sugerencia de dietas basadas en productos locales de la región del paciente (costa, sierra, selva).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Historial de Auditoría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120" w:before="12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 inalterable de quién accedió, modificó o eliminó cualquier registro clínico (Log de auditoría).</w:t>
            </w:r>
          </w:p>
        </w:tc>
      </w:tr>
    </w:tbl>
    <w:p w:rsidR="00000000" w:rsidDel="00000000" w:rsidP="00000000" w:rsidRDefault="00000000" w:rsidRPr="00000000" w14:paraId="00000033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Requisitos No Funcionales (RNF)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330"/>
        <w:tblGridChange w:id="0">
          <w:tblGrid>
            <w:gridCol w:w="3000"/>
            <w:gridCol w:w="3000"/>
            <w:gridCol w:w="333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9da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Requisito</w:t>
            </w:r>
          </w:p>
        </w:tc>
        <w:tc>
          <w:tcPr>
            <w:shd w:fill="c9da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Implementación de cifrado AES-256 para la protección de datos en reposo y uso obligatorio de protocolos TLS 1.3 para asegurar el túnel de comunicación de los datos en tránsito.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Diseño de arquitectura basada en microservicios con políticas de auto-scaling (escalado horizontal) para garantizar un nivel de servicio (Uptime) del 99.9%.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Interoperabilidad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Cumplimiento estricto con el estándar internacional HL7 FHIR (Fast Healthcare Interoperability Resources) para el intercambio y consumo de datos clínicos con otros sistemas de salud.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Resiliencia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Capacidad de funcionamiento offline mediante persistencia local. El sistema debe permitir la operación en zonas rurales y ejecutar una sincronización bidireccional automática al detectar una conexión estable.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Tiempo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Optimización de índices y consultas en la base de datos para asegurar que el tiempo de ejecución (latencia de consulta) no supere los 300ms bajo condiciones de carga nominal.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