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CAC2" w14:textId="05558FA0" w:rsidR="006F0F8A" w:rsidRPr="004473A7" w:rsidRDefault="00000000" w:rsidP="004473A7">
      <w:pPr>
        <w:pStyle w:val="Heading1"/>
      </w:pPr>
      <w:r w:rsidRPr="004473A7">
        <w:t xml:space="preserve">POBLACIÓN DE ESTUDIO</w:t>
      </w:r>
    </w:p>
    <w:p w14:paraId="404B689E" w14:textId="77777777" w:rsidR="006F0F8A" w:rsidRPr="004473A7" w:rsidRDefault="00000000" w:rsidP="004473A7">
      <w:pPr>
        <w:pStyle w:val="Spaced"/>
      </w:pPr>
      <w:r w:rsidRPr="004473A7">
        <w:t xml:space="preserve">La población objetivo de interés en este estudio son los participantes con adenocarcinoma gástrico, de la unión gastroesofágica o del esófago distal, localmente avanzado o metastásico, confirmado histológicamente, irresecable, que expresa CLDN18.2 y que ha progresado después de uno o más regímenes previos, incluidos una fluoropirimidina y un agente de platino.</w:t>
      </w:r>
    </w:p>
    <w:p w14:paraId="27F93DDB" w14:textId="77777777" w:rsidR="006F0F8A" w:rsidRPr="004473A7" w:rsidRDefault="00000000" w:rsidP="004473A7">
      <w:pPr>
        <w:pStyle w:val="Spaced"/>
      </w:pPr>
      <w:r w:rsidRPr="004473A7">
        <w:t xml:space="preserve">No se permite la aprobación prospectiva de desviaciones del protocolo a los criterios de reclutamiento e inscripción, también conocidas como exenciones o exenciones del protocolo.</w:t>
      </w:r>
    </w:p>
    <w:p w14:paraId="1FC6C6D6" w14:textId="77777777" w:rsidR="006F0F8A" w:rsidRPr="004473A7" w:rsidRDefault="00000000" w:rsidP="004473A7">
      <w:pPr>
        <w:pStyle w:val="Spaced"/>
      </w:pPr>
      <w:r w:rsidRPr="004473A7">
        <w:t xml:space="preserve">Cada participante debe cumplir todos los criterios de inclusión y ninguno de los criterios de exclusión de este estudio para poder ser asignado al estudio.</w:t>
      </w:r>
    </w:p>
    <w:p w14:paraId="27C6D623" w14:textId="2F295D86" w:rsidR="006F0F8A" w:rsidRPr="004473A7" w:rsidRDefault="00000000" w:rsidP="004473A7">
      <w:pPr>
        <w:pStyle w:val="Spaced"/>
      </w:pPr>
      <w:r w:rsidRPr="004473A7">
        <w:t xml:space="preserve">Los participantes que no cumplan con los requisitos de elegibilidad no pasarán la prueba; consulte la Sección </w:t>
      </w:r>
      <w:hyperlink w:anchor="_Screen_Failures" w:history="1">
        <w:r w:rsidRPr="00535D49">
          <w:rPr>
            <w:rStyle w:val="Hyperlink"/>
          </w:rPr>
          <w:t xml:space="preserve">5.4</w:t>
        </w:r>
      </w:hyperlink>
      <w:r w:rsidRPr="004473A7">
        <w:t xml:space="preserve">.</w:t>
      </w:r>
    </w:p>
    <w:p w14:paraId="1211C0C1" w14:textId="1124E3B1" w:rsidR="006F0F8A" w:rsidRPr="004473A7" w:rsidRDefault="00000000" w:rsidP="00C31F48">
      <w:pPr>
        <w:pStyle w:val="Heading2"/>
      </w:pPr>
      <w:r w:rsidRPr="00C31F48">
        <w:t xml:space="preserve">Criterios de inclusión</w:t>
      </w:r>
      <w:r w:rsidRPr="004473A7">
        <w:t xml:space="preserve"/>
      </w:r>
    </w:p>
    <w:p w14:paraId="4E1C5CE4" w14:textId="77777777" w:rsidR="006F0F8A" w:rsidRPr="004473A7" w:rsidRDefault="00000000" w:rsidP="004473A7">
      <w:pPr>
        <w:pStyle w:val="Spaced"/>
      </w:pPr>
      <w:r w:rsidRPr="004473A7">
        <w:t xml:space="preserve">Los participantes son elegibles para ser incluidos en el estudio solo si se cumplen todos los criterios siguientes:</w:t>
      </w:r>
    </w:p>
    <w:p w14:paraId="31247A2F" w14:textId="77777777" w:rsidR="006F0F8A" w:rsidRPr="004473A7" w:rsidRDefault="00000000" w:rsidP="00C31F48">
      <w:pPr>
        <w:pStyle w:val="T1"/>
      </w:pPr>
      <w:r w:rsidRPr="004473A7">
        <w:t xml:space="preserve">Consentimiento informado</w:t>
      </w:r>
    </w:p>
    <w:p w14:paraId="5F70315E" w14:textId="1E00D26F" w:rsidR="006F0F8A" w:rsidRPr="004473A7" w:rsidRDefault="00000000" w:rsidP="00C31F48">
      <w:pPr>
        <w:pStyle w:val="1"/>
      </w:pPr>
      <w:r w:rsidRPr="004473A7">
        <w:t xml:space="preserve">Capaz de dar su consentimiento informado firmado antes de cualquier procedimiento, muestreo y análisis obligatorio específico del estudio, tal como se describe en el </w:t>
      </w:r>
      <w:r w:rsidRPr="00535D49">
        <w:rPr>
          <w:color w:val="0000FF"/>
        </w:rPr>
        <w:t xml:space="preserve">Apéndice A</w:t>
      </w:r>
      <w:r w:rsidRPr="004473A7">
        <w:t xml:space="preserve">, que incluye el cumplimiento de los requisitos y restricciones enumerados en el ICF y en este CSP.</w:t>
      </w:r>
    </w:p>
    <w:p w14:paraId="47B5D0B1" w14:textId="50DE8418" w:rsidR="006F0F8A" w:rsidRPr="004473A7" w:rsidRDefault="00000000" w:rsidP="00C31F48">
      <w:pPr>
        <w:pStyle w:val="1"/>
      </w:pPr>
      <w:r w:rsidRPr="004473A7">
        <w:t xml:space="preserve">Provisión de información de investigación de la Iniciativa de genómica opcional firmada y fechada</w:t>
      </w:r>
      <w:r w:rsidR="00C31F48">
        <w:t xml:space="preserve"> </w:t>
      </w:r>
      <w:r w:rsidRPr="004473A7">
        <w:t xml:space="preserve">y formulario de consentimiento antes de la recolección de muestras para la investigación de la Iniciativa de genómica opcional que respalde la Iniciativa genómica (ver Apéndice </w:t>
      </w:r>
      <w:r w:rsidRPr="00535D49">
        <w:rPr>
          <w:color w:val="0000FF"/>
        </w:rPr>
        <w:t xml:space="preserve">D 2</w:t>
      </w:r>
      <w:r w:rsidRPr="004473A7">
        <w:t xml:space="preserve">). Los participantes que no den su consentimiento para la investigación de la Iniciativa de genómica opcional seguirán siendo elegibles para el estudio principal.</w:t>
      </w:r>
    </w:p>
    <w:p w14:paraId="2513EF3E" w14:textId="77777777" w:rsidR="006F0F8A" w:rsidRPr="00C31F48" w:rsidRDefault="00000000" w:rsidP="00C31F48">
      <w:pPr>
        <w:pStyle w:val="T1"/>
      </w:pPr>
      <w:r w:rsidRPr="004473A7">
        <w:t xml:space="preserve">Edad</w:t>
      </w:r>
    </w:p>
    <w:p w14:paraId="5E55B673" w14:textId="264EA8FD" w:rsidR="006F0F8A" w:rsidRPr="004473A7" w:rsidRDefault="00000000" w:rsidP="00C31F48">
      <w:pPr>
        <w:pStyle w:val="1"/>
      </w:pPr>
      <w:r w:rsidRPr="004473A7">
        <w:t xml:space="preserve">El participante debe tener al menos 18 años o la edad legal de consentimiento en la jurisdicción en la que se lleva a cabo el estudio al momento de firmar el ICF.</w:t>
      </w:r>
      <w:r w:rsidR="00C31F48">
        <w:t xml:space="preserve"/>
      </w:r>
      <w:r w:rsidRPr="004473A7">
        <w:t xml:space="preserve"/>
      </w:r>
    </w:p>
    <w:p w14:paraId="194549DF" w14:textId="77777777" w:rsidR="006F0F8A" w:rsidRPr="004473A7" w:rsidRDefault="00000000" w:rsidP="00C31F48">
      <w:pPr>
        <w:pStyle w:val="T1"/>
      </w:pPr>
      <w:r w:rsidRPr="004473A7">
        <w:t xml:space="preserve">Tipo de participante y características de la enfermedad</w:t>
      </w:r>
    </w:p>
    <w:p w14:paraId="4CD89374" w14:textId="43DB6BE8" w:rsidR="006F0F8A" w:rsidRPr="004473A7" w:rsidRDefault="00000000" w:rsidP="00C31F48">
      <w:pPr>
        <w:pStyle w:val="1"/>
      </w:pPr>
      <w:r w:rsidRPr="004473A7">
        <w:t xml:space="preserve">Adenocarcinoma localmente avanzado o metastásico, irresecable, confirmado histológicamente de</w:t>
      </w:r>
      <w:r w:rsidR="00C31F48">
        <w:t xml:space="preserve"> </w:t>
      </w:r>
      <w:r w:rsidRPr="004473A7">
        <w:t xml:space="preserve">gástrico, de la unión gastroesofágica o del esófago distal (tercio distal del esófago) y el siguiente requisito:</w:t>
      </w:r>
    </w:p>
    <w:p w14:paraId="0DD224C0" w14:textId="0502D9C1" w:rsidR="006F0F8A" w:rsidRPr="004473A7" w:rsidRDefault="00000000" w:rsidP="00B9699B">
      <w:pPr>
        <w:pStyle w:val="a"/>
      </w:pPr>
      <w:r w:rsidRPr="004473A7">
        <w:t xml:space="preserve">Participantes con expresión positiva de CLDN18.2 definida como expresión de células tumorales </w:t>
      </w:r>
      <w:proofErr w:type="spellStart"/>
      <w:r w:rsidRPr="004473A7">
        <w:t xml:space="preserve"> del 25 % </w:t>
      </w:r>
      <w:proofErr w:type="spellEnd"/>
      <w:r w:rsidRPr="004473A7">
        <w:t xml:space="preserve">con IHC a cualquier intensidad, determinada prospectivamente mediante pruebas centrales de IHC utilizando el ensayo de IHC Ventana CLDN18.2 (SP455) en investigación (ensayo prototipo y/o ensayo validado o una prueba central alternativa según sea necesario) de un tumor de archivo recolectado en los últimos 24 meses o de una biopsia reciente. Para los participantes que hayan recibido terapias dirigidas a CLDN18.2 previamente, se debe realizar una nueva biopsia al momento de la progresión para realizar pruebas para determinar la expresión de CLDN18.2. Los participantes con estado desconocido de CLDN18.2 o expresión de células tumorales CLDN18.2 &lt;25 % con IHC a cualquier intensidad según el resultado de la prueba central no son elegibles para el estudio.</w:t>
      </w:r>
      <w:r w:rsidRPr="00535D49">
        <w:rPr>
          <w:u w:val="single"/>
        </w:rPr>
        <w:t xml:space="preserve"/>
      </w:r>
      <w:r w:rsidRPr="004473A7">
        <w:t xml:space="preserve"/>
      </w:r>
      <w:r w:rsidRPr="00B9699B">
        <w:t xml:space="preserve"/>
      </w:r>
      <w:r w:rsidRPr="004473A7">
        <w:t xml:space="preserve"/>
      </w:r>
      <w:r w:rsidR="00C31F48">
        <w:t xml:space="preserve"/>
      </w:r>
      <w:r w:rsidRPr="004473A7">
        <w:t xml:space="preserve"/>
      </w:r>
      <w:r w:rsidRPr="004473A7">
        <w:lastRenderedPageBreak/>
        <w:t xml:space="preserve"/>
      </w:r>
      <w:proofErr w:type="spellStart"/>
      <w:r w:rsidRPr="004473A7">
        <w:t xml:space="preserve"/>
      </w:r>
      <w:proofErr w:type="spellEnd"/>
      <w:r w:rsidRPr="004473A7">
        <w:t xml:space="preserve"/>
      </w:r>
    </w:p>
    <w:p w14:paraId="51D89205" w14:textId="330654A0" w:rsidR="006F0F8A" w:rsidRPr="004473A7" w:rsidRDefault="00000000" w:rsidP="00B9699B">
      <w:pPr>
        <w:pStyle w:val="a"/>
      </w:pPr>
      <w:r w:rsidRPr="004473A7">
        <w:t xml:space="preserve">Los participantes deben someterse a una prueba local de HER2 (o haberse realizado una) mediante IHC/ISH.</w:t>
      </w:r>
    </w:p>
    <w:p w14:paraId="0AFFBA6B" w14:textId="661B71DA" w:rsidR="006F0F8A" w:rsidRPr="004473A7" w:rsidRDefault="00000000" w:rsidP="00B9699B">
      <w:pPr>
        <w:pStyle w:val="1"/>
      </w:pPr>
      <w:r w:rsidRPr="004473A7">
        <w:t xml:space="preserve">Progresión de la enfermedad durante o después de al menos un régimen previo para enfermedad avanzada o metastásica</w:t>
      </w:r>
      <w:r w:rsidR="00B9699B">
        <w:t xml:space="preserve"> </w:t>
      </w:r>
      <w:r w:rsidRPr="004473A7">
        <w:t xml:space="preserve">, que incluía una fluoropirimidina y un platino, para enfermedad avanzada o metastásica. NOTA:</w:t>
      </w:r>
    </w:p>
    <w:p w14:paraId="0F9F5ACA" w14:textId="3DF6ED09" w:rsidR="006F0F8A" w:rsidRPr="004473A7" w:rsidRDefault="00000000" w:rsidP="00B9699B">
      <w:pPr>
        <w:pStyle w:val="a"/>
        <w:numPr>
          <w:ilvl w:val="0"/>
          <w:numId w:val="7"/>
        </w:numPr>
      </w:pPr>
      <w:r w:rsidRPr="004473A7">
        <w:t xml:space="preserve">La progresión dentro de los 6 meses posteriores a una quimioterapia adyuvante o neoadyuvante previa se considera equivalente a la progresión con un régimen para enfermedad avanzada o metastásica.</w:t>
      </w:r>
    </w:p>
    <w:p w14:paraId="6F6AA889" w14:textId="512125EA" w:rsidR="006F0F8A" w:rsidRPr="004473A7" w:rsidRDefault="00000000" w:rsidP="00B9699B">
      <w:pPr>
        <w:pStyle w:val="a"/>
      </w:pPr>
      <w:r w:rsidRPr="004473A7">
        <w:t xml:space="preserve">Si uno de los componentes de una terapia combinada previa se interrumpió debido a un EA y el otro continuó, esto se considera como "un régimen previo".</w:t>
      </w:r>
    </w:p>
    <w:p w14:paraId="69D06F9A" w14:textId="7CC2F1BF" w:rsidR="006F0F8A" w:rsidRPr="004473A7" w:rsidRDefault="00000000" w:rsidP="00B9699B">
      <w:pPr>
        <w:pStyle w:val="a"/>
      </w:pPr>
      <w:r w:rsidRPr="004473A7">
        <w:t xml:space="preserve">Si el tratamiento previo se interrumpe debido a una mala tolerabilidad o a un efecto adverso sin progresión documentada, no se considera que se trate de un "régimen previo".</w:t>
      </w:r>
    </w:p>
    <w:p w14:paraId="7C564D12" w14:textId="1662FFB9" w:rsidR="006F0F8A" w:rsidRPr="004473A7" w:rsidRDefault="00000000" w:rsidP="00B9699B">
      <w:pPr>
        <w:pStyle w:val="a"/>
      </w:pPr>
      <w:r w:rsidRPr="004473A7">
        <w:t xml:space="preserve">El cambio en la dosis o vía de administración (p. ej., fluoropirimidina intravenosa u oral) del régimen previo sin progresión se considera "un régimen previo".</w:t>
      </w:r>
      <w:proofErr w:type="spellStart"/>
      <w:r w:rsidRPr="004473A7">
        <w:t xml:space="preserve"/>
      </w:r>
      <w:proofErr w:type="spellEnd"/>
      <w:r w:rsidRPr="004473A7">
        <w:t xml:space="preserve"/>
      </w:r>
    </w:p>
    <w:p w14:paraId="15D79B7C" w14:textId="21CA9771" w:rsidR="006F0F8A" w:rsidRPr="004473A7" w:rsidRDefault="00000000" w:rsidP="00B9699B">
      <w:pPr>
        <w:pStyle w:val="a"/>
      </w:pPr>
      <w:r w:rsidRPr="004473A7">
        <w:t xml:space="preserve">Son elegibles los participantes que recibieron previamente un inhibidor del punto de control inmunitario o un anticuerpo monoclonal dirigido al gen CLDN18.2.</w:t>
      </w:r>
    </w:p>
    <w:p w14:paraId="0B74A5EA" w14:textId="770FB4B5" w:rsidR="006F0F8A" w:rsidRPr="004473A7" w:rsidRDefault="00B9699B" w:rsidP="00B9699B">
      <w:pPr>
        <w:pStyle w:val="1"/>
      </w:pPr>
      <w:r>
        <w:t xml:space="preserve">Debe</w:t>
      </w:r>
      <w:r w:rsidRPr="004473A7">
        <w:t xml:space="preserve">tener al menos una lesión medible o evaluable evaluada por el investigador según RECIST 1.1.</w:t>
      </w:r>
    </w:p>
    <w:p w14:paraId="150DA886" w14:textId="733472B2" w:rsidR="006F0F8A" w:rsidRPr="004473A7" w:rsidRDefault="00000000" w:rsidP="00B9699B">
      <w:pPr>
        <w:pStyle w:val="a"/>
        <w:numPr>
          <w:ilvl w:val="0"/>
          <w:numId w:val="8"/>
        </w:numPr>
      </w:pPr>
      <w:r w:rsidRPr="004473A7">
        <w:t xml:space="preserve">Una lesión previamente irradiada puede considerarse una lesión diana si la lesión ha progresado después de la última radioterapia y está bien definida.</w:t>
      </w:r>
    </w:p>
    <w:p w14:paraId="4806DE18" w14:textId="3C737DD4" w:rsidR="006F0F8A" w:rsidRPr="004473A7" w:rsidRDefault="00000000" w:rsidP="00B9699B">
      <w:pPr>
        <w:pStyle w:val="a"/>
        <w:numPr>
          <w:ilvl w:val="0"/>
          <w:numId w:val="8"/>
        </w:numPr>
      </w:pPr>
      <w:r w:rsidRPr="004473A7">
        <w:t xml:space="preserve">Para los participantes que se someten a biopsias durante la selección y/o el tratamiento, se prefiere, aunque no es obligatorio, que la lesión biopsiada sea distinta de cualquier lesión objetivo utilizada en la evaluación RECIST 1.1.</w:t>
      </w:r>
    </w:p>
    <w:p w14:paraId="1FDC73F2" w14:textId="00D939E1" w:rsidR="006F0F8A" w:rsidRPr="004473A7" w:rsidRDefault="00000000" w:rsidP="00B9699B">
      <w:pPr>
        <w:pStyle w:val="1"/>
      </w:pPr>
      <w:r w:rsidRPr="004473A7">
        <w:t xml:space="preserve">Estado funcional ECOG de 0 o 1 sin deterioro durante las 2 semanas anteriores</w:t>
      </w:r>
      <w:r w:rsidR="00B9699B">
        <w:t xml:space="preserve"> </w:t>
      </w:r>
      <w:r w:rsidRPr="004473A7">
        <w:t xml:space="preserve">al inicio o al día de la primera dosis.</w:t>
      </w:r>
    </w:p>
    <w:p w14:paraId="6758D218" w14:textId="6CA80FFC" w:rsidR="006F0F8A" w:rsidRPr="004473A7" w:rsidRDefault="00000000" w:rsidP="00B9699B">
      <w:pPr>
        <w:pStyle w:val="1"/>
      </w:pPr>
      <w:r w:rsidRPr="004473A7">
        <w:t xml:space="preserve">Esperanza de vida prevista de </w:t>
      </w:r>
      <w:r w:rsidRPr="00535D49">
        <w:rPr>
          <w:u w:val="single"/>
        </w:rPr>
        <w:t xml:space="preserve">&gt;</w:t>
      </w:r>
      <w:r w:rsidRPr="004473A7">
        <w:t xml:space="preserve">12 semanas.</w:t>
      </w:r>
    </w:p>
    <w:p w14:paraId="32926A99" w14:textId="77777777" w:rsidR="00535D49" w:rsidRDefault="00000000" w:rsidP="00B9699B">
      <w:pPr>
        <w:pStyle w:val="1"/>
      </w:pPr>
      <w:r w:rsidRPr="004473A7">
        <w:t xml:space="preserve">Función adecuada de los órganos y de la médula ósea como se muestra en la </w:t>
      </w:r>
      <w:r w:rsidRPr="00535D49">
        <w:rPr>
          <w:color w:val="0000FF"/>
        </w:rPr>
        <w:t xml:space="preserve">Tabla 7</w:t>
      </w:r>
      <w:r w:rsidRPr="004473A7">
        <w:t xml:space="preserve">.</w:t>
      </w:r>
    </w:p>
    <w:p w14:paraId="4A04A6A2" w14:textId="36104992" w:rsidR="006F0F8A" w:rsidRPr="00535D49" w:rsidRDefault="00000000" w:rsidP="00535D49">
      <w:pPr>
        <w:keepNext/>
        <w:jc w:val="center"/>
        <w:rPr>
          <w:b/>
          <w:bCs/>
          <w:sz w:val="20"/>
          <w:szCs w:val="20"/>
        </w:rPr>
      </w:pPr>
      <w:r w:rsidRPr="00535D49">
        <w:rPr>
          <w:b/>
          <w:bCs/>
        </w:rPr>
        <w:lastRenderedPageBreak/>
        <w:t xml:space="preserve">Tabla 7</w:t>
      </w:r>
      <w:r w:rsidR="00B9699B" w:rsidRPr="00535D49">
        <w:rPr>
          <w:b/>
          <w:bCs/>
        </w:rPr>
        <w:t xml:space="preserve"> </w:t>
      </w:r>
      <w:r w:rsidRPr="00535D49">
        <w:rPr>
          <w:b/>
          <w:bCs/>
        </w:rPr>
        <w:t xml:space="preserve">Criterios</w:t>
      </w:r>
      <w:r w:rsidR="00B9699B" w:rsidRPr="00535D49">
        <w:rPr>
          <w:b/>
          <w:bCs/>
        </w:rPr>
        <w:t xml:space="preserve"> </w:t>
      </w:r>
      <w:r w:rsidRPr="00535D49">
        <w:rPr>
          <w:b/>
          <w:bCs/>
        </w:rPr>
        <w:t xml:space="preserve">para una función adecuada de los órganos y la médula ósea</w:t>
      </w:r>
    </w:p>
    <w:tbl>
      <w:tblPr>
        <w:tblOverlap w:val="never"/>
        <w:tblW w:w="9360" w:type="dxa"/>
        <w:tblLayout w:type="fixed"/>
        <w:tblCellMar>
          <w:top w:w="29" w:type="dxa"/>
          <w:left w:w="43" w:type="dxa"/>
          <w:bottom w:w="29" w:type="dxa"/>
          <w:right w:w="43" w:type="dxa"/>
        </w:tblCellMar>
        <w:tblLook w:val="0000" w:firstRow="0" w:lastRow="0" w:firstColumn="0" w:lastColumn="0" w:noHBand="0" w:noVBand="0"/>
      </w:tblPr>
      <w:tblGrid>
        <w:gridCol w:w="1708"/>
        <w:gridCol w:w="2161"/>
        <w:gridCol w:w="5491"/>
      </w:tblGrid>
      <w:tr w:rsidR="006F0F8A" w:rsidRPr="00B9699B" w14:paraId="635C63FA" w14:textId="77777777" w:rsidTr="009942CF">
        <w:trPr>
          <w:trHeight w:val="20"/>
        </w:trPr>
        <w:tc>
          <w:tcPr>
            <w:tcW w:w="3732" w:type="dxa"/>
            <w:gridSpan w:val="2"/>
            <w:tcBorders>
              <w:top w:val="single" w:sz="4" w:space="0" w:color="auto"/>
              <w:left w:val="single" w:sz="4" w:space="0" w:color="auto"/>
            </w:tcBorders>
            <w:shd w:val="clear" w:color="auto" w:fill="auto"/>
          </w:tcPr>
          <w:p w14:paraId="2F7978E2" w14:textId="77777777" w:rsidR="006F0F8A" w:rsidRPr="009942CF" w:rsidRDefault="00000000" w:rsidP="00535D49">
            <w:pPr>
              <w:keepNext/>
              <w:jc w:val="center"/>
              <w:rPr>
                <w:b/>
                <w:bCs/>
                <w:sz w:val="20"/>
                <w:szCs w:val="20"/>
              </w:rPr>
            </w:pPr>
            <w:r w:rsidRPr="009942CF">
              <w:rPr>
                <w:b/>
                <w:bCs/>
                <w:sz w:val="20"/>
                <w:szCs w:val="20"/>
              </w:rPr>
              <w:t xml:space="preserve">Parámetro</w:t>
            </w:r>
          </w:p>
        </w:tc>
        <w:tc>
          <w:tcPr>
            <w:tcW w:w="5297" w:type="dxa"/>
            <w:tcBorders>
              <w:top w:val="single" w:sz="4" w:space="0" w:color="auto"/>
              <w:left w:val="single" w:sz="4" w:space="0" w:color="auto"/>
              <w:right w:val="single" w:sz="4" w:space="0" w:color="auto"/>
            </w:tcBorders>
            <w:shd w:val="clear" w:color="auto" w:fill="auto"/>
          </w:tcPr>
          <w:p w14:paraId="621F3C62" w14:textId="77777777" w:rsidR="006F0F8A" w:rsidRPr="009942CF" w:rsidRDefault="00000000" w:rsidP="00535D49">
            <w:pPr>
              <w:keepNext/>
              <w:jc w:val="center"/>
              <w:rPr>
                <w:b/>
                <w:bCs/>
                <w:sz w:val="20"/>
                <w:szCs w:val="20"/>
              </w:rPr>
            </w:pPr>
            <w:r w:rsidRPr="009942CF">
              <w:rPr>
                <w:b/>
                <w:bCs/>
                <w:sz w:val="20"/>
                <w:szCs w:val="20"/>
              </w:rPr>
              <w:t xml:space="preserve">Valor</w:t>
            </w:r>
          </w:p>
        </w:tc>
      </w:tr>
      <w:tr w:rsidR="006F0F8A" w:rsidRPr="00B9699B" w14:paraId="6999BC89"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6A7448A2" w14:textId="77777777" w:rsidR="006F0F8A" w:rsidRPr="00B9699B" w:rsidRDefault="00000000" w:rsidP="00535D49">
            <w:pPr>
              <w:keepNext/>
              <w:rPr>
                <w:sz w:val="20"/>
                <w:szCs w:val="20"/>
              </w:rPr>
            </w:pPr>
            <w:r w:rsidRPr="00B9699B">
              <w:rPr>
                <w:sz w:val="20"/>
                <w:szCs w:val="20"/>
              </w:rPr>
              <w:t xml:space="preserve">Hematológico</w:t>
            </w:r>
          </w:p>
        </w:tc>
        <w:tc>
          <w:tcPr>
            <w:tcW w:w="2085" w:type="dxa"/>
            <w:tcBorders>
              <w:top w:val="single" w:sz="4" w:space="0" w:color="auto"/>
              <w:left w:val="single" w:sz="4" w:space="0" w:color="auto"/>
            </w:tcBorders>
            <w:shd w:val="clear" w:color="auto" w:fill="auto"/>
          </w:tcPr>
          <w:p w14:paraId="0A134E64" w14:textId="77777777" w:rsidR="006F0F8A" w:rsidRPr="00B9699B" w:rsidRDefault="00000000" w:rsidP="00535D49">
            <w:pPr>
              <w:keepNext/>
              <w:rPr>
                <w:sz w:val="20"/>
                <w:szCs w:val="20"/>
              </w:rPr>
            </w:pPr>
            <w:r w:rsidRPr="00B9699B">
              <w:rPr>
                <w:sz w:val="20"/>
                <w:szCs w:val="20"/>
              </w:rPr>
              <w:t xml:space="preserve">Hemoglobina </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21B2F625"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9,0 g/dl (5,59 mmol/l)</w:t>
            </w:r>
          </w:p>
        </w:tc>
      </w:tr>
      <w:tr w:rsidR="006F0F8A" w:rsidRPr="00B9699B" w14:paraId="2CE2FD45" w14:textId="77777777" w:rsidTr="009942CF">
        <w:trPr>
          <w:trHeight w:val="20"/>
        </w:trPr>
        <w:tc>
          <w:tcPr>
            <w:tcW w:w="1647" w:type="dxa"/>
            <w:vMerge/>
            <w:tcBorders>
              <w:left w:val="single" w:sz="4" w:space="0" w:color="auto"/>
            </w:tcBorders>
            <w:shd w:val="clear" w:color="auto" w:fill="auto"/>
            <w:vAlign w:val="center"/>
          </w:tcPr>
          <w:p w14:paraId="49E2BE78"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AB1CE3F" w14:textId="77777777" w:rsidR="006F0F8A" w:rsidRPr="00B9699B" w:rsidRDefault="00000000" w:rsidP="00535D49">
            <w:pPr>
              <w:keepNext/>
              <w:rPr>
                <w:sz w:val="20"/>
                <w:szCs w:val="20"/>
              </w:rPr>
            </w:pPr>
            <w:r w:rsidRPr="00B9699B">
              <w:rPr>
                <w:sz w:val="20"/>
                <w:szCs w:val="20"/>
              </w:rPr>
              <w:t xml:space="preserve">Recuento absoluto de neutrófilos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24219C2" w14:textId="68AB0C82"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1,5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 por mm</w:t>
            </w:r>
            <w:r w:rsidRPr="00535D49">
              <w:rPr>
                <w:sz w:val="20"/>
                <w:szCs w:val="20"/>
                <w:vertAlign w:val="superscript"/>
              </w:rPr>
              <w:t xml:space="preserve">3</w:t>
            </w:r>
            <w:r w:rsidRPr="00B9699B">
              <w:rPr>
                <w:sz w:val="20"/>
                <w:szCs w:val="20"/>
              </w:rPr>
              <w:t xml:space="preserve">)</w:t>
            </w:r>
          </w:p>
        </w:tc>
      </w:tr>
      <w:tr w:rsidR="006F0F8A" w:rsidRPr="00B9699B" w14:paraId="1FE28B0E" w14:textId="77777777" w:rsidTr="009942CF">
        <w:trPr>
          <w:trHeight w:val="20"/>
        </w:trPr>
        <w:tc>
          <w:tcPr>
            <w:tcW w:w="1647" w:type="dxa"/>
            <w:vMerge/>
            <w:tcBorders>
              <w:left w:val="single" w:sz="4" w:space="0" w:color="auto"/>
            </w:tcBorders>
            <w:shd w:val="clear" w:color="auto" w:fill="auto"/>
            <w:vAlign w:val="center"/>
          </w:tcPr>
          <w:p w14:paraId="1B1B1915"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799E0C5F" w14:textId="77777777" w:rsidR="006F0F8A" w:rsidRPr="00B9699B" w:rsidRDefault="00000000" w:rsidP="00535D49">
            <w:pPr>
              <w:keepNext/>
              <w:rPr>
                <w:sz w:val="20"/>
                <w:szCs w:val="20"/>
              </w:rPr>
            </w:pPr>
            <w:r w:rsidRPr="00B9699B">
              <w:rPr>
                <w:sz w:val="20"/>
                <w:szCs w:val="20"/>
              </w:rPr>
              <w:t xml:space="preserve">Recuento de plaquetas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F4D9F3C" w14:textId="5FF4ACF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100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(100000 por mm</w:t>
            </w:r>
            <w:r w:rsidRPr="00535D49">
              <w:rPr>
                <w:sz w:val="20"/>
                <w:szCs w:val="20"/>
                <w:vertAlign w:val="superscript"/>
              </w:rPr>
              <w:t xml:space="preserve">3</w:t>
            </w:r>
            <w:r w:rsidRPr="00B9699B">
              <w:rPr>
                <w:sz w:val="20"/>
                <w:szCs w:val="20"/>
              </w:rPr>
              <w:t xml:space="preserve">)</w:t>
            </w:r>
          </w:p>
        </w:tc>
      </w:tr>
      <w:tr w:rsidR="006F0F8A" w:rsidRPr="00B9699B" w14:paraId="5FBD2605"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50FD4BC9" w14:textId="77777777" w:rsidR="006F0F8A" w:rsidRPr="00B9699B" w:rsidRDefault="00000000" w:rsidP="00535D49">
            <w:pPr>
              <w:keepNext/>
              <w:rPr>
                <w:sz w:val="20"/>
                <w:szCs w:val="20"/>
              </w:rPr>
            </w:pPr>
            <w:r w:rsidRPr="00B9699B">
              <w:rPr>
                <w:sz w:val="20"/>
                <w:szCs w:val="20"/>
              </w:rPr>
              <w:t xml:space="preserve">Hepático</w:t>
            </w:r>
          </w:p>
        </w:tc>
        <w:tc>
          <w:tcPr>
            <w:tcW w:w="2085" w:type="dxa"/>
            <w:vMerge w:val="restart"/>
            <w:tcBorders>
              <w:top w:val="single" w:sz="4" w:space="0" w:color="auto"/>
              <w:left w:val="single" w:sz="4" w:space="0" w:color="auto"/>
            </w:tcBorders>
            <w:shd w:val="clear" w:color="auto" w:fill="auto"/>
          </w:tcPr>
          <w:p w14:paraId="20514499" w14:textId="77777777" w:rsidR="006F0F8A" w:rsidRPr="00B9699B" w:rsidRDefault="00000000" w:rsidP="00535D49">
            <w:pPr>
              <w:keepNext/>
              <w:rPr>
                <w:sz w:val="20"/>
                <w:szCs w:val="20"/>
              </w:rPr>
            </w:pPr>
            <w:r w:rsidRPr="00B9699B">
              <w:rPr>
                <w:sz w:val="20"/>
                <w:szCs w:val="20"/>
              </w:rPr>
              <w:t xml:space="preserve">Bilirrubina total</w:t>
            </w:r>
          </w:p>
        </w:tc>
        <w:tc>
          <w:tcPr>
            <w:tcW w:w="5297" w:type="dxa"/>
            <w:tcBorders>
              <w:top w:val="single" w:sz="4" w:space="0" w:color="auto"/>
              <w:left w:val="single" w:sz="4" w:space="0" w:color="auto"/>
              <w:right w:val="single" w:sz="4" w:space="0" w:color="auto"/>
            </w:tcBorders>
            <w:shd w:val="clear" w:color="auto" w:fill="auto"/>
          </w:tcPr>
          <w:p w14:paraId="68C16E9B" w14:textId="30E00AD1"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en ausencia del síndrome de Gilbert</w:t>
            </w:r>
          </w:p>
        </w:tc>
      </w:tr>
      <w:tr w:rsidR="006F0F8A" w:rsidRPr="00B9699B" w14:paraId="623AB6DB" w14:textId="77777777" w:rsidTr="009942CF">
        <w:trPr>
          <w:trHeight w:val="20"/>
        </w:trPr>
        <w:tc>
          <w:tcPr>
            <w:tcW w:w="1647" w:type="dxa"/>
            <w:vMerge/>
            <w:tcBorders>
              <w:left w:val="single" w:sz="4" w:space="0" w:color="auto"/>
            </w:tcBorders>
            <w:shd w:val="clear" w:color="auto" w:fill="auto"/>
            <w:vAlign w:val="center"/>
          </w:tcPr>
          <w:p w14:paraId="7668755D"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206B720A"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5502A9D8" w14:textId="43638696"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si el participante tiene síndrome de Gilbert</w:t>
            </w:r>
          </w:p>
        </w:tc>
      </w:tr>
      <w:tr w:rsidR="006F0F8A" w:rsidRPr="00B9699B" w14:paraId="75187185" w14:textId="77777777" w:rsidTr="009942CF">
        <w:trPr>
          <w:trHeight w:val="20"/>
        </w:trPr>
        <w:tc>
          <w:tcPr>
            <w:tcW w:w="1647" w:type="dxa"/>
            <w:vMerge/>
            <w:tcBorders>
              <w:left w:val="single" w:sz="4" w:space="0" w:color="auto"/>
            </w:tcBorders>
            <w:shd w:val="clear" w:color="auto" w:fill="auto"/>
            <w:vAlign w:val="center"/>
          </w:tcPr>
          <w:p w14:paraId="0185E546"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08B96F9F"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4CFBDB4A"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LSN si el participante planea recibir docetaxel</w:t>
            </w:r>
          </w:p>
        </w:tc>
      </w:tr>
      <w:tr w:rsidR="006F0F8A" w:rsidRPr="00B9699B" w14:paraId="732F42FC" w14:textId="77777777" w:rsidTr="009942CF">
        <w:trPr>
          <w:trHeight w:val="20"/>
        </w:trPr>
        <w:tc>
          <w:tcPr>
            <w:tcW w:w="1647" w:type="dxa"/>
            <w:vMerge/>
            <w:tcBorders>
              <w:left w:val="single" w:sz="4" w:space="0" w:color="auto"/>
            </w:tcBorders>
            <w:shd w:val="clear" w:color="auto" w:fill="auto"/>
            <w:vAlign w:val="center"/>
          </w:tcPr>
          <w:p w14:paraId="45C7F659" w14:textId="77777777" w:rsidR="006F0F8A" w:rsidRPr="00B9699B" w:rsidRDefault="006F0F8A" w:rsidP="00535D49">
            <w:pPr>
              <w:keepNext/>
              <w:rPr>
                <w:sz w:val="20"/>
                <w:szCs w:val="20"/>
              </w:rPr>
            </w:pPr>
          </w:p>
        </w:tc>
        <w:tc>
          <w:tcPr>
            <w:tcW w:w="2085" w:type="dxa"/>
            <w:vMerge w:val="restart"/>
            <w:tcBorders>
              <w:top w:val="single" w:sz="4" w:space="0" w:color="auto"/>
              <w:left w:val="single" w:sz="4" w:space="0" w:color="auto"/>
            </w:tcBorders>
            <w:shd w:val="clear" w:color="auto" w:fill="auto"/>
          </w:tcPr>
          <w:p w14:paraId="23429810" w14:textId="77777777" w:rsidR="006F0F8A" w:rsidRPr="00B9699B" w:rsidRDefault="00000000" w:rsidP="00535D49">
            <w:pPr>
              <w:keepNext/>
              <w:rPr>
                <w:sz w:val="20"/>
                <w:szCs w:val="20"/>
              </w:rPr>
            </w:pPr>
            <w:r w:rsidRPr="00B9699B">
              <w:rPr>
                <w:sz w:val="20"/>
                <w:szCs w:val="20"/>
              </w:rPr>
              <w:t xml:space="preserve">ALT y AST</w:t>
            </w:r>
          </w:p>
        </w:tc>
        <w:tc>
          <w:tcPr>
            <w:tcW w:w="5297" w:type="dxa"/>
            <w:tcBorders>
              <w:top w:val="single" w:sz="4" w:space="0" w:color="auto"/>
              <w:left w:val="single" w:sz="4" w:space="0" w:color="auto"/>
              <w:right w:val="single" w:sz="4" w:space="0" w:color="auto"/>
            </w:tcBorders>
            <w:shd w:val="clear" w:color="auto" w:fill="auto"/>
          </w:tcPr>
          <w:p w14:paraId="4CD06E96" w14:textId="23CF958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(para participantes con metástasis hepáticas, ALT y AST </w:t>
            </w:r>
            <w:r w:rsidR="00535D49">
              <w:rPr>
                <w:sz w:val="20"/>
                <w:szCs w:val="20"/>
              </w:rPr>
              <w:sym w:font="Symbol" w:char="F0B4"/>
            </w:r>
            <w:r w:rsidRPr="00B9699B">
              <w:rPr>
                <w:sz w:val="20"/>
                <w:szCs w:val="20"/>
              </w:rPr>
              <w:t xml:space="preserve"> 5 </w:t>
            </w:r>
            <w:r w:rsidR="00535D49">
              <w:rPr>
                <w:sz w:val="20"/>
                <w:szCs w:val="20"/>
              </w:rPr>
              <w:sym w:font="Symbol" w:char="F0B4"/>
            </w:r>
            <w:r w:rsidRPr="00B9699B">
              <w:rPr>
                <w:sz w:val="20"/>
                <w:szCs w:val="20"/>
              </w:rPr>
              <w:t xml:space="preserve"> LSN)</w:t>
            </w:r>
          </w:p>
        </w:tc>
      </w:tr>
      <w:tr w:rsidR="006F0F8A" w:rsidRPr="00B9699B" w14:paraId="14689ECE" w14:textId="77777777" w:rsidTr="009942CF">
        <w:trPr>
          <w:trHeight w:val="20"/>
        </w:trPr>
        <w:tc>
          <w:tcPr>
            <w:tcW w:w="1647" w:type="dxa"/>
            <w:vMerge/>
            <w:tcBorders>
              <w:left w:val="single" w:sz="4" w:space="0" w:color="auto"/>
            </w:tcBorders>
            <w:shd w:val="clear" w:color="auto" w:fill="auto"/>
            <w:vAlign w:val="center"/>
          </w:tcPr>
          <w:p w14:paraId="7729BD39"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174D2154"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05046378" w14:textId="1CBCD83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y ALP &lt; 2,5 </w:t>
            </w:r>
            <w:r w:rsidR="00535D49">
              <w:rPr>
                <w:sz w:val="20"/>
                <w:szCs w:val="20"/>
              </w:rPr>
              <w:sym w:font="Symbol" w:char="F0B4"/>
            </w:r>
            <w:r w:rsidRPr="00B9699B">
              <w:rPr>
                <w:sz w:val="20"/>
                <w:szCs w:val="20"/>
              </w:rPr>
              <w:t xml:space="preserve"> LSN para el plan del participante de recibir docetaxel</w:t>
            </w:r>
          </w:p>
        </w:tc>
      </w:tr>
      <w:tr w:rsidR="006F0F8A" w:rsidRPr="00B9699B" w14:paraId="5CE38699" w14:textId="77777777" w:rsidTr="009942CF">
        <w:trPr>
          <w:trHeight w:val="20"/>
        </w:trPr>
        <w:tc>
          <w:tcPr>
            <w:tcW w:w="1647" w:type="dxa"/>
            <w:vMerge/>
            <w:tcBorders>
              <w:left w:val="single" w:sz="4" w:space="0" w:color="auto"/>
            </w:tcBorders>
            <w:shd w:val="clear" w:color="auto" w:fill="auto"/>
            <w:vAlign w:val="center"/>
          </w:tcPr>
          <w:p w14:paraId="0CA0FEC2"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75A1B9D" w14:textId="77777777" w:rsidR="006F0F8A" w:rsidRPr="00B9699B" w:rsidRDefault="00000000" w:rsidP="00535D49">
            <w:pPr>
              <w:keepNext/>
              <w:rPr>
                <w:sz w:val="20"/>
                <w:szCs w:val="20"/>
              </w:rPr>
            </w:pPr>
            <w:r w:rsidRPr="00B9699B">
              <w:rPr>
                <w:sz w:val="20"/>
                <w:szCs w:val="20"/>
              </w:rPr>
              <w:t xml:space="preserve">Albúmina</w:t>
            </w:r>
          </w:p>
        </w:tc>
        <w:tc>
          <w:tcPr>
            <w:tcW w:w="5297" w:type="dxa"/>
            <w:tcBorders>
              <w:top w:val="single" w:sz="4" w:space="0" w:color="auto"/>
              <w:left w:val="single" w:sz="4" w:space="0" w:color="auto"/>
              <w:right w:val="single" w:sz="4" w:space="0" w:color="auto"/>
            </w:tcBorders>
            <w:shd w:val="clear" w:color="auto" w:fill="auto"/>
          </w:tcPr>
          <w:p w14:paraId="76E22648"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2,5 g/dl</w:t>
            </w:r>
          </w:p>
        </w:tc>
      </w:tr>
      <w:tr w:rsidR="006F0F8A" w:rsidRPr="00B9699B" w14:paraId="45A1F3C3" w14:textId="77777777" w:rsidTr="009942CF">
        <w:trPr>
          <w:trHeight w:val="20"/>
        </w:trPr>
        <w:tc>
          <w:tcPr>
            <w:tcW w:w="1647" w:type="dxa"/>
            <w:tcBorders>
              <w:top w:val="single" w:sz="4" w:space="0" w:color="auto"/>
              <w:left w:val="single" w:sz="4" w:space="0" w:color="auto"/>
            </w:tcBorders>
            <w:shd w:val="clear" w:color="auto" w:fill="auto"/>
          </w:tcPr>
          <w:p w14:paraId="1FAF91E5" w14:textId="77777777" w:rsidR="006F0F8A" w:rsidRPr="00B9699B" w:rsidRDefault="00000000" w:rsidP="00535D49">
            <w:pPr>
              <w:keepNext/>
              <w:rPr>
                <w:sz w:val="20"/>
                <w:szCs w:val="20"/>
              </w:rPr>
            </w:pPr>
            <w:r w:rsidRPr="00B9699B">
              <w:rPr>
                <w:sz w:val="20"/>
                <w:szCs w:val="20"/>
              </w:rPr>
              <w:t xml:space="preserve">Renales</w:t>
            </w:r>
          </w:p>
        </w:tc>
        <w:tc>
          <w:tcPr>
            <w:tcW w:w="2085" w:type="dxa"/>
            <w:tcBorders>
              <w:top w:val="single" w:sz="4" w:space="0" w:color="auto"/>
              <w:left w:val="single" w:sz="4" w:space="0" w:color="auto"/>
            </w:tcBorders>
            <w:shd w:val="clear" w:color="auto" w:fill="auto"/>
          </w:tcPr>
          <w:p w14:paraId="2D7CD0C4" w14:textId="77777777" w:rsidR="006F0F8A" w:rsidRPr="00B9699B" w:rsidRDefault="00000000" w:rsidP="00535D49">
            <w:pPr>
              <w:keepNext/>
              <w:rPr>
                <w:sz w:val="20"/>
                <w:szCs w:val="20"/>
              </w:rPr>
            </w:pPr>
            <w:r w:rsidRPr="00B9699B">
              <w:rPr>
                <w:sz w:val="20"/>
                <w:szCs w:val="20"/>
              </w:rPr>
              <w:t xml:space="preserve">Aclaramiento de creatinina calculado </w:t>
            </w:r>
            <w:r w:rsidRPr="009942CF">
              <w:rPr>
                <w:sz w:val="20"/>
                <w:szCs w:val="20"/>
                <w:vertAlign w:val="superscript"/>
              </w:rPr>
              <w:t xml:space="preserve">b</w:t>
            </w:r>
          </w:p>
        </w:tc>
        <w:tc>
          <w:tcPr>
            <w:tcW w:w="5297" w:type="dxa"/>
            <w:tcBorders>
              <w:top w:val="single" w:sz="4" w:space="0" w:color="auto"/>
              <w:left w:val="single" w:sz="4" w:space="0" w:color="auto"/>
              <w:right w:val="single" w:sz="4" w:space="0" w:color="auto"/>
            </w:tcBorders>
            <w:shd w:val="clear" w:color="auto" w:fill="auto"/>
          </w:tcPr>
          <w:p w14:paraId="2861A920"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30 ml/minuto según lo determinado por Cockcroft Gault (utilizando el peso corporal real)</w:t>
            </w:r>
          </w:p>
        </w:tc>
      </w:tr>
      <w:tr w:rsidR="006F0F8A" w:rsidRPr="00B9699B" w14:paraId="05DB91CA" w14:textId="77777777" w:rsidTr="009942CF">
        <w:trPr>
          <w:trHeight w:val="20"/>
        </w:trPr>
        <w:tc>
          <w:tcPr>
            <w:tcW w:w="1647" w:type="dxa"/>
            <w:tcBorders>
              <w:top w:val="single" w:sz="4" w:space="0" w:color="auto"/>
              <w:left w:val="single" w:sz="4" w:space="0" w:color="auto"/>
            </w:tcBorders>
            <w:shd w:val="clear" w:color="auto" w:fill="auto"/>
            <w:vAlign w:val="center"/>
          </w:tcPr>
          <w:p w14:paraId="71115016" w14:textId="77777777" w:rsidR="006F0F8A" w:rsidRPr="00B9699B" w:rsidRDefault="00000000" w:rsidP="00535D49">
            <w:pPr>
              <w:keepNext/>
              <w:rPr>
                <w:sz w:val="20"/>
                <w:szCs w:val="20"/>
              </w:rPr>
            </w:pPr>
            <w:r w:rsidRPr="00B9699B">
              <w:rPr>
                <w:sz w:val="20"/>
                <w:szCs w:val="20"/>
              </w:rPr>
              <w:t xml:space="preserve">Coagulación</w:t>
            </w:r>
          </w:p>
        </w:tc>
        <w:tc>
          <w:tcPr>
            <w:tcW w:w="2085" w:type="dxa"/>
            <w:tcBorders>
              <w:top w:val="single" w:sz="4" w:space="0" w:color="auto"/>
              <w:left w:val="single" w:sz="4" w:space="0" w:color="auto"/>
            </w:tcBorders>
            <w:shd w:val="clear" w:color="auto" w:fill="auto"/>
          </w:tcPr>
          <w:p w14:paraId="403A4A70" w14:textId="77777777" w:rsidR="006F0F8A" w:rsidRPr="00B9699B" w:rsidRDefault="00000000" w:rsidP="00535D49">
            <w:pPr>
              <w:keepNext/>
              <w:rPr>
                <w:sz w:val="20"/>
                <w:szCs w:val="20"/>
              </w:rPr>
            </w:pPr>
            <w:r w:rsidRPr="00B9699B">
              <w:rPr>
                <w:sz w:val="20"/>
                <w:szCs w:val="20"/>
              </w:rPr>
              <w:t xml:space="preserve">PT/INR/PTT</w:t>
            </w:r>
          </w:p>
        </w:tc>
        <w:tc>
          <w:tcPr>
            <w:tcW w:w="5297" w:type="dxa"/>
            <w:tcBorders>
              <w:top w:val="single" w:sz="4" w:space="0" w:color="auto"/>
              <w:left w:val="single" w:sz="4" w:space="0" w:color="auto"/>
              <w:right w:val="single" w:sz="4" w:space="0" w:color="auto"/>
            </w:tcBorders>
            <w:shd w:val="clear" w:color="auto" w:fill="auto"/>
          </w:tcPr>
          <w:p w14:paraId="17467AA4" w14:textId="63B379FC"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w:t>
            </w:r>
          </w:p>
        </w:tc>
      </w:tr>
      <w:tr w:rsidR="006F0F8A" w:rsidRPr="00B9699B" w14:paraId="38FF4A56" w14:textId="77777777" w:rsidTr="009942CF">
        <w:trPr>
          <w:trHeight w:val="20"/>
        </w:trPr>
        <w:tc>
          <w:tcPr>
            <w:tcW w:w="1647" w:type="dxa"/>
            <w:tcBorders>
              <w:top w:val="single" w:sz="4" w:space="0" w:color="auto"/>
              <w:left w:val="single" w:sz="4" w:space="0" w:color="auto"/>
              <w:bottom w:val="single" w:sz="4" w:space="0" w:color="auto"/>
            </w:tcBorders>
            <w:shd w:val="clear" w:color="auto" w:fill="auto"/>
          </w:tcPr>
          <w:p w14:paraId="5374AC4D" w14:textId="77777777" w:rsidR="006F0F8A" w:rsidRPr="00B9699B" w:rsidRDefault="00000000" w:rsidP="00535D49">
            <w:pPr>
              <w:keepNext/>
              <w:rPr>
                <w:sz w:val="20"/>
                <w:szCs w:val="20"/>
              </w:rPr>
            </w:pPr>
            <w:r w:rsidRPr="00B9699B">
              <w:rPr>
                <w:sz w:val="20"/>
                <w:szCs w:val="20"/>
              </w:rPr>
              <w:t xml:space="preserve">Análisis de orina</w:t>
            </w:r>
            <w:r w:rsidRPr="009942CF">
              <w:rPr>
                <w:sz w:val="20"/>
                <w:szCs w:val="20"/>
                <w:vertAlign w:val="superscript"/>
              </w:rPr>
              <w:t xml:space="preserve">c</w:t>
            </w:r>
          </w:p>
        </w:tc>
        <w:tc>
          <w:tcPr>
            <w:tcW w:w="2085" w:type="dxa"/>
            <w:tcBorders>
              <w:top w:val="single" w:sz="4" w:space="0" w:color="auto"/>
              <w:left w:val="single" w:sz="4" w:space="0" w:color="auto"/>
              <w:bottom w:val="single" w:sz="4" w:space="0" w:color="auto"/>
            </w:tcBorders>
            <w:shd w:val="clear" w:color="auto" w:fill="auto"/>
          </w:tcPr>
          <w:p w14:paraId="3E02EF79" w14:textId="77777777" w:rsidR="006F0F8A" w:rsidRPr="00B9699B" w:rsidRDefault="00000000" w:rsidP="00535D49">
            <w:pPr>
              <w:keepNext/>
              <w:rPr>
                <w:sz w:val="20"/>
                <w:szCs w:val="20"/>
              </w:rPr>
            </w:pPr>
            <w:r w:rsidRPr="00B9699B">
              <w:rPr>
                <w:sz w:val="20"/>
                <w:szCs w:val="20"/>
              </w:rPr>
              <w:t xml:space="preserve">proteína urinaria</w:t>
            </w:r>
          </w:p>
        </w:tc>
        <w:tc>
          <w:tcPr>
            <w:tcW w:w="5297" w:type="dxa"/>
            <w:tcBorders>
              <w:top w:val="single" w:sz="4" w:space="0" w:color="auto"/>
              <w:left w:val="single" w:sz="4" w:space="0" w:color="auto"/>
              <w:bottom w:val="single" w:sz="4" w:space="0" w:color="auto"/>
              <w:right w:val="single" w:sz="4" w:space="0" w:color="auto"/>
            </w:tcBorders>
            <w:shd w:val="clear" w:color="auto" w:fill="auto"/>
          </w:tcPr>
          <w:p w14:paraId="11A9C535"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 en la tira reactiva o en el análisis de orina de rutina. Si la tira reactiva o el análisis de orina de rutina indican proteinuria </w:t>
            </w:r>
            <w:r w:rsidRPr="00535D49">
              <w:rPr>
                <w:sz w:val="20"/>
                <w:szCs w:val="20"/>
                <w:u w:val="single"/>
              </w:rPr>
              <w:t xml:space="preserve">&gt;</w:t>
            </w:r>
            <w:r w:rsidRPr="00B9699B">
              <w:rPr>
                <w:sz w:val="20"/>
                <w:szCs w:val="20"/>
              </w:rPr>
              <w:t xml:space="preserve"> 2+, se debe recolectar orina de 24 horas y debe demostrar &lt; 1000 mg de proteína en 24 horas</w:t>
            </w:r>
          </w:p>
        </w:tc>
      </w:tr>
    </w:tbl>
    <w:p w14:paraId="34D3950B" w14:textId="4DA78146" w:rsidR="006F0F8A" w:rsidRPr="009942CF" w:rsidRDefault="00000000" w:rsidP="009942CF">
      <w:pPr>
        <w:pStyle w:val="a0"/>
      </w:pPr>
      <w:r w:rsidRPr="009942CF">
        <w: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14:paraId="34098BA2" w14:textId="7EF7428F" w:rsidR="006F0F8A" w:rsidRPr="004473A7" w:rsidRDefault="00000000" w:rsidP="009942CF">
      <w:pPr>
        <w:pStyle w:val="a0"/>
      </w:pPr>
      <w:r w:rsidRPr="004473A7">
        <w:t xml:space="preserve">Según lo determinado por Cockcroft-Gault (utilizando el peso corporal real; Cockcroft y Gault, 1976) o el aclaramiento de creatinina en orina de 24 horas. Véase la </w:t>
      </w:r>
      <w:r w:rsidRPr="00892792">
        <w:rPr>
          <w:color w:val="0000FF"/>
        </w:rPr>
        <w:t xml:space="preserve">Tabla 12</w:t>
      </w:r>
    </w:p>
    <w:p w14:paraId="6D3E8803" w14:textId="0DA2C7E3" w:rsidR="006F0F8A" w:rsidRPr="004473A7" w:rsidRDefault="00000000" w:rsidP="009942CF">
      <w:pPr>
        <w:pStyle w:val="a0"/>
      </w:pPr>
      <w:r w:rsidRPr="004473A7">
        <w:t xml:space="preserve">Solo aplicable para participantes que reciben ramucirumab.</w:t>
      </w:r>
    </w:p>
    <w:p w14:paraId="12F4C3D8" w14:textId="77777777" w:rsidR="006F0F8A" w:rsidRPr="009942CF" w:rsidRDefault="00000000" w:rsidP="004473A7">
      <w:pPr>
        <w:rPr>
          <w:sz w:val="20"/>
          <w:szCs w:val="20"/>
        </w:rPr>
      </w:pPr>
      <w:r w:rsidRPr="009942CF">
        <w:rPr>
          <w:sz w:val="20"/>
          <w:szCs w:val="20"/>
        </w:rPr>
        <w:t xml:space="preserve">ALT = alanina aminotransferasa; ALP = fosfatasa alcalina; AST = aspartato aminotransferasa; </w:t>
      </w:r>
      <w:proofErr w:type="spellStart"/>
      <w:r w:rsidRPr="009942CF">
        <w:rPr>
          <w:sz w:val="20"/>
          <w:szCs w:val="20"/>
        </w:rPr>
        <w:t xml:space="preserve">CrCL</w:t>
      </w:r>
      <w:proofErr w:type="spellEnd"/>
      <w:r w:rsidRPr="009942CF">
        <w:rPr>
          <w:sz w:val="20"/>
          <w:szCs w:val="20"/>
        </w:rPr>
        <w:t xml:space="preserve"> = aclaramiento de creatinina; INR = índice internacional normalizado; TP = tiempo de protrombina; TTP = tiempo de tromboplastina parcial; LSN = límite superior de lo normal.</w:t>
      </w:r>
    </w:p>
    <w:p w14:paraId="5309E68C" w14:textId="77777777" w:rsidR="006F0F8A" w:rsidRPr="004473A7" w:rsidRDefault="00000000" w:rsidP="009942CF">
      <w:pPr>
        <w:pStyle w:val="T1"/>
        <w:spacing w:before="240"/>
      </w:pPr>
      <w:r w:rsidRPr="004473A7">
        <w:t xml:space="preserve">Peso</w:t>
      </w:r>
    </w:p>
    <w:p w14:paraId="3DDE61BA" w14:textId="626299CD" w:rsidR="006F0F8A" w:rsidRPr="004473A7" w:rsidRDefault="00000000" w:rsidP="009942CF">
      <w:pPr>
        <w:pStyle w:val="1"/>
      </w:pPr>
      <w:r w:rsidRPr="004473A7">
        <w:t xml:space="preserve">Peso corporal de </w:t>
      </w:r>
      <w:r w:rsidRPr="00892792">
        <w:rPr>
          <w:u w:val="single"/>
        </w:rPr>
        <w:t xml:space="preserve">&gt;</w:t>
      </w:r>
      <w:r w:rsidRPr="004473A7">
        <w:t xml:space="preserve"> 35 kg.</w:t>
      </w:r>
    </w:p>
    <w:p w14:paraId="1757E062" w14:textId="77777777" w:rsidR="006F0F8A" w:rsidRPr="004473A7" w:rsidRDefault="00000000" w:rsidP="009942CF">
      <w:pPr>
        <w:pStyle w:val="T1"/>
      </w:pPr>
      <w:r w:rsidRPr="004473A7">
        <w:t xml:space="preserve">Requisitos sobre sexo y métodos anticonceptivos/de barrera</w:t>
      </w:r>
    </w:p>
    <w:p w14:paraId="2147D1D7" w14:textId="4E9A8C1B" w:rsidR="006F0F8A" w:rsidRPr="004473A7" w:rsidRDefault="00000000" w:rsidP="009942CF">
      <w:pPr>
        <w:pStyle w:val="1"/>
      </w:pPr>
      <w:r w:rsidRPr="004473A7">
        <w:t xml:space="preserve">FOCBP:</w:t>
      </w:r>
    </w:p>
    <w:p w14:paraId="5B49EE75" w14:textId="61F743B0" w:rsidR="006F0F8A" w:rsidRPr="004473A7" w:rsidRDefault="00000000" w:rsidP="009942CF">
      <w:pPr>
        <w:pStyle w:val="a"/>
        <w:numPr>
          <w:ilvl w:val="0"/>
          <w:numId w:val="10"/>
        </w:numPr>
      </w:pPr>
      <w:r w:rsidRPr="004473A7">
        <w:t xml:space="preserve">Debe tener una prueba de embarazo negativa en el momento de la selección y antes de la infusión de cada ciclo.</w:t>
      </w:r>
    </w:p>
    <w:p w14:paraId="3E4DF80A" w14:textId="3975E8B8" w:rsidR="006F0F8A" w:rsidRPr="004473A7" w:rsidRDefault="00000000" w:rsidP="009942CF">
      <w:pPr>
        <w:pStyle w:val="a"/>
      </w:pPr>
      <w:r w:rsidRPr="004473A7">
        <w:t xml:space="preserve">Si tiene relaciones sexuales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w:t>
      </w:r>
    </w:p>
    <w:p w14:paraId="503162EF" w14:textId="1A496A30" w:rsidR="006F0F8A" w:rsidRPr="004473A7" w:rsidRDefault="00000000" w:rsidP="009942CF">
      <w:pPr>
        <w:pStyle w:val="a"/>
      </w:pPr>
      <w:r w:rsidRPr="004473A7">
        <w:t xml:space="preserve">Las parejas masculinas no esterilizadas de FOCBP deben usar un condón masculino más espermicida durante todo el período especificado anteriormente para las participantes femeninas (Nota: Los condones masculinos </w:t>
      </w:r>
      <w:r w:rsidRPr="004473A7">
        <w:lastRenderedPageBreak/>
        <w:t xml:space="preserve">no son confiables como único método anticonceptivo).</w:t>
      </w:r>
    </w:p>
    <w:p w14:paraId="11AD59B9" w14:textId="2C0EF91F" w:rsidR="006F0F8A" w:rsidRPr="004473A7" w:rsidRDefault="00000000" w:rsidP="009942CF">
      <w:pPr>
        <w:pStyle w:val="1"/>
      </w:pPr>
      <w:r w:rsidRPr="004473A7">
        <w:t xml:space="preserve">Las participantes femeninas no deben amamantar ni donar ni extraer óvulos para su propio uso durante el período especificado anteriormente para las participantes femeninas.</w:t>
      </w:r>
    </w:p>
    <w:p w14:paraId="4257BB17" w14:textId="7C65741C" w:rsidR="006F0F8A" w:rsidRPr="004473A7" w:rsidRDefault="00000000" w:rsidP="009942CF">
      <w:pPr>
        <w:pStyle w:val="1"/>
      </w:pPr>
      <w:r w:rsidRPr="004473A7">
        <w:t xml:space="preserve">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w:t>
      </w:r>
    </w:p>
    <w:p w14:paraId="3AB133A1" w14:textId="69A9C71B" w:rsidR="006F0F8A" w:rsidRPr="004473A7" w:rsidRDefault="00000000" w:rsidP="009942CF">
      <w:pPr>
        <w:pStyle w:val="a"/>
        <w:numPr>
          <w:ilvl w:val="0"/>
          <w:numId w:val="11"/>
        </w:numPr>
      </w:pPr>
      <w:r w:rsidRPr="004473A7">
        <w: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14:paraId="3B166BE6" w14:textId="77777777" w:rsidR="006F0F8A" w:rsidRPr="004473A7" w:rsidRDefault="00000000" w:rsidP="009942CF">
      <w:pPr>
        <w:ind w:left="432"/>
      </w:pPr>
      <w:r w:rsidRPr="004473A7">
        <w:t xml:space="preserve">El uso de anticonceptivos por parte de hombres o mujeres debe ser coherente con las reglamentaciones locales respecto de los métodos de anticoncepción para quienes participan en estudios clínicos; consulte el </w:t>
      </w:r>
      <w:r w:rsidRPr="00892792">
        <w:rPr>
          <w:color w:val="0000FF"/>
        </w:rPr>
        <w:t xml:space="preserve">Apéndice G</w:t>
      </w:r>
      <w:r w:rsidRPr="004473A7">
        <w:t xml:space="preserve"> para obtener más detalles.</w:t>
      </w:r>
    </w:p>
    <w:p w14:paraId="66362A2C" w14:textId="4D887A4D" w:rsidR="006F0F8A" w:rsidRPr="004473A7" w:rsidRDefault="00000000" w:rsidP="009942CF">
      <w:pPr>
        <w:pStyle w:val="Heading2"/>
      </w:pPr>
      <w:r w:rsidRPr="004473A7">
        <w:t xml:space="preserve">Criterios de exclusión</w:t>
      </w:r>
    </w:p>
    <w:p w14:paraId="46FCCF19" w14:textId="77777777" w:rsidR="006F0F8A" w:rsidRPr="004473A7" w:rsidRDefault="00000000" w:rsidP="004473A7">
      <w:r w:rsidRPr="004473A7">
        <w:t xml:space="preserve">Los participantes quedan excluidos del estudio si se cumple alguno de los siguientes criterios:</w:t>
      </w:r>
    </w:p>
    <w:p w14:paraId="6BA1C83F" w14:textId="77777777" w:rsidR="006F0F8A" w:rsidRPr="004473A7" w:rsidRDefault="00000000" w:rsidP="009942CF">
      <w:pPr>
        <w:pStyle w:val="T1"/>
      </w:pPr>
      <w:r w:rsidRPr="004473A7">
        <w:t xml:space="preserve">Condiciones médicas</w:t>
      </w:r>
    </w:p>
    <w:p w14:paraId="7104A09A" w14:textId="7B6DA9F7" w:rsidR="006F0F8A" w:rsidRPr="004473A7" w:rsidRDefault="00000000" w:rsidP="009942CF">
      <w:pPr>
        <w:pStyle w:val="1"/>
        <w:numPr>
          <w:ilvl w:val="0"/>
          <w:numId w:val="12"/>
        </w:numPr>
      </w:pPr>
      <w:r w:rsidRPr="004473A7">
        <w:t xml:space="preserve">Participantes con estado positivo conocido de HER2, definido como IHC 3+ o IHC 2+/ISH +</w:t>
      </w:r>
      <w:r w:rsidR="009942CF">
        <w:t xml:space="preserve"> </w:t>
      </w:r>
      <w:r w:rsidRPr="004473A7">
        <w:t xml:space="preserve">(Los casos con una relación HER2:CEP17 </w:t>
      </w:r>
      <w:r w:rsidRPr="00892792">
        <w:rPr>
          <w:u w:val="single"/>
        </w:rPr>
        <w:t xml:space="preserve">&gt;</w:t>
      </w:r>
      <w:r w:rsidR="00892792">
        <w:t xml:space="preserve"> </w:t>
      </w:r>
      <w:r w:rsidRPr="004473A7">
        <w:t xml:space="preserve">2 o un número promedio de copias de HER2 </w:t>
      </w:r>
      <w:r w:rsidRPr="00892792">
        <w:rPr>
          <w:u w:val="single"/>
        </w:rPr>
        <w:t xml:space="preserve">&gt;</w:t>
      </w:r>
      <w:r w:rsidRPr="004473A7">
        <w:t xml:space="preserve"> de 6,0 señales/célula se consideran positivos por ISH). Los participantes deben someterse a una prueba local de HER2 (o haberse realizado una) por IHC/ISH, y se utilizará el resultado más reciente del estado de HER2 para determinar la elegibilidad.</w:t>
      </w:r>
    </w:p>
    <w:p w14:paraId="59921D25" w14:textId="64DD2DA9" w:rsidR="006F0F8A" w:rsidRPr="004473A7" w:rsidRDefault="00000000" w:rsidP="009942CF">
      <w:pPr>
        <w:pStyle w:val="1"/>
      </w:pPr>
      <w:r w:rsidRPr="004473A7">
        <w:t xml:space="preserve">El participante tiene sangrado gástrico significativo o inestable y/o úlceras gástricas no tratadas.</w:t>
      </w:r>
    </w:p>
    <w:p w14:paraId="187B4F98" w14:textId="34497D87" w:rsidR="009942CF" w:rsidRDefault="00000000" w:rsidP="009942CF">
      <w:pPr>
        <w:pStyle w:val="1"/>
      </w:pPr>
      <w:r w:rsidRPr="004473A7">
        <w:t xml:space="preserve">Trastornos autoinmunes o inflamatorios activos o previamente documentados que requirieron tratamiento sistémico o que el investigador evaluó como no apropiados para participar debido a un riesgo indebido.</w:t>
      </w:r>
    </w:p>
    <w:p w14:paraId="5574EF2E" w14:textId="50F3150C" w:rsidR="006F0F8A" w:rsidRPr="004473A7" w:rsidRDefault="00000000" w:rsidP="009942CF">
      <w:pPr>
        <w:spacing w:after="120"/>
        <w:ind w:left="432"/>
      </w:pPr>
      <w:r w:rsidRPr="004473A7">
        <w:t xml:space="preserve">Las siguientes son excepciones a este criterio:</w:t>
      </w:r>
    </w:p>
    <w:p w14:paraId="02089048" w14:textId="44B73AE4" w:rsidR="006F0F8A" w:rsidRPr="004473A7" w:rsidRDefault="00000000" w:rsidP="009942CF">
      <w:pPr>
        <w:pStyle w:val="a"/>
        <w:numPr>
          <w:ilvl w:val="0"/>
          <w:numId w:val="13"/>
        </w:numPr>
      </w:pPr>
      <w:r w:rsidRPr="004473A7">
        <w:t xml:space="preserve">Vitíligo o alopecia.</w:t>
      </w:r>
    </w:p>
    <w:p w14:paraId="3D198DE5" w14:textId="77777777" w:rsidR="00892792" w:rsidRDefault="00000000" w:rsidP="009942CF">
      <w:pPr>
        <w:pStyle w:val="a"/>
      </w:pPr>
      <w:r w:rsidRPr="004473A7">
        <w:t xml:space="preserve">Hipotiroidismo (p. ej., después de la enfermedad de Hashimoto) estable con reemplazo hormonal.</w:t>
      </w:r>
      <w:proofErr w:type="spellStart"/>
      <w:r w:rsidRPr="004473A7">
        <w:t xml:space="preserve"/>
      </w:r>
      <w:proofErr w:type="spellEnd"/>
      <w:r w:rsidRPr="004473A7">
        <w:t xml:space="preserve"/>
      </w:r>
    </w:p>
    <w:p w14:paraId="1D93C218" w14:textId="0DD6ABAB" w:rsidR="006F0F8A" w:rsidRPr="004473A7" w:rsidRDefault="00000000" w:rsidP="009942CF">
      <w:pPr>
        <w:pStyle w:val="a"/>
      </w:pPr>
      <w:r w:rsidRPr="004473A7">
        <w:t xml:space="preserve">Psoriasis o eczema que no requieren tratamiento sistémico.</w:t>
      </w:r>
    </w:p>
    <w:p w14:paraId="6D33FEE8" w14:textId="33943643" w:rsidR="006F0F8A" w:rsidRPr="004473A7" w:rsidRDefault="00000000" w:rsidP="004473A7">
      <w:pPr>
        <w:pStyle w:val="1"/>
      </w:pPr>
      <w:r w:rsidRPr="004473A7">
        <w:t xml:space="preserve">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w:t>
      </w:r>
      <w:r w:rsidR="009942CF">
        <w:t xml:space="preserve"> </w:t>
      </w:r>
      <w:r w:rsidRPr="004473A7">
        <w:t xml:space="preserve">psicosis, afectación del sistema nervioso central por enfermedades autoinmunes. Las siguientes son excepciones a este criterio:</w:t>
      </w:r>
    </w:p>
    <w:p w14:paraId="7EC708D5" w14:textId="4ED6775B" w:rsidR="006F0F8A" w:rsidRPr="004473A7" w:rsidRDefault="00000000" w:rsidP="009942CF">
      <w:pPr>
        <w:pStyle w:val="a"/>
        <w:numPr>
          <w:ilvl w:val="0"/>
          <w:numId w:val="14"/>
        </w:numPr>
      </w:pPr>
      <w:r w:rsidRPr="004473A7">
        <w:t xml:space="preserve">Se permiten participantes con antecedentes de convulsiones si no han tenido convulsiones activas en los últimos 5 años.</w:t>
      </w:r>
    </w:p>
    <w:p w14:paraId="34AACBA4" w14:textId="44AA22AB" w:rsidR="006F0F8A" w:rsidRPr="004473A7" w:rsidRDefault="00000000" w:rsidP="009942CF">
      <w:pPr>
        <w:pStyle w:val="a"/>
      </w:pPr>
      <w:r w:rsidRPr="004473A7">
        <w:lastRenderedPageBreak/>
        <w: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14:paraId="6A2FB552" w14:textId="1272ED17" w:rsidR="006F0F8A" w:rsidRPr="004473A7" w:rsidRDefault="00000000" w:rsidP="009942CF">
      <w:pPr>
        <w:pStyle w:val="1"/>
      </w:pPr>
      <w:r w:rsidRPr="004473A7">
        <w:t xml:space="preserve">El participante tiene una enfermedad corneal clínicamente significativa conocida (por ejemplo, queratitis activa o ulceraciones corneales).</w:t>
      </w:r>
      <w:proofErr w:type="spellStart"/>
      <w:r w:rsidRPr="004473A7">
        <w:t xml:space="preserve"/>
      </w:r>
      <w:proofErr w:type="spellEnd"/>
      <w:r w:rsidRPr="004473A7">
        <w:t xml:space="preserve"/>
      </w:r>
      <w:r w:rsidR="009942CF">
        <w:t xml:space="preserve"/>
      </w:r>
      <w:r w:rsidRPr="004473A7">
        <w:t xml:space="preserve"/>
      </w:r>
    </w:p>
    <w:p w14:paraId="54BF216E" w14:textId="7C673270" w:rsidR="006F0F8A" w:rsidRPr="004473A7" w:rsidRDefault="00000000" w:rsidP="009942CF">
      <w:pPr>
        <w:pStyle w:val="1"/>
      </w:pPr>
      <w:r w:rsidRPr="004473A7">
        <w:t xml:space="preserve">Toxicidades persistentes (CTCAE Grado </w:t>
      </w:r>
      <w:r w:rsidRPr="00892792">
        <w:rPr>
          <w:u w:val="single"/>
        </w:rPr>
        <w:t xml:space="preserve">&gt;</w:t>
      </w:r>
      <w:r w:rsidRPr="004473A7">
        <w:t xml:space="preserve"> 2) causadas por terapias previas contra el cáncer,</w:t>
      </w:r>
      <w:r w:rsidR="009942CF">
        <w:t xml:space="preserve"> </w:t>
      </w:r>
      <w:r w:rsidRPr="004473A7">
        <w:t xml:space="preserve">excluida la alopecia. Se pueden incluir participantes con toxicidad irreversible que no se espera razonablemente que se agrave por la intervención del estudio (p. ej., pérdida de audición).</w:t>
      </w:r>
      <w:proofErr w:type="spellStart"/>
      <w:r w:rsidRPr="004473A7">
        <w:t xml:space="preserve"/>
      </w:r>
      <w:proofErr w:type="spellEnd"/>
      <w:r w:rsidRPr="004473A7">
        <w:t xml:space="preserve"/>
      </w:r>
    </w:p>
    <w:p w14:paraId="4372653C" w14:textId="0A5095C9" w:rsidR="006F0F8A" w:rsidRPr="004473A7" w:rsidRDefault="00000000" w:rsidP="009942CF">
      <w:pPr>
        <w:pStyle w:val="1"/>
      </w:pPr>
      <w:r w:rsidRPr="004473A7">
        <w:t xml:space="preserve">Neuropatía periférica, sensitiva o motora, </w:t>
      </w:r>
      <w:r w:rsidRPr="00892792">
        <w:rPr>
          <w:u w:val="single"/>
        </w:rPr>
        <w:t xml:space="preserve">&gt;</w:t>
      </w:r>
      <w:r w:rsidRPr="004473A7">
        <w:t xml:space="preserve"> Grado 2 de CTCAE en la selección.</w:t>
      </w:r>
    </w:p>
    <w:p w14:paraId="16A27455" w14:textId="16AA461D" w:rsidR="006F0F8A" w:rsidRPr="004473A7" w:rsidRDefault="00000000" w:rsidP="009942CF">
      <w:pPr>
        <w:pStyle w:val="1"/>
      </w:pPr>
      <w:r w:rsidRPr="004473A7">
        <w:t xml:space="preserve">Historial de eventos tromboembólicos en los últimos 3 meses antes de la aleatorización.</w:t>
      </w:r>
    </w:p>
    <w:p w14:paraId="7155A9EE" w14:textId="6344EA3B" w:rsidR="006F0F8A" w:rsidRPr="004473A7" w:rsidRDefault="00000000" w:rsidP="009942CF">
      <w:pPr>
        <w:pStyle w:val="a"/>
        <w:numPr>
          <w:ilvl w:val="0"/>
          <w:numId w:val="15"/>
        </w:numPr>
      </w:pPr>
      <w:r w:rsidRPr="004473A7">
        <w:t xml:space="preserve">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p>
    <w:p w14:paraId="7E65137B" w14:textId="42924F73" w:rsidR="006F0F8A" w:rsidRPr="004473A7" w:rsidRDefault="00000000" w:rsidP="009942CF">
      <w:pPr>
        <w:pStyle w:val="1"/>
      </w:pPr>
      <w:r w:rsidRPr="004473A7">
        <w:t xml:space="preserve">El participante tiene alguna de las siguientes anomalías cardíacas:</w:t>
      </w:r>
    </w:p>
    <w:p w14:paraId="06A957FD" w14:textId="7C55A42B" w:rsidR="006F0F8A" w:rsidRPr="004473A7" w:rsidRDefault="00000000" w:rsidP="009942CF">
      <w:pPr>
        <w:pStyle w:val="a"/>
        <w:numPr>
          <w:ilvl w:val="0"/>
          <w:numId w:val="16"/>
        </w:numPr>
      </w:pPr>
      <w:r w:rsidRPr="004473A7">
        <w:t xml:space="preserve">Intervalo QT corregido en reposo medio (</w:t>
      </w:r>
      <w:proofErr w:type="spellStart"/>
      <w:r w:rsidRPr="004473A7">
        <w:t xml:space="preserve">QTcF</w:t>
      </w:r>
      <w:proofErr w:type="spellEnd"/>
      <w:r w:rsidRPr="004473A7">
        <w:t xml:space="preserve">) &gt; 470 milisegundos, obtenido a partir de ECG triplicados realizados en el momento de la selección.</w:t>
      </w:r>
    </w:p>
    <w:p w14:paraId="29A13398" w14:textId="0FC8DA02" w:rsidR="006F0F8A" w:rsidRPr="004473A7" w:rsidRDefault="00000000" w:rsidP="009942CF">
      <w:pPr>
        <w:pStyle w:val="a"/>
      </w:pPr>
      <w:r w:rsidRPr="004473A7">
        <w:t xml:space="preserve">FEVI &lt; 50% por ECO.</w:t>
      </w:r>
    </w:p>
    <w:p w14:paraId="284507EA" w14:textId="4566FA3A" w:rsidR="006F0F8A" w:rsidRPr="004473A7" w:rsidRDefault="00000000" w:rsidP="009942CF">
      <w:pPr>
        <w:pStyle w:val="a"/>
      </w:pPr>
      <w:r w:rsidRPr="004473A7">
        <w:t xml:space="preserve">Clasificación NYHA para la función cardíaca</w:t>
      </w:r>
      <w:r w:rsidRPr="00892792">
        <w:rPr>
          <w:u w:val="single"/>
        </w:rPr>
        <w:t xml:space="preserve">&gt;</w:t>
      </w:r>
      <w:r w:rsidRPr="004473A7">
        <w:t xml:space="preserve">Clase II.</w:t>
      </w:r>
    </w:p>
    <w:p w14:paraId="7B4D7099" w14:textId="25BFC670" w:rsidR="006F0F8A" w:rsidRPr="004473A7" w:rsidRDefault="00000000" w:rsidP="009942CF">
      <w:pPr>
        <w:pStyle w:val="a"/>
      </w:pPr>
      <w:r w:rsidRPr="004473A7">
        <w:t xml:space="preserve">Otras enfermedades cardiovasculares y cerebrovasculares que, según la evaluación del investigador, no sean adecuadas para participar en este estudio.</w:t>
      </w:r>
    </w:p>
    <w:p w14:paraId="64E5A08E" w14:textId="210E3365" w:rsidR="006F0F8A" w:rsidRPr="004473A7" w:rsidRDefault="00000000" w:rsidP="009942CF">
      <w:pPr>
        <w:pStyle w:val="1"/>
      </w:pPr>
      <w:r w:rsidRPr="004473A7">
        <w:t xml:space="preserve">Antecedentes de otra neoplasia maligna primaria, excepto una neoplasia maligna tratada con intención curativa sin enfermedad activa conocida (</w:t>
      </w:r>
      <w:r w:rsidRPr="00892792">
        <w:rPr>
          <w:u w:val="single"/>
        </w:rPr>
        <w:t xml:space="preserve">&gt;</w:t>
      </w:r>
      <w:r w:rsidRPr="004473A7">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14:paraId="584D54E8" w14:textId="40163048" w:rsidR="006F0F8A" w:rsidRPr="004473A7" w:rsidRDefault="00000000" w:rsidP="009942CF">
      <w:pPr>
        <w:pStyle w:val="1"/>
      </w:pPr>
      <w:r w:rsidRPr="004473A7">
        <w:t xml:space="preserve">Exclusiones de enfermedades infecciosas:</w:t>
      </w:r>
    </w:p>
    <w:p w14:paraId="29BF22A5" w14:textId="5F8A0F67" w:rsidR="006F0F8A" w:rsidRPr="004473A7" w:rsidRDefault="00000000" w:rsidP="009942CF">
      <w:pPr>
        <w:pStyle w:val="a"/>
        <w:numPr>
          <w:ilvl w:val="0"/>
          <w:numId w:val="17"/>
        </w:numPr>
      </w:pPr>
      <w:r w:rsidRPr="004473A7">
        <w:t xml:space="preserve">Hepatitis B no controlada conocida y/o hepatitis B crónica o activa con ADN del VHB</w:t>
      </w:r>
      <w:r w:rsidRPr="00892792">
        <w:rPr>
          <w:u w:val="single"/>
        </w:rPr>
        <w:t xml:space="preserve">&gt;</w:t>
      </w:r>
      <w:r w:rsidRPr="004473A7">
        <w:t xml:space="preserve"> 100 UI/ml, consulte la </w:t>
      </w:r>
      <w:r w:rsidRPr="00892792">
        <w:rPr>
          <w:color w:val="0000FF"/>
        </w:rPr>
        <w:t xml:space="preserve">Figura 2</w:t>
      </w:r>
      <w:r w:rsidRPr="004473A7">
        <w:t xml:space="preserve"> para conocer las pruebas de detección y el algoritmo de elegibilidad.</w:t>
      </w:r>
    </w:p>
    <w:p w14:paraId="24A0F008" w14:textId="668EFB5B" w:rsidR="006F0F8A" w:rsidRPr="004473A7" w:rsidRDefault="00000000" w:rsidP="009942CF">
      <w:pPr>
        <w:pStyle w:val="i"/>
      </w:pPr>
      <w:r w:rsidRPr="004473A7">
        <w:t xml:space="preserve">Los participantes con HBsAg positivo son elegibles si el ADN del VHB es &lt; 100 UI/mL y aceptan iniciar o mantener el tratamiento antiviral.</w:t>
      </w:r>
    </w:p>
    <w:p w14:paraId="4D251F73" w14:textId="34935368" w:rsidR="006F0F8A" w:rsidRPr="004473A7" w:rsidRDefault="00000000" w:rsidP="009942CF">
      <w:pPr>
        <w:pStyle w:val="i"/>
      </w:pPr>
      <w:r w:rsidRPr="004473A7">
        <w:t xml:space="preserve">Los participantes con HBsAg negativo y carga viral del VHB 'detectable' son elegibles si el ADN del VHB es &lt;100 UI/mL y aceptan iniciar o mantener el tratamiento antiviral.</w:t>
      </w:r>
    </w:p>
    <w:p w14:paraId="24344FA1" w14:textId="1BDD8952" w:rsidR="006F0F8A" w:rsidRPr="004473A7" w:rsidRDefault="00000000" w:rsidP="009942CF">
      <w:pPr>
        <w:pStyle w:val="i"/>
      </w:pPr>
      <w:r w:rsidRPr="004473A7">
        <w:t xml:space="preserve">Son elegibles los participantes con HBsAg negativo, anti-HBc positivo y ADN del VHB 'indetectable'.</w:t>
      </w:r>
    </w:p>
    <w:p w14:paraId="05DF8698" w14:textId="5DCE8943" w:rsidR="006F0F8A" w:rsidRPr="004473A7" w:rsidRDefault="00000000" w:rsidP="009942CF">
      <w:pPr>
        <w:pStyle w:val="i"/>
      </w:pPr>
      <w:r w:rsidRPr="004473A7">
        <w:t xml:space="preserve">Son elegibles los participantes con HBsAg negativo, anti-HBc negativo y anti-HBs positivo.</w:t>
      </w:r>
    </w:p>
    <w:p w14:paraId="6B3B240C" w14:textId="5BB422CE" w:rsidR="006F0F8A" w:rsidRPr="004473A7" w:rsidRDefault="00000000" w:rsidP="009942CF">
      <w:pPr>
        <w:pStyle w:val="i"/>
      </w:pPr>
      <w:r w:rsidRPr="004473A7">
        <w:lastRenderedPageBreak/>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sidRPr="00892792">
        <w:rPr>
          <w:color w:val="0000FF"/>
        </w:rPr>
        <w:t xml:space="preserve">8.3.5.1 </w:t>
      </w:r>
      <w:r w:rsidRPr="004473A7">
        <w:t xml:space="preserve">para obtener pautas de tratamiento adicionales.</w:t>
      </w:r>
    </w:p>
    <w:p w14:paraId="56E2CE5A" w14:textId="2F79BC95" w:rsidR="006F0F8A" w:rsidRPr="004473A7" w:rsidRDefault="00000000" w:rsidP="009942CF">
      <w:pPr>
        <w:pStyle w:val="a"/>
      </w:pPr>
      <w:r w:rsidRPr="004473A7">
        <w: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14:paraId="56134569" w14:textId="034D4490" w:rsidR="006F0F8A" w:rsidRPr="004473A7" w:rsidRDefault="00000000" w:rsidP="009942CF">
      <w:pPr>
        <w:pStyle w:val="a"/>
      </w:pPr>
      <w:r w:rsidRPr="004473A7">
        <w:t xml:space="preserve">Infección activa por VIH (verificada por anticuerpos positivos contra el VIH-1 o el VIH-2).</w:t>
      </w:r>
    </w:p>
    <w:p w14:paraId="3C5AAA81" w14:textId="6DBBAC68" w:rsidR="006F0F8A" w:rsidRPr="004473A7" w:rsidRDefault="00000000" w:rsidP="009942CF">
      <w:pPr>
        <w:pStyle w:val="a"/>
      </w:pPr>
      <w:r w:rsidRPr="004473A7">
        <w:t xml:space="preserve">Infección sistémica activa, fúngica, bacteriana o de otro tipo, no controlada (definida como la presentación de signos/síntomas continuos relacionados con la infección y sin mejoría, a pesar de los antibióticos adecuados u otro tratamiento).</w:t>
      </w:r>
    </w:p>
    <w:p w14:paraId="7D4BFD23" w14:textId="7A521FF4" w:rsidR="006F0F8A" w:rsidRPr="004473A7" w:rsidRDefault="00000000" w:rsidP="009942CF">
      <w:pPr>
        <w:pStyle w:val="a"/>
      </w:pPr>
      <w:r w:rsidRPr="004473A7">
        <w:t xml:space="preserve">Infección tuberculosa activa (evaluación clínica que puede incluir historia clínica, examen físico y hallazgos radiográficos, o pruebas de tuberculosis de acuerdo con la práctica local).</w:t>
      </w:r>
    </w:p>
    <w:p w14:paraId="673B2598" w14:textId="2489DE2C" w:rsidR="006F0F8A" w:rsidRPr="004473A7" w:rsidRDefault="00000000" w:rsidP="009942CF">
      <w:pPr>
        <w:pStyle w:val="1"/>
      </w:pPr>
      <w:r w:rsidRPr="004473A7">
        <w:t xml:space="preserve">Diabetes no controlada o neuropatía diabética dentro de los 3 meses previos a la aleatorización.</w:t>
      </w:r>
    </w:p>
    <w:p w14:paraId="631E180D" w14:textId="129E91F0" w:rsidR="006F0F8A" w:rsidRPr="004473A7" w:rsidRDefault="00000000" w:rsidP="009942CF">
      <w:pPr>
        <w:pStyle w:val="1"/>
      </w:pPr>
      <w:r w:rsidRPr="004473A7">
        <w: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14:paraId="148D90C7" w14:textId="77777777" w:rsidR="006F0F8A" w:rsidRPr="004473A7" w:rsidRDefault="00000000" w:rsidP="009942CF">
      <w:pPr>
        <w:pStyle w:val="T1"/>
      </w:pPr>
      <w:r w:rsidRPr="004473A7">
        <w:t xml:space="preserve">Terapia previa/concomitante</w:t>
      </w:r>
    </w:p>
    <w:p w14:paraId="15F7E4E8" w14:textId="533626E6" w:rsidR="006F0F8A" w:rsidRPr="004473A7" w:rsidRDefault="00000000" w:rsidP="009942CF">
      <w:pPr>
        <w:pStyle w:val="1"/>
      </w:pPr>
      <w:r w:rsidRPr="004473A7">
        <w:t xml:space="preserve">Exposición previa a cualquier ADC con carga útil MMAE o cualquier tratamiento dirigido a CLDN18.2 que no sea un anticuerpo monoclonal desnudo (por ejemplo, terapia de células CAR-T dirigida a CLDN18.2, anticuerpo multiespecífico que incluya la diana CLDN18.2, </w:t>
      </w:r>
      <w:proofErr w:type="spellStart"/>
      <w:r w:rsidRPr="004473A7">
        <w:t xml:space="preserve">etc.</w:t>
      </w:r>
      <w:proofErr w:type="spellEnd"/>
      <w:r w:rsidRPr="004473A7">
        <w:t xml:space="preserve">).</w:t>
      </w:r>
      <w:proofErr w:type="spellStart"/>
      <w:r w:rsidRPr="004473A7">
        <w:t xml:space="preserve"/>
      </w:r>
      <w:proofErr w:type="spellEnd"/>
      <w:r w:rsidRPr="004473A7">
        <w:t xml:space="preserve"/>
      </w:r>
    </w:p>
    <w:p w14:paraId="62155E1D" w14:textId="240B7890" w:rsidR="006F0F8A" w:rsidRPr="004473A7" w:rsidRDefault="00000000" w:rsidP="009942CF">
      <w:pPr>
        <w:pStyle w:val="1"/>
      </w:pPr>
      <w:r w:rsidRPr="004473A7">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sidRPr="00892792">
        <w:rPr>
          <w:color w:val="0000FF"/>
        </w:rPr>
        <w:t xml:space="preserve">Tabla 10</w:t>
      </w:r>
      <w:r w:rsidRPr="004473A7">
        <w:t xml:space="preserve">.</w:t>
      </w:r>
    </w:p>
    <w:p w14:paraId="68C86376" w14:textId="7F84889F" w:rsidR="006F0F8A" w:rsidRPr="004473A7" w:rsidRDefault="00000000" w:rsidP="009942CF">
      <w:pPr>
        <w:pStyle w:val="1"/>
      </w:pPr>
      <w:r w:rsidRPr="004473A7">
        <w:t xml:space="preserve">Recibir cualquier tratamiento anticanceroso concurrente. Se permite el uso concurrente de terapia hormonal para afecciones no relacionadas con el cáncer (p. ej., terapia de reemplazo hormonal).</w:t>
      </w:r>
      <w:proofErr w:type="spellStart"/>
      <w:r w:rsidRPr="004473A7">
        <w:t xml:space="preserve"/>
      </w:r>
      <w:proofErr w:type="spellEnd"/>
      <w:r w:rsidRPr="004473A7">
        <w:t xml:space="preserve"/>
      </w:r>
    </w:p>
    <w:p w14:paraId="14B60812" w14:textId="5275E129" w:rsidR="006F0F8A" w:rsidRPr="004473A7" w:rsidRDefault="00000000" w:rsidP="009942CF">
      <w:pPr>
        <w:pStyle w:val="1"/>
      </w:pPr>
      <w:r w:rsidRPr="004473A7">
        <w: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r w:rsidR="009942CF">
        <w:t xml:space="preserve"/>
      </w:r>
      <w:r w:rsidRPr="004473A7">
        <w:t xml:space="preserve"/>
      </w:r>
    </w:p>
    <w:p w14:paraId="2660537D" w14:textId="5546386E" w:rsidR="006F0F8A" w:rsidRPr="004473A7" w:rsidRDefault="00000000" w:rsidP="009942CF">
      <w:pPr>
        <w:pStyle w:val="1"/>
      </w:pPr>
      <w:r w:rsidRPr="004473A7">
        <w:t xml:space="preserve">Procedimiento quirúrgico mayor (excluyendo la colocación de acceso vascular) o lesión traumática significativa dentro de las 4 semanas posteriores a la aleatorización o una necesidad anticipada de cirugía mayor durante el estudio.</w:t>
      </w:r>
      <w:r w:rsidRPr="004473A7">
        <w:lastRenderedPageBreak/>
        <w:t xml:space="preserve"/>
      </w:r>
    </w:p>
    <w:p w14:paraId="586F97AF" w14:textId="4B910B7C" w:rsidR="006F0F8A" w:rsidRPr="004473A7" w:rsidRDefault="00000000" w:rsidP="009942CF">
      <w:pPr>
        <w:pStyle w:val="1"/>
      </w:pPr>
      <w:r w:rsidRPr="004473A7">
        <w:t xml:space="preserve">Cualquier agente en investigación o intervención de estudio de un estudio clínico previo: 28 días o 5 vidas medias (lo que sea más corto).</w:t>
      </w:r>
    </w:p>
    <w:p w14:paraId="4C1AF408" w14:textId="77777777" w:rsidR="006F0F8A" w:rsidRPr="004473A7" w:rsidRDefault="00000000" w:rsidP="009942CF">
      <w:pPr>
        <w:pStyle w:val="T1"/>
      </w:pPr>
      <w:r w:rsidRPr="004473A7">
        <w:t xml:space="preserve">Otras exclusiones</w:t>
      </w:r>
    </w:p>
    <w:p w14:paraId="4110C07B" w14:textId="4B155152" w:rsidR="006F0F8A" w:rsidRPr="004473A7" w:rsidRDefault="00000000" w:rsidP="009942CF">
      <w:pPr>
        <w:pStyle w:val="1"/>
      </w:pPr>
      <w:r w:rsidRPr="004473A7">
        <w:t xml:space="preserve">Participación en la planificación y/o realización del estudio (se aplica tanto al personal de AstraZeneca como al personal del sitio del estudio).</w:t>
      </w:r>
    </w:p>
    <w:p w14:paraId="3AB505E7" w14:textId="67949696" w:rsidR="006F0F8A" w:rsidRPr="004473A7" w:rsidRDefault="00000000" w:rsidP="009942CF">
      <w:pPr>
        <w:pStyle w:val="1"/>
      </w:pPr>
      <w:r w:rsidRPr="004473A7">
        <w:t xml:space="preserve">Decisión del investigador de que el participante no debe participar en el estudio si es poco probable que cumpla con los procedimientos, restricciones y requisitos del estudio.</w:t>
      </w:r>
    </w:p>
    <w:p w14:paraId="4DB032E1" w14:textId="0CA1C525" w:rsidR="006F0F8A" w:rsidRPr="004473A7" w:rsidRDefault="00000000" w:rsidP="009942CF">
      <w:pPr>
        <w:pStyle w:val="1"/>
      </w:pPr>
      <w:r w:rsidRPr="004473A7">
        <w:t xml:space="preserve">Inscripción previa o aleatorización en el presente estudio.</w:t>
      </w:r>
    </w:p>
    <w:p w14:paraId="7B9CB1E9" w14:textId="5F70E7BF" w:rsidR="006F0F8A" w:rsidRPr="004473A7" w:rsidRDefault="00000000" w:rsidP="009942CF">
      <w:pPr>
        <w:pStyle w:val="1"/>
      </w:pPr>
      <w:r w:rsidRPr="004473A7">
        <w:t xml:space="preserve">Mujeres actualmente embarazadas (confirmadas con prueba de embarazo positiva) o en período de lactancia, o mujeres que planean quedar embarazadas.</w:t>
      </w:r>
    </w:p>
    <w:p w14:paraId="45621F1F" w14:textId="03D8B34C" w:rsidR="006F0F8A" w:rsidRPr="004473A7" w:rsidRDefault="00000000" w:rsidP="009942CF">
      <w:pPr>
        <w:pStyle w:val="1"/>
      </w:pPr>
      <w:r w:rsidRPr="004473A7">
        <w: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14:paraId="6050BC41" w14:textId="7380B971" w:rsidR="006F0F8A" w:rsidRPr="004473A7" w:rsidRDefault="00000000" w:rsidP="009942CF">
      <w:pPr>
        <w:pStyle w:val="Heading2"/>
      </w:pPr>
      <w:r w:rsidRPr="004473A7">
        <w:t xml:space="preserve">Consideraciones sobre el estilo de vida</w:t>
      </w:r>
    </w:p>
    <w:p w14:paraId="1452FB35" w14:textId="77777777" w:rsidR="006F0F8A" w:rsidRPr="004473A7" w:rsidRDefault="00000000" w:rsidP="009942CF">
      <w:pPr>
        <w:pStyle w:val="Spaced"/>
        <w:spacing w:after="120"/>
      </w:pPr>
      <w:r w:rsidRPr="004473A7">
        <w:t xml:space="preserve">Las siguientes restricciones se aplican mientras el participante recibe la intervención del estudio y durante los momentos especificados antes y después:</w:t>
      </w:r>
    </w:p>
    <w:p w14:paraId="0192E64C" w14:textId="789970A8" w:rsidR="006F0F8A" w:rsidRPr="004473A7" w:rsidRDefault="00000000" w:rsidP="00535D49">
      <w:pPr>
        <w:pStyle w:val="B1"/>
      </w:pPr>
      <w:r w:rsidRPr="004473A7">
        <w:t xml:space="preserve">Abstenerse de consumir vino tinto, naranjas de Sevilla, pomelo o jugo de pomelo,</w:t>
      </w:r>
      <w:r w:rsidR="00535D49">
        <w:t xml:space="preserve"> </w:t>
      </w:r>
      <w:r w:rsidRPr="004473A7">
        <w:t xml:space="preserve">pomelos, frutas cítricas exóticas, híbridos de pomelo o jugos de frutas o quinina (</w:t>
      </w:r>
      <w:proofErr w:type="spellStart"/>
      <w:r w:rsidRPr="004473A7">
        <w:t xml:space="preserve">p. ej.</w:t>
      </w:r>
      <w:proofErr w:type="spellEnd"/>
      <w:r w:rsidRPr="004473A7">
        <w:t xml:space="preserve">, agua tónica) desde 7 días antes del inicio de la intervención del estudio hasta después de la dosis final.</w:t>
      </w:r>
    </w:p>
    <w:p w14:paraId="7B999D24" w14:textId="68B07B2D" w:rsidR="006F0F8A" w:rsidRPr="004473A7" w:rsidRDefault="00000000" w:rsidP="00535D49">
      <w:pPr>
        <w:pStyle w:val="B1"/>
      </w:pPr>
      <w:r w:rsidRPr="004473A7">
        <w:t xml:space="preserve">Los participantes deben seguir los requisitos de anticoncepción descritos en el </w:t>
      </w:r>
      <w:r w:rsidRPr="00892792">
        <w:rPr>
          <w:color w:val="0000FF"/>
        </w:rPr>
        <w:t xml:space="preserve">Apéndice G</w:t>
      </w:r>
      <w:r w:rsidRPr="004473A7">
        <w:t xml:space="preserve">.</w:t>
      </w:r>
    </w:p>
    <w:p w14:paraId="409A9C47" w14:textId="209CBA83" w:rsidR="006F0F8A" w:rsidRPr="004473A7" w:rsidRDefault="00000000" w:rsidP="00535D49">
      <w:pPr>
        <w:pStyle w:val="B1"/>
      </w:pPr>
      <w:r w:rsidRPr="004473A7">
        <w:t xml:space="preserve">Los participantes no deben donar sangre ni componentes sanguíneos mientras participen en este estudio</w:t>
      </w:r>
      <w:r w:rsidR="00535D49">
        <w:t xml:space="preserve"> y hasta 90 días después de la última dosis de la intervención del estudio.</w:t>
      </w:r>
      <w:r w:rsidRPr="004473A7">
        <w:t xml:space="preserve"/>
      </w:r>
    </w:p>
    <w:p w14:paraId="066A1BA0" w14:textId="77777777" w:rsidR="006F0F8A" w:rsidRPr="004473A7" w:rsidRDefault="00000000" w:rsidP="004473A7">
      <w:r w:rsidRPr="004473A7">
        <w:t xml:space="preserve">Las restricciones relacionadas con las terapias concomitantes se describen en la Sección </w:t>
      </w:r>
      <w:r w:rsidRPr="00892792">
        <w:rPr>
          <w:color w:val="0000FF"/>
        </w:rPr>
        <w:t xml:space="preserve">6.9</w:t>
      </w:r>
      <w:r w:rsidRPr="004473A7">
        <w:t xml:space="preserve">.</w:t>
      </w:r>
    </w:p>
    <w:p w14:paraId="2FB275B5" w14:textId="485645BF" w:rsidR="006F0F8A" w:rsidRPr="004473A7" w:rsidRDefault="00000000" w:rsidP="00535D49">
      <w:pPr>
        <w:pStyle w:val="Heading2"/>
      </w:pPr>
      <w:bookmarkStart w:id="0" w:name="_Screen_Failures"/>
      <w:bookmarkEnd w:id="0"/>
      <w:r w:rsidRPr="004473A7">
        <w:t xml:space="preserve">Errores de pantalla</w:t>
      </w:r>
    </w:p>
    <w:p w14:paraId="6C5A7D83" w14:textId="40FB82CF" w:rsidR="006F0F8A" w:rsidRPr="004473A7" w:rsidRDefault="00000000" w:rsidP="004473A7">
      <w:r w:rsidRPr="004473A7">
        <w:t xml:space="preserve">Los fracasos de selección y los fracasos de preselección se definen como participantes que consienten participar en</w:t>
      </w:r>
      <w:r w:rsidR="00671917">
        <w:t xml:space="preserve"> </w:t>
      </w:r>
      <w:r w:rsidR="00121099" w:rsidRPr="00121099">
        <w:t xml:space="preserve">el estudio clínico y/o consienten la preselección pero no son asignados posteriormente al tratamiento del estudio (es decir, aleatorizados).</w:t>
      </w:r>
      <w:proofErr w:type="spellStart"/>
      <w:r w:rsidR="00121099" w:rsidRPr="00121099">
        <w:t xml:space="preserve"/>
      </w:r>
      <w:proofErr w:type="spellEnd"/>
      <w:r w:rsidR="00121099" w:rsidRPr="00121099">
        <w:t xml:space="preserve"/>
      </w:r>
    </w:p>
    <w:sectPr w:rsidR="006F0F8A" w:rsidRPr="004473A7" w:rsidSect="00535D49">
      <w:headerReference w:type="default" r:id="rId7"/>
      <w:footerReference w:type="default" r:id="rId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