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Each party will protect the other party’s Confidential Information using reasonable care and no less than the care it uses to protect its own similar information. Confidential Information does not include information that is (a) publicly available through no fault of the receiving party, (b) independently developed without use of the disclosing party’s information, or (c) rightfully received from a third party without restriction. The receiving party may disclose Confidential Information to the extent required by law, provided it gives prompt notice (where permitted) and cooperates with efforts to limit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