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Customer will pay all undisputed invoices within thirty (30) days of the invoice date (Net 30). Late payments may accrue interest at 1.5% per month (or the maximum rate permitted by law, if lower) from the due date until paid. Supplier may suspend performance for invoices that are more than thirty (30) days overdue after providing written notice and an opportunity to cure.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