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Either party may terminate this agreement for material breach if the breaching party does not cure the breach within thirty (30) days after receiving written notice. Either party may terminate immediately upon the other party’s insolvency or cessation of business. Upon termination, Customer will pay Supplier for all amounts due and payable for services provided through the effective date of termination.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