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020675" w14:textId="57F3A917" w:rsidR="008C67FE" w:rsidRDefault="008C67FE" w:rsidP="008C67FE">
      <w:pPr>
        <w:pStyle w:val="Body"/>
        <w:spacing w:line="360" w:lineRule="auto"/>
        <w:rPr>
          <w:rFonts w:eastAsia="Times New Roman" w:cs="Times New Roman"/>
          <w:b/>
          <w:bCs/>
          <w:szCs w:val="24"/>
        </w:rPr>
      </w:pPr>
      <w:r>
        <w:rPr>
          <w:b/>
          <w:bCs/>
          <w:szCs w:val="24"/>
        </w:rPr>
        <w:t>Luis D. Gonzalez Sanchez</w:t>
      </w:r>
      <w:r>
        <w:rPr>
          <w:b/>
          <w:bCs/>
          <w:szCs w:val="24"/>
        </w:rPr>
        <w:tab/>
      </w:r>
      <w:r>
        <w:rPr>
          <w:b/>
          <w:bCs/>
          <w:szCs w:val="24"/>
        </w:rPr>
        <w:tab/>
      </w:r>
      <w:r>
        <w:rPr>
          <w:b/>
          <w:bCs/>
          <w:szCs w:val="24"/>
        </w:rPr>
        <w:tab/>
      </w:r>
      <w:r>
        <w:rPr>
          <w:b/>
          <w:bCs/>
          <w:szCs w:val="24"/>
        </w:rPr>
        <w:tab/>
      </w:r>
      <w:r>
        <w:rPr>
          <w:b/>
          <w:bCs/>
          <w:szCs w:val="24"/>
        </w:rPr>
        <w:tab/>
      </w:r>
      <w:r>
        <w:rPr>
          <w:b/>
          <w:bCs/>
          <w:szCs w:val="24"/>
        </w:rPr>
        <w:tab/>
        <w:t xml:space="preserve">                      August </w:t>
      </w:r>
      <w:r>
        <w:rPr>
          <w:b/>
          <w:bCs/>
          <w:szCs w:val="24"/>
        </w:rPr>
        <w:t>8</w:t>
      </w:r>
      <w:r>
        <w:rPr>
          <w:b/>
          <w:bCs/>
          <w:szCs w:val="24"/>
        </w:rPr>
        <w:t>, 2026</w:t>
      </w:r>
    </w:p>
    <w:p w14:paraId="3EBE8914" w14:textId="1134FFFE" w:rsidR="008C67FE" w:rsidRPr="003942DE" w:rsidRDefault="008C67FE" w:rsidP="008C67FE">
      <w:pPr>
        <w:pStyle w:val="Body"/>
        <w:spacing w:line="360" w:lineRule="auto"/>
        <w:rPr>
          <w:b/>
          <w:bCs/>
          <w:szCs w:val="24"/>
        </w:rPr>
      </w:pPr>
      <w:r>
        <w:rPr>
          <w:b/>
          <w:bCs/>
          <w:szCs w:val="24"/>
        </w:rPr>
        <w:t>CS530</w:t>
      </w:r>
      <w:r>
        <w:rPr>
          <w:b/>
          <w:bCs/>
          <w:szCs w:val="24"/>
        </w:rPr>
        <w:tab/>
        <w:t>- AI Principles and Applications</w:t>
      </w:r>
      <w:r>
        <w:rPr>
          <w:b/>
          <w:bCs/>
          <w:szCs w:val="24"/>
        </w:rPr>
        <w:tab/>
      </w:r>
      <w:r>
        <w:rPr>
          <w:b/>
          <w:bCs/>
          <w:szCs w:val="24"/>
        </w:rPr>
        <w:tab/>
      </w:r>
      <w:r>
        <w:rPr>
          <w:b/>
          <w:bCs/>
          <w:szCs w:val="24"/>
        </w:rPr>
        <w:tab/>
        <w:t xml:space="preserve">                       </w:t>
      </w:r>
      <w:r>
        <w:rPr>
          <w:b/>
          <w:bCs/>
          <w:szCs w:val="24"/>
        </w:rPr>
        <w:t xml:space="preserve"> </w:t>
      </w:r>
      <w:r>
        <w:rPr>
          <w:b/>
          <w:bCs/>
          <w:szCs w:val="24"/>
        </w:rPr>
        <w:t>Module F</w:t>
      </w:r>
      <w:r>
        <w:rPr>
          <w:b/>
          <w:bCs/>
          <w:szCs w:val="24"/>
        </w:rPr>
        <w:t>ive</w:t>
      </w:r>
      <w:r>
        <w:rPr>
          <w:b/>
          <w:bCs/>
          <w:szCs w:val="24"/>
        </w:rPr>
        <w:t xml:space="preserve"> Journal</w:t>
      </w:r>
    </w:p>
    <w:p w14:paraId="0FD5D181" w14:textId="77777777" w:rsidR="008C67FE" w:rsidRDefault="008C67FE">
      <w:pPr>
        <w:pStyle w:val="Body"/>
        <w:tabs>
          <w:tab w:val="right" w:pos="9360"/>
        </w:tabs>
      </w:pPr>
    </w:p>
    <w:p w14:paraId="3A62B042" w14:textId="77777777" w:rsidR="002F4E27" w:rsidRDefault="002F4E27">
      <w:pPr>
        <w:spacing w:after="0" w:line="240" w:lineRule="auto"/>
      </w:pPr>
    </w:p>
    <w:p w14:paraId="7710B934" w14:textId="77777777" w:rsidR="002F4E27" w:rsidRDefault="00000000">
      <w:pPr>
        <w:pStyle w:val="Body"/>
        <w:spacing w:line="480" w:lineRule="auto"/>
        <w:ind w:firstLine="720"/>
        <w:jc w:val="both"/>
      </w:pPr>
      <w:r>
        <w:t>Artificial Intelligence tools can help developers generate code faster, but that convenience does not remove intellectual property responsibilities. One common risk is uncertainty about ownership. Copyright normally depends on human authorship and original expression, so code produced almost entirely by AI may receive limited or uncertain protection. The provider’s terms, the developer’s employment agreement, and the amount of human revision can also affect who may claim rights. Lucchi (2024) explains that generative AI complicates authorship and ownership because the system is not a legal person and originality depends on meaningful human involvement. Therefore, paying for an AI tool does not automatically provide exclusive copyright over every result.</w:t>
      </w:r>
    </w:p>
    <w:p w14:paraId="579DE8F0" w14:textId="77777777" w:rsidR="002F4E27" w:rsidRDefault="00000000">
      <w:pPr>
        <w:pStyle w:val="Body"/>
        <w:spacing w:line="480" w:lineRule="auto"/>
        <w:ind w:firstLine="720"/>
        <w:jc w:val="both"/>
      </w:pPr>
      <w:r>
        <w:t>Licensing conflict is another important risk. Open-source code is publicly available, but it is not automatically free of obligations. A permissive license such as MIT or Apache may require attribution and preservation of notices. A copyleft license such as the GPL can require covered derivative software to be distributed under the same license and with source code available. If an AI assistant reproduces a recognizable section without identifying its origin, a developer might place licensed code inside a proprietary product and violate those conditions. Yu et al. (2023) evaluated several code-language models and found that they could generate programs similar to licensed source code. Their study also shows why license checking is difficult: repositories use many licenses with different attribution, distribution, and source-sharing requirements.</w:t>
      </w:r>
    </w:p>
    <w:p w14:paraId="5FFE325A" w14:textId="77777777" w:rsidR="002F4E27" w:rsidRDefault="00000000">
      <w:pPr>
        <w:pStyle w:val="Body"/>
        <w:spacing w:line="480" w:lineRule="auto"/>
        <w:ind w:firstLine="720"/>
        <w:jc w:val="both"/>
      </w:pPr>
      <w:r>
        <w:t xml:space="preserve">Copyright infringement is related to licensing conflict, but the two concepts are not identical. Copyright is the legal protection that gives an author exclusive rights over original expression, including sufficiently creative source code. Infringement may occur when someone </w:t>
      </w:r>
      <w:r>
        <w:lastRenderedPageBreak/>
        <w:t>reproduces or distributes protected expression without permission or a valid exception. A software license is the copyright owner’s permission to use the code under stated conditions. In other words, copyright creates the owner’s rights, while a license explains what another person is allowed to do with those rights. A developer can infringe copyright by copying protected code without permission, or violate a license by having permission but ignoring its requirements. The case study also raises questions about copyrighted training data, fair use, derivative works, and attribution, demonstrating that the law is still developing around both AI inputs and outputs (Lucchi, 2024). Similar functionality alone is not necessarily infringement, but unusually similar expressive code should receive careful review.</w:t>
      </w:r>
    </w:p>
    <w:p w14:paraId="35DE8781" w14:textId="77777777" w:rsidR="002F4E27" w:rsidRDefault="00000000">
      <w:pPr>
        <w:pStyle w:val="Body"/>
        <w:spacing w:line="480" w:lineRule="auto"/>
        <w:ind w:firstLine="720"/>
        <w:jc w:val="both"/>
      </w:pPr>
      <w:r>
        <w:t>Developers should first use responsible prompt handling. Proprietary source code, credentials, customer information, trade secrets, and confidential algorithms should not be entered into a public AI service unless the organization has approved the tool and verified its data-retention and training policies. Prompts should include only the minimum context necessary and should use placeholders or sanitized examples whenever possible. Companies should provide written rules explaining which tools and data classifications are permitted. Enterprise settings that limit retention can reduce exposure, but they do not replace developer judgment. A prompt can become a disclosure of confidential information even when the generated answer is never used.</w:t>
      </w:r>
    </w:p>
    <w:p w14:paraId="35012D6A" w14:textId="77777777" w:rsidR="002F4E27" w:rsidRDefault="00000000">
      <w:pPr>
        <w:pStyle w:val="Body"/>
        <w:spacing w:line="480" w:lineRule="auto"/>
        <w:ind w:firstLine="720"/>
        <w:jc w:val="both"/>
      </w:pPr>
      <w:r>
        <w:t xml:space="preserve">Every AI-generated suggestion should also go through the same code review process as human-written code. The developer should understand the logic, revise it when necessary, run tests, scan for vulnerabilities, and document significant AI assistance. Reviewers should look for suspicious comments, uncommon variable names, long distinctive sequences, or notices that suggest the output came from another project. Code similarity and provenance tools can help </w:t>
      </w:r>
      <w:r>
        <w:lastRenderedPageBreak/>
        <w:t>search public repositories, while software composition analysis can identify known packages and licenses. However, automated scanners can miss modified fragments or produce false positives. For higher-risk or commercial releases, uncertain results should be escalated to the organization’s legal or open-source compliance team instead of being accepted because the code compiles.</w:t>
      </w:r>
    </w:p>
    <w:p w14:paraId="09381547" w14:textId="77777777" w:rsidR="002F4E27" w:rsidRDefault="00000000">
      <w:pPr>
        <w:pStyle w:val="Body"/>
        <w:spacing w:line="480" w:lineRule="auto"/>
        <w:ind w:firstLine="720"/>
        <w:jc w:val="both"/>
      </w:pPr>
      <w:r>
        <w:t>Last but not least, license checking should occur before AI-generated code is merged and again before release. Developers should preserve copyright notices, attribution files, license texts, and a software bill of materials when required. Code with no visible license should not be treated as public-domain code because copyright generally remains with its author. Teams should record prompts, suggestions, human modifications, review results, and tool versions so that decisions can be explained later. In summary, AI should be treated as an assistant and not as an anonymous source of ready-to-own code. Clear prompt rules, human review, provenance checks, and license compliance reduce legal, ethical, and confidentiality risks. They cannot eliminate every uncertainty in a changing area of law, but they create a more responsible and defensible development process.</w:t>
      </w:r>
    </w:p>
    <w:p w14:paraId="679597B8" w14:textId="77777777" w:rsidR="008C67FE" w:rsidRDefault="008C67FE">
      <w:pPr>
        <w:pStyle w:val="Body"/>
        <w:spacing w:line="480" w:lineRule="auto"/>
        <w:ind w:firstLine="720"/>
        <w:jc w:val="both"/>
      </w:pPr>
    </w:p>
    <w:p w14:paraId="67B5ABC5" w14:textId="77777777" w:rsidR="008C67FE" w:rsidRDefault="008C67FE">
      <w:pPr>
        <w:pStyle w:val="Body"/>
        <w:spacing w:line="480" w:lineRule="auto"/>
        <w:ind w:firstLine="720"/>
        <w:jc w:val="both"/>
      </w:pPr>
    </w:p>
    <w:p w14:paraId="67269A50" w14:textId="77777777" w:rsidR="008C67FE" w:rsidRDefault="008C67FE">
      <w:pPr>
        <w:pStyle w:val="Body"/>
        <w:spacing w:line="480" w:lineRule="auto"/>
        <w:ind w:firstLine="720"/>
        <w:jc w:val="both"/>
      </w:pPr>
    </w:p>
    <w:p w14:paraId="067E51A5" w14:textId="77777777" w:rsidR="008C67FE" w:rsidRDefault="008C67FE">
      <w:pPr>
        <w:pStyle w:val="Body"/>
        <w:spacing w:line="480" w:lineRule="auto"/>
        <w:ind w:firstLine="720"/>
        <w:jc w:val="both"/>
      </w:pPr>
    </w:p>
    <w:p w14:paraId="50230970" w14:textId="77777777" w:rsidR="008C67FE" w:rsidRDefault="008C67FE">
      <w:pPr>
        <w:pStyle w:val="Body"/>
        <w:spacing w:line="480" w:lineRule="auto"/>
        <w:ind w:firstLine="720"/>
        <w:jc w:val="both"/>
      </w:pPr>
    </w:p>
    <w:p w14:paraId="5D739C8E" w14:textId="77777777" w:rsidR="008C67FE" w:rsidRDefault="008C67FE">
      <w:pPr>
        <w:pStyle w:val="Body"/>
        <w:spacing w:line="480" w:lineRule="auto"/>
        <w:ind w:firstLine="720"/>
        <w:jc w:val="both"/>
      </w:pPr>
    </w:p>
    <w:p w14:paraId="27D303D2" w14:textId="77777777" w:rsidR="008C67FE" w:rsidRDefault="008C67FE">
      <w:pPr>
        <w:pStyle w:val="Body"/>
        <w:spacing w:line="480" w:lineRule="auto"/>
        <w:ind w:firstLine="720"/>
        <w:jc w:val="both"/>
      </w:pPr>
    </w:p>
    <w:p w14:paraId="55875356" w14:textId="77777777" w:rsidR="008C67FE" w:rsidRDefault="008C67FE">
      <w:pPr>
        <w:pStyle w:val="Body"/>
        <w:spacing w:line="480" w:lineRule="auto"/>
        <w:ind w:firstLine="720"/>
        <w:jc w:val="both"/>
      </w:pPr>
    </w:p>
    <w:p w14:paraId="4794E922" w14:textId="77777777" w:rsidR="002F4E27" w:rsidRDefault="00000000">
      <w:pPr>
        <w:pStyle w:val="Body"/>
        <w:spacing w:line="480" w:lineRule="auto"/>
      </w:pPr>
      <w:r>
        <w:rPr>
          <w:b/>
        </w:rPr>
        <w:lastRenderedPageBreak/>
        <w:t>References</w:t>
      </w:r>
    </w:p>
    <w:p w14:paraId="36C09ADD" w14:textId="77777777" w:rsidR="002F4E27" w:rsidRDefault="00000000">
      <w:pPr>
        <w:pStyle w:val="Body"/>
        <w:spacing w:line="480" w:lineRule="auto"/>
        <w:ind w:left="720" w:hanging="720"/>
      </w:pPr>
      <w:r>
        <w:t>Lucchi, N. (2024). ChatGPT: A case study on copyright challenges for generative artificial intelligence systems. European Journal of Risk Regulation, 15(3), 602–624. https://doi.org/10.1017/err.2023.59</w:t>
      </w:r>
    </w:p>
    <w:p w14:paraId="1601DE23" w14:textId="77777777" w:rsidR="002F4E27" w:rsidRDefault="00000000">
      <w:pPr>
        <w:pStyle w:val="Body"/>
        <w:spacing w:line="480" w:lineRule="auto"/>
        <w:ind w:left="720" w:hanging="720"/>
      </w:pPr>
      <w:r>
        <w:t>Yu, Z., Wu, Y., Zhang, N., Wang, C., Vorobeychik, Y., &amp; Xiao, C. (2023). CodeIPPrompt: Intellectual property infringement assessment of code language models. Proceedings of the 40th International Conference on Machine Learning, 202, 40373–40389. https://proceedings.mlr.press/v202/yu23g.html</w:t>
      </w:r>
    </w:p>
    <w:sectPr w:rsidR="002F4E2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3C527F"/>
    <w:multiLevelType w:val="hybridMultilevel"/>
    <w:tmpl w:val="4404C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260F1D"/>
    <w:multiLevelType w:val="hybridMultilevel"/>
    <w:tmpl w:val="20F0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1054050">
    <w:abstractNumId w:val="8"/>
  </w:num>
  <w:num w:numId="2" w16cid:durableId="660933074">
    <w:abstractNumId w:val="6"/>
  </w:num>
  <w:num w:numId="3" w16cid:durableId="1533957796">
    <w:abstractNumId w:val="5"/>
  </w:num>
  <w:num w:numId="4" w16cid:durableId="1714618467">
    <w:abstractNumId w:val="4"/>
  </w:num>
  <w:num w:numId="5" w16cid:durableId="437649871">
    <w:abstractNumId w:val="7"/>
  </w:num>
  <w:num w:numId="6" w16cid:durableId="1699164565">
    <w:abstractNumId w:val="3"/>
  </w:num>
  <w:num w:numId="7" w16cid:durableId="649987965">
    <w:abstractNumId w:val="2"/>
  </w:num>
  <w:num w:numId="8" w16cid:durableId="452602806">
    <w:abstractNumId w:val="1"/>
  </w:num>
  <w:num w:numId="9" w16cid:durableId="1835104584">
    <w:abstractNumId w:val="0"/>
  </w:num>
  <w:num w:numId="10" w16cid:durableId="1653944062">
    <w:abstractNumId w:val="9"/>
  </w:num>
  <w:num w:numId="11" w16cid:durableId="1195772392">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FE"/>
    <w:rsid w:val="00034616"/>
    <w:rsid w:val="0006063C"/>
    <w:rsid w:val="0015074B"/>
    <w:rsid w:val="00154FF4"/>
    <w:rsid w:val="001724CE"/>
    <w:rsid w:val="0020011A"/>
    <w:rsid w:val="00245012"/>
    <w:rsid w:val="00264FC1"/>
    <w:rsid w:val="0029639D"/>
    <w:rsid w:val="002F4E27"/>
    <w:rsid w:val="00326F90"/>
    <w:rsid w:val="0068255D"/>
    <w:rsid w:val="00775FE9"/>
    <w:rsid w:val="008C67FE"/>
    <w:rsid w:val="00AA1D8D"/>
    <w:rsid w:val="00B4612A"/>
    <w:rsid w:val="00B47730"/>
    <w:rsid w:val="00CB0664"/>
    <w:rsid w:val="00CE5DD9"/>
    <w:rsid w:val="00F303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0B7C9"/>
  <w14:defaultImageDpi w14:val="300"/>
  <w15:docId w15:val="{98BC832C-6B0D-3644-ADF7-FCDCB71F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5FE9"/>
    <w:rPr>
      <w:color w:val="0000FF" w:themeColor="hyperlink"/>
      <w:u w:val="single"/>
    </w:rPr>
  </w:style>
  <w:style w:type="character" w:styleId="UnresolvedMention">
    <w:name w:val="Unresolved Mention"/>
    <w:basedOn w:val="DefaultParagraphFont"/>
    <w:uiPriority w:val="99"/>
    <w:semiHidden/>
    <w:unhideWhenUsed/>
    <w:rsid w:val="00775FE9"/>
    <w:rPr>
      <w:color w:val="605E5C"/>
      <w:shd w:val="clear" w:color="auto" w:fill="E1DFDD"/>
    </w:rPr>
  </w:style>
  <w:style w:type="character" w:styleId="FollowedHyperlink">
    <w:name w:val="FollowedHyperlink"/>
    <w:basedOn w:val="DefaultParagraphFont"/>
    <w:uiPriority w:val="99"/>
    <w:semiHidden/>
    <w:unhideWhenUsed/>
    <w:rsid w:val="00775FE9"/>
    <w:rPr>
      <w:color w:val="800080" w:themeColor="followedHyperlink"/>
      <w:u w:val="single"/>
    </w:rPr>
  </w:style>
  <w:style w:type="paragraph" w:customStyle="1" w:styleId="Body">
    <w:name w:val="Body"/>
    <w:rsid w:val="00775FE9"/>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bdr w:val="nil"/>
      <w14:textOutline w14:w="0" w14:cap="flat" w14:cmpd="sng" w14:algn="ctr">
        <w14:noFill/>
        <w14:prstDash w14:val="solid"/>
        <w14:bevel/>
      </w14:textOutline>
    </w:rPr>
  </w:style>
  <w:style w:type="paragraph" w:customStyle="1" w:styleId="p1">
    <w:name w:val="p1"/>
    <w:basedOn w:val="Normal"/>
    <w:rsid w:val="00775FE9"/>
    <w:pPr>
      <w:spacing w:before="100" w:beforeAutospacing="1" w:after="100" w:afterAutospacing="1" w:line="240" w:lineRule="auto"/>
    </w:pPr>
    <w:rPr>
      <w:rFonts w:eastAsia="Times New Roman" w:cs="Times New Roman"/>
      <w:szCs w:val="24"/>
    </w:rPr>
  </w:style>
  <w:style w:type="paragraph" w:customStyle="1" w:styleId="p3">
    <w:name w:val="p3"/>
    <w:basedOn w:val="Normal"/>
    <w:rsid w:val="00775FE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871</Words>
  <Characters>4968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AI Ethics Journal</vt:lpstr>
    </vt:vector>
  </TitlesOfParts>
  <Manager/>
  <Company/>
  <LinksUpToDate>false</LinksUpToDate>
  <CharactersWithSpaces>5828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AI-Generated Code Intellectual Property Journal</dc:title>
  <dc:subject>Ownership, copyright, software licensing, and responsible AI code-generation practices</dc:subject>
  <dc:creator>Luis D. Gonzalez Sanchez</dc:creator>
  <cp:keywords/>
  <dc:description>generated by python-docx</dc:description>
  <cp:lastModifiedBy>Gonzalez Sanchez, Luis</cp:lastModifiedBy>
  <cp:revision>7</cp:revision>
  <dcterms:created xsi:type="dcterms:W3CDTF">2013-12-23T23:15:00Z</dcterms:created>
  <dcterms:modified xsi:type="dcterms:W3CDTF">2026-08-08T20:33:00Z</dcterms:modified>
  <cp:category/>
</cp:coreProperties>
</file>