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037B0C" w14:textId="1900CFBE" w:rsidR="000253FE" w:rsidRDefault="000253FE" w:rsidP="000253FE">
      <w:pPr>
        <w:pStyle w:val="Body"/>
        <w:spacing w:line="480" w:lineRule="auto"/>
        <w:rPr>
          <w:rFonts w:eastAsia="Times New Roman" w:cs="Times New Roman"/>
          <w:b/>
          <w:bCs/>
          <w:szCs w:val="24"/>
        </w:rPr>
      </w:pPr>
      <w:r>
        <w:rPr>
          <w:b/>
          <w:bCs/>
          <w:szCs w:val="24"/>
        </w:rPr>
        <w:t>Luis D. Gonzalez Sanchez</w:t>
      </w:r>
      <w:r>
        <w:rPr>
          <w:b/>
          <w:bCs/>
          <w:szCs w:val="24"/>
        </w:rPr>
        <w:tab/>
      </w:r>
      <w:r>
        <w:rPr>
          <w:b/>
          <w:bCs/>
          <w:szCs w:val="24"/>
        </w:rPr>
        <w:tab/>
      </w:r>
      <w:r>
        <w:rPr>
          <w:b/>
          <w:bCs/>
          <w:szCs w:val="24"/>
        </w:rPr>
        <w:tab/>
      </w:r>
      <w:r>
        <w:rPr>
          <w:b/>
          <w:bCs/>
          <w:szCs w:val="24"/>
        </w:rPr>
        <w:tab/>
      </w:r>
      <w:r>
        <w:rPr>
          <w:b/>
          <w:bCs/>
          <w:szCs w:val="24"/>
        </w:rPr>
        <w:tab/>
      </w:r>
      <w:r>
        <w:rPr>
          <w:b/>
          <w:bCs/>
          <w:szCs w:val="24"/>
        </w:rPr>
        <w:tab/>
        <w:t xml:space="preserve">                      </w:t>
      </w:r>
      <w:r>
        <w:rPr>
          <w:b/>
          <w:bCs/>
          <w:szCs w:val="24"/>
        </w:rPr>
        <w:t>August</w:t>
      </w:r>
      <w:r>
        <w:rPr>
          <w:b/>
          <w:bCs/>
          <w:szCs w:val="24"/>
        </w:rPr>
        <w:t xml:space="preserve"> 2, 2026</w:t>
      </w:r>
    </w:p>
    <w:p w14:paraId="42943880" w14:textId="1485135A" w:rsidR="000253FE" w:rsidRPr="003942DE" w:rsidRDefault="000253FE" w:rsidP="000253FE">
      <w:pPr>
        <w:pStyle w:val="Body"/>
        <w:spacing w:line="480" w:lineRule="auto"/>
        <w:rPr>
          <w:b/>
          <w:bCs/>
          <w:szCs w:val="24"/>
        </w:rPr>
      </w:pPr>
      <w:r>
        <w:rPr>
          <w:b/>
          <w:bCs/>
          <w:szCs w:val="24"/>
        </w:rPr>
        <w:t>CS530</w:t>
      </w:r>
      <w:r>
        <w:rPr>
          <w:b/>
          <w:bCs/>
          <w:szCs w:val="24"/>
        </w:rPr>
        <w:tab/>
        <w:t>- AI Principles and Applications</w:t>
      </w:r>
      <w:r>
        <w:rPr>
          <w:b/>
          <w:bCs/>
          <w:szCs w:val="24"/>
        </w:rPr>
        <w:tab/>
      </w:r>
      <w:r>
        <w:rPr>
          <w:b/>
          <w:bCs/>
          <w:szCs w:val="24"/>
        </w:rPr>
        <w:tab/>
      </w:r>
      <w:r>
        <w:rPr>
          <w:b/>
          <w:bCs/>
          <w:szCs w:val="24"/>
        </w:rPr>
        <w:tab/>
        <w:t xml:space="preserve">                       Module </w:t>
      </w:r>
      <w:r>
        <w:rPr>
          <w:b/>
          <w:bCs/>
          <w:szCs w:val="24"/>
        </w:rPr>
        <w:t>Four</w:t>
      </w:r>
      <w:r>
        <w:rPr>
          <w:b/>
          <w:bCs/>
          <w:szCs w:val="24"/>
        </w:rPr>
        <w:t xml:space="preserve"> </w:t>
      </w:r>
      <w:r>
        <w:rPr>
          <w:b/>
          <w:bCs/>
          <w:szCs w:val="24"/>
        </w:rPr>
        <w:t>Journal</w:t>
      </w:r>
    </w:p>
    <w:p w14:paraId="58EB8A81" w14:textId="77777777" w:rsidR="0068255D" w:rsidRDefault="0068255D">
      <w:pPr>
        <w:spacing w:after="0" w:line="240" w:lineRule="auto"/>
      </w:pPr>
    </w:p>
    <w:p w14:paraId="5ACE4A09" w14:textId="77777777" w:rsidR="000253FE" w:rsidRDefault="000253FE">
      <w:pPr>
        <w:spacing w:after="0" w:line="240" w:lineRule="auto"/>
      </w:pPr>
    </w:p>
    <w:p w14:paraId="5F2D569F" w14:textId="77777777" w:rsidR="0068255D" w:rsidRDefault="00000000">
      <w:pPr>
        <w:pStyle w:val="Body"/>
        <w:spacing w:line="480" w:lineRule="auto"/>
        <w:ind w:firstLine="720"/>
        <w:jc w:val="both"/>
      </w:pPr>
      <w:r>
        <w:t>Artificial Intelligence is increasingly being used to make decisions that affect employment, healthcare, finances, education, and even a person's freedom. Ethical considerations should therefore be included throughout data collection, model design, testing, deployment, and monitoring. The main principles are fairness, accountability, transparency, privacy, non-maleficence, and human oversight. A study of international AI guidelines found broad agreement around these ideas, although their meaning and implementation differed between organizations (Jobin et al., 2019). This shows that agreeing with an ethical idea is easier than putting it into practice.</w:t>
      </w:r>
    </w:p>
    <w:p w14:paraId="6960F0D8" w14:textId="77777777" w:rsidR="0068255D" w:rsidRDefault="00000000">
      <w:pPr>
        <w:pStyle w:val="Body"/>
        <w:spacing w:line="480" w:lineRule="auto"/>
        <w:ind w:firstLine="720"/>
        <w:jc w:val="both"/>
      </w:pPr>
      <w:r>
        <w:t>Ethics can be implemented through an ethics-by-design approach. Developers should evaluate whether training data represents the affected population, document its origin, test outcomes across groups, and assign responsibility to humans who can correct harmful decisions. Companies should conduct impact assessments before deployment and continue auditing afterward because data and social conditions can change. Fairness does not simply mean treating everyone identically; it can require recognizing different disadvantages. Accountability is equally important because a company should not blame an algorithm that it selected and authorized. Last but not least, people affected by an automated decision should be notified and given a meaningful way to challenge it.</w:t>
      </w:r>
    </w:p>
    <w:p w14:paraId="47047B90" w14:textId="77777777" w:rsidR="0068255D" w:rsidRDefault="00000000">
      <w:pPr>
        <w:pStyle w:val="Body"/>
        <w:spacing w:line="480" w:lineRule="auto"/>
        <w:ind w:firstLine="720"/>
        <w:jc w:val="both"/>
      </w:pPr>
      <w:r>
        <w:t>Technology can support these principles, but it cannot solve every ethical problem by itself. Explainable AI tools can show which variables influenced an output, while bias metrics can compare error rates between groups. Model cards, data documentation, audit logs, privacy-</w:t>
      </w:r>
      <w:r>
        <w:lastRenderedPageBreak/>
        <w:t>preserving methods, and human-in-the-loop review can also improve transparency and accountability. These solutions are useful because they create evidence that developers, regulators, and affected users can examine. However, an explanation of a black-box model might appear convincing without accurately representing how the system reached its decision. Rudin (2019) argues that high-stakes decisions should use models that are interpretable by design instead of relying only on explanations created after a black-box decision. Therefore, technological solutions are most effective when they support clear design, independent audits, and human judgment rather than replacing them.</w:t>
      </w:r>
    </w:p>
    <w:p w14:paraId="12052F23" w14:textId="77777777" w:rsidR="0068255D" w:rsidRDefault="00000000">
      <w:pPr>
        <w:pStyle w:val="Body"/>
        <w:spacing w:line="480" w:lineRule="auto"/>
        <w:ind w:firstLine="720"/>
        <w:jc w:val="both"/>
      </w:pPr>
      <w:r>
        <w:t>Another challenge is that ethical theories can point toward different answers. A utilitarian approach might approve a system that benefits the largest number of people, even if a smaller group is harmed. A rights-based or deontological approach might reject that same system because it violates privacy, equality, or due process. Even fairness has multiple definitions that cannot always be satisfied at the same time. Improving equal error rates between groups might reduce overall accuracy, while collecting sensitive demographic information to measure discrimination can create privacy concerns. Cultural values and local laws also influence what societies consider acceptable. AI does not understand these conflicts in the same way a responsible human decision maker does, so ethical decisions require multidisciplinary teams instead of developers working alone.</w:t>
      </w:r>
    </w:p>
    <w:p w14:paraId="6BEE13CD" w14:textId="77777777" w:rsidR="0068255D" w:rsidRDefault="00000000">
      <w:pPr>
        <w:pStyle w:val="Body"/>
        <w:spacing w:line="480" w:lineRule="auto"/>
        <w:ind w:firstLine="720"/>
        <w:jc w:val="both"/>
      </w:pPr>
      <w:r>
        <w:t xml:space="preserve">International guidelines are significant because AI systems and companies operate across borders. UNESCO's Recommendation on the Ethics of Artificial Intelligence places human rights and dignity at the center of AI governance and emphasizes fairness, transparency, privacy, and human oversight (UNESCO, 2021). A shared framework can give governments and companies a common starting point, reduce regulatory gaps, and protect people in countries that </w:t>
      </w:r>
      <w:r>
        <w:lastRenderedPageBreak/>
        <w:t>have not developed detailed AI laws. However, international recommendations are often broad or voluntary. Nations have different legal systems, resources, and cultural priorities, making enforcement inconsistent. Guidelines can also become outdated as AI develops faster than regulation. For that reason, international cooperation is necessary, but it must be supported by national laws, technical standards, independent audits, and real consequences when organizations cause preventable harm.</w:t>
      </w:r>
    </w:p>
    <w:p w14:paraId="277A8142" w14:textId="77777777" w:rsidR="0068255D" w:rsidRDefault="00000000">
      <w:pPr>
        <w:pStyle w:val="Body"/>
        <w:spacing w:line="480" w:lineRule="auto"/>
        <w:ind w:firstLine="720"/>
        <w:jc w:val="both"/>
      </w:pPr>
      <w:r>
        <w:t>In the future, AI ethics frameworks will need to become more adaptive and practical. Monitoring should continue after deployment, especially when a system learns from new information or is used for a different purpose. Regulators need technical expertise, while developers need clear requirements that do not prevent useful innovation. Perfectly unbiased AI is probably impossible because humans select the data, objectives, and definitions of acceptable behavior. However, harmful bias should not be accepted. Ethical AI is not a system that never makes a mistake; it is one whose risks are measured, explained, challenged, and corrected by accountable humans. International principles, technological tools, and regulation are all necessary, but none is enough when used alone.</w:t>
      </w:r>
    </w:p>
    <w:p w14:paraId="5E31508D" w14:textId="77777777" w:rsidR="000253FE" w:rsidRDefault="000253FE">
      <w:pPr>
        <w:pStyle w:val="Body"/>
        <w:spacing w:line="480" w:lineRule="auto"/>
        <w:ind w:firstLine="720"/>
        <w:jc w:val="both"/>
      </w:pPr>
    </w:p>
    <w:p w14:paraId="21BD761A" w14:textId="77777777" w:rsidR="0068255D" w:rsidRDefault="00000000">
      <w:pPr>
        <w:pStyle w:val="Body"/>
        <w:spacing w:line="480" w:lineRule="auto"/>
      </w:pPr>
      <w:r>
        <w:rPr>
          <w:b/>
        </w:rPr>
        <w:t>References</w:t>
      </w:r>
    </w:p>
    <w:p w14:paraId="7C6894F7" w14:textId="77777777" w:rsidR="0068255D" w:rsidRDefault="00000000">
      <w:pPr>
        <w:pStyle w:val="Body"/>
        <w:spacing w:line="480" w:lineRule="auto"/>
        <w:ind w:left="720" w:hanging="720"/>
      </w:pPr>
      <w:r>
        <w:t>Jobin, A., Ienca, M., &amp; Vayena, E. (2019). The global landscape of AI ethics guidelines. Nature Machine Intelligence, 1(9), 389–399. https://doi.org/10.1038/s42256-019-0088-2</w:t>
      </w:r>
    </w:p>
    <w:p w14:paraId="5327B98C" w14:textId="77777777" w:rsidR="0068255D" w:rsidRDefault="00000000">
      <w:pPr>
        <w:pStyle w:val="Body"/>
        <w:spacing w:line="480" w:lineRule="auto"/>
        <w:ind w:left="720" w:hanging="720"/>
      </w:pPr>
      <w:r>
        <w:t>Rudin, C. (2019). Stop explaining black box machine learning models for high stakes decisions and use interpretable models instead. Nature Machine Intelligence, 1(5), 206–215. https://doi.org/10.1038/s42256-019-0048-x</w:t>
      </w:r>
    </w:p>
    <w:p w14:paraId="36060667" w14:textId="77777777" w:rsidR="0068255D" w:rsidRDefault="00000000">
      <w:pPr>
        <w:pStyle w:val="Body"/>
        <w:spacing w:line="480" w:lineRule="auto"/>
        <w:ind w:left="720" w:hanging="720"/>
      </w:pPr>
      <w:r>
        <w:lastRenderedPageBreak/>
        <w:t>United Nations Educational, Scientific and Cultural Organization. (2021). Recommendation on the ethics of artificial intelligence. https://www.unesco.org/en/legal-affairs/recommendation-ethics-artificial-intelligence</w:t>
      </w:r>
    </w:p>
    <w:sectPr w:rsidR="0068255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3C527F"/>
    <w:multiLevelType w:val="hybridMultilevel"/>
    <w:tmpl w:val="4404C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260F1D"/>
    <w:multiLevelType w:val="hybridMultilevel"/>
    <w:tmpl w:val="20F0F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054050">
    <w:abstractNumId w:val="8"/>
  </w:num>
  <w:num w:numId="2" w16cid:durableId="660933074">
    <w:abstractNumId w:val="6"/>
  </w:num>
  <w:num w:numId="3" w16cid:durableId="1533957796">
    <w:abstractNumId w:val="5"/>
  </w:num>
  <w:num w:numId="4" w16cid:durableId="1714618467">
    <w:abstractNumId w:val="4"/>
  </w:num>
  <w:num w:numId="5" w16cid:durableId="437649871">
    <w:abstractNumId w:val="7"/>
  </w:num>
  <w:num w:numId="6" w16cid:durableId="1699164565">
    <w:abstractNumId w:val="3"/>
  </w:num>
  <w:num w:numId="7" w16cid:durableId="649987965">
    <w:abstractNumId w:val="2"/>
  </w:num>
  <w:num w:numId="8" w16cid:durableId="452602806">
    <w:abstractNumId w:val="1"/>
  </w:num>
  <w:num w:numId="9" w16cid:durableId="1835104584">
    <w:abstractNumId w:val="0"/>
  </w:num>
  <w:num w:numId="10" w16cid:durableId="1653944062">
    <w:abstractNumId w:val="9"/>
  </w:num>
  <w:num w:numId="11" w16cid:durableId="119577239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3FE"/>
    <w:rsid w:val="00034616"/>
    <w:rsid w:val="0006063C"/>
    <w:rsid w:val="0015074B"/>
    <w:rsid w:val="00154FF4"/>
    <w:rsid w:val="001724CE"/>
    <w:rsid w:val="0020011A"/>
    <w:rsid w:val="00245012"/>
    <w:rsid w:val="00264FC1"/>
    <w:rsid w:val="0029639D"/>
    <w:rsid w:val="00326F90"/>
    <w:rsid w:val="0068255D"/>
    <w:rsid w:val="00775FE9"/>
    <w:rsid w:val="00AA1D8D"/>
    <w:rsid w:val="00B4612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43A99"/>
  <w14:defaultImageDpi w14:val="300"/>
  <w15:docId w15:val="{98BC832C-6B0D-3644-ADF7-FCDCB71FA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5FE9"/>
    <w:rPr>
      <w:color w:val="0000FF" w:themeColor="hyperlink"/>
      <w:u w:val="single"/>
    </w:rPr>
  </w:style>
  <w:style w:type="character" w:styleId="UnresolvedMention">
    <w:name w:val="Unresolved Mention"/>
    <w:basedOn w:val="DefaultParagraphFont"/>
    <w:uiPriority w:val="99"/>
    <w:semiHidden/>
    <w:unhideWhenUsed/>
    <w:rsid w:val="00775FE9"/>
    <w:rPr>
      <w:color w:val="605E5C"/>
      <w:shd w:val="clear" w:color="auto" w:fill="E1DFDD"/>
    </w:rPr>
  </w:style>
  <w:style w:type="character" w:styleId="FollowedHyperlink">
    <w:name w:val="FollowedHyperlink"/>
    <w:basedOn w:val="DefaultParagraphFont"/>
    <w:uiPriority w:val="99"/>
    <w:semiHidden/>
    <w:unhideWhenUsed/>
    <w:rsid w:val="00775FE9"/>
    <w:rPr>
      <w:color w:val="800080" w:themeColor="followedHyperlink"/>
      <w:u w:val="single"/>
    </w:rPr>
  </w:style>
  <w:style w:type="paragraph" w:customStyle="1" w:styleId="Body">
    <w:name w:val="Body"/>
    <w:rsid w:val="00775FE9"/>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bdr w:val="nil"/>
      <w14:textOutline w14:w="0" w14:cap="flat" w14:cmpd="sng" w14:algn="ctr">
        <w14:noFill/>
        <w14:prstDash w14:val="solid"/>
        <w14:bevel/>
      </w14:textOutline>
    </w:rPr>
  </w:style>
  <w:style w:type="paragraph" w:customStyle="1" w:styleId="p1">
    <w:name w:val="p1"/>
    <w:basedOn w:val="Normal"/>
    <w:rsid w:val="00775FE9"/>
    <w:pPr>
      <w:spacing w:before="100" w:beforeAutospacing="1" w:after="100" w:afterAutospacing="1" w:line="240" w:lineRule="auto"/>
    </w:pPr>
    <w:rPr>
      <w:rFonts w:eastAsia="Times New Roman" w:cs="Times New Roman"/>
      <w:szCs w:val="24"/>
    </w:rPr>
  </w:style>
  <w:style w:type="paragraph" w:customStyle="1" w:styleId="p3">
    <w:name w:val="p3"/>
    <w:basedOn w:val="Normal"/>
    <w:rsid w:val="00775FE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857</Words>
  <Characters>4888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Ethics Journal</dc:title>
  <dc:subject>Ethical principles, technology, international guidelines, and future AI governance</dc:subject>
  <dc:creator>Luis D. Gonzalez Sanchez</dc:creator>
  <cp:keywords/>
  <dc:description>generated by python-docx</dc:description>
  <cp:lastModifiedBy>Gonzalez Sanchez, Luis</cp:lastModifiedBy>
  <cp:revision>5</cp:revision>
  <dcterms:created xsi:type="dcterms:W3CDTF">2013-12-23T23:15:00Z</dcterms:created>
  <dcterms:modified xsi:type="dcterms:W3CDTF">2026-08-02T21:53:00Z</dcterms:modified>
  <cp:category/>
</cp:coreProperties>
</file>