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Nivel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CA1-ASISTENTE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0.28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CA2-ANALISTA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0.51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CA3-ESPECIALISTA/COORDINADOR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0.16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CA4-EJECUTIVO/EXPERTO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0.14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3000" w:type="dxa"/>
          </w:tcPr>
          <w:p>
            <w:r>
              <w:t xml:space="preserve">CA2-ANALISTA</w:t>
            </w:r>
          </w:p>
        </w:tc>
        <w:tc>
          <w:tcPr>
            <w:tcW w:w="3000" w:type="dxa"/>
          </w:tcPr>
          <w:p>
            <w:r>
              <w:t xml:space="preserve">Analista de Procesos</w:t>
            </w:r>
          </w:p>
        </w:tc>
        <w:tc>
          <w:tcPr>
            <w:tcW w:w="3000" w:type="dxa"/>
          </w:tcPr>
          <w:p>
            <w:r>
              <w:t xml:space="preserve">0.83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2016-10-10T17:53:51-05:00</dcterms:created>
  <dcterms:modified xsi:type="dcterms:W3CDTF">2016-10-10T17:53:51-05:00</dcterms:modified>
  <dc:title/>
  <dc:description/>
  <dc:subject/>
  <cp:keywords/>
  <cp:category/>
</cp:coreProperties>
</file>