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2"/>
        </w:rPr>
        <w:t>Fichero de Actividades Digitales:</w:t>
      </w:r>
    </w:p>
    <w:p>
      <w:pPr>
        <w:spacing w:after="80"/>
        <w:jc w:val="center"/>
      </w:pPr>
      <w:r>
        <w:rPr>
          <w:rFonts w:ascii="Times New Roman" w:hAnsi="Times New Roman"/>
          <w:b/>
          <w:color w:val="7C3AED"/>
          <w:sz w:val="40"/>
        </w:rPr>
        <w:t>SocioMente</w:t>
      </w:r>
    </w:p>
    <w:p>
      <w:pPr>
        <w:spacing w:after="320"/>
        <w:jc w:val="center"/>
      </w:pPr>
      <w:r>
        <w:rPr>
          <w:rFonts w:ascii="Times New Roman" w:hAnsi="Times New Roman"/>
          <w:i/>
          <w:sz w:val="26"/>
        </w:rPr>
        <w:t>Plataforma gamificada de aprendizaje crítico para Ciencias Sociales II</w:t>
      </w:r>
    </w:p>
    <w:p>
      <w:pPr>
        <w:spacing w:after="120" w:before="120"/>
        <w:pBdr>
          <w:bottom w:val="single" w:sz="6" w:space="1" w:color="7c3aed"/>
        </w:pBdr>
      </w:pPr>
    </w:p>
    <w:p/>
    <w:p>
      <w:pPr>
        <w:spacing w:after="80"/>
      </w:pPr>
      <w:r>
        <w:rPr>
          <w:rFonts w:ascii="Times New Roman" w:hAnsi="Times New Roman"/>
          <w:b/>
          <w:sz w:val="24"/>
        </w:rPr>
        <w:t xml:space="preserve">Tipo de material: </w:t>
      </w:r>
      <w:r>
        <w:rPr>
          <w:rFonts w:ascii="Times New Roman" w:hAnsi="Times New Roman"/>
          <w:sz w:val="24"/>
        </w:rPr>
        <w:t>Fichero de actividades / Material didáctico digital</w:t>
      </w:r>
    </w:p>
    <w:p>
      <w:pPr>
        <w:spacing w:after="80"/>
      </w:pPr>
      <w:r>
        <w:rPr>
          <w:rFonts w:ascii="Times New Roman" w:hAnsi="Times New Roman"/>
          <w:b/>
          <w:sz w:val="24"/>
        </w:rPr>
        <w:t xml:space="preserve">Tema de trabajo: </w:t>
      </w:r>
      <w:r>
        <w:rPr>
          <w:rFonts w:ascii="Times New Roman" w:hAnsi="Times New Roman"/>
          <w:sz w:val="24"/>
        </w:rPr>
        <w:t>1 — Pensamiento crítico y revalorización de los saberes</w:t>
      </w:r>
    </w:p>
    <w:p>
      <w:pPr>
        <w:spacing w:after="80"/>
      </w:pPr>
      <w:r>
        <w:rPr>
          <w:rFonts w:ascii="Times New Roman" w:hAnsi="Times New Roman"/>
          <w:b/>
          <w:sz w:val="24"/>
        </w:rPr>
        <w:t xml:space="preserve">Nombre del autor/a: </w:t>
      </w:r>
      <w:r>
        <w:rPr>
          <w:rFonts w:ascii="Times New Roman" w:hAnsi="Times New Roman"/>
          <w:sz w:val="24"/>
        </w:rPr>
        <w:t>[Tu nombre completo]</w:t>
      </w:r>
    </w:p>
    <w:p>
      <w:pPr>
        <w:spacing w:after="80"/>
      </w:pPr>
      <w:r>
        <w:rPr>
          <w:rFonts w:ascii="Times New Roman" w:hAnsi="Times New Roman"/>
          <w:b/>
          <w:sz w:val="24"/>
        </w:rPr>
        <w:t xml:space="preserve">Adscripción: </w:t>
      </w:r>
      <w:r>
        <w:rPr>
          <w:rFonts w:ascii="Times New Roman" w:hAnsi="Times New Roman"/>
          <w:sz w:val="24"/>
        </w:rPr>
        <w:t>CBTis 179 — [Ciudad, Estado]</w:t>
      </w:r>
    </w:p>
    <w:p>
      <w:pPr>
        <w:spacing w:after="80"/>
      </w:pPr>
      <w:r>
        <w:rPr>
          <w:rFonts w:ascii="Times New Roman" w:hAnsi="Times New Roman"/>
          <w:b/>
          <w:sz w:val="24"/>
        </w:rPr>
        <w:t xml:space="preserve">Nombre del archivo: </w:t>
      </w:r>
      <w:r>
        <w:rPr>
          <w:rFonts w:ascii="Times New Roman" w:hAnsi="Times New Roman"/>
          <w:sz w:val="24"/>
        </w:rPr>
        <w:t>Fichero_1_[ApellidoPaterno]_[Nombre].pdf</w:t>
      </w:r>
    </w:p>
    <w:p>
      <w:pPr>
        <w:spacing w:after="120" w:before="120"/>
        <w:pBdr>
          <w:bottom w:val="single" w:sz="6" w:space="1" w:color="7c3aed"/>
        </w:pBdr>
      </w:pPr>
    </w:p>
    <w:p>
      <w:pPr>
        <w:pStyle w:val="Heading1"/>
        <w:jc w:val="left"/>
      </w:pPr>
      <w:r>
        <w:rPr>
          <w:rFonts w:ascii="Times New Roman" w:hAnsi="Times New Roman"/>
        </w:rPr>
        <w:t>1. Presentación</w:t>
      </w:r>
    </w:p>
    <w:p>
      <w:pPr>
        <w:spacing w:after="120" w:before="0" w:line="360" w:lineRule="exact"/>
        <w:jc w:val="both"/>
      </w:pPr>
      <w:r>
        <w:rPr>
          <w:rFonts w:ascii="Times New Roman" w:hAnsi="Times New Roman"/>
          <w:b w:val="0"/>
          <w:i w:val="0"/>
          <w:sz w:val="24"/>
        </w:rPr>
        <w:t>SocioMente es una plataforma educativa digital desarrollada para estudiantes de segundo semestre de bachillerato en la asignatura de Ciencias Sociales II. Su propósito es generar experiencias de aprendizaje situadas, críticas y transformadoras, partiendo siempre de la realidad inmediata del estudiante: su colonia, su familia, su plantel y su comunidad.</w:t>
      </w:r>
    </w:p>
    <w:p>
      <w:pPr>
        <w:spacing w:after="120" w:before="0" w:line="360" w:lineRule="exact"/>
        <w:jc w:val="both"/>
      </w:pPr>
      <w:r>
        <w:rPr>
          <w:rFonts w:ascii="Times New Roman" w:hAnsi="Times New Roman"/>
          <w:b w:val="0"/>
          <w:i w:val="0"/>
          <w:sz w:val="24"/>
        </w:rPr>
        <w:t>El material está organizado como un fichero de 15 semanas de actividades distribuidas en cuatro grandes temas: necesidades y satisfactores, organización social, economía, y relaciones de poder. Cada semana ofrece seis preguntas de análisis basadas en escenarios reales, acompañadas de retroalimentación pedagógica que no solo indica la respuesta correcta sino que explica el mecanismo social que está detrás.</w:t>
      </w:r>
    </w:p>
    <w:p/>
    <w:p>
      <w:pPr>
        <w:jc w:val="center"/>
      </w:pPr>
      <w:r>
        <w:drawing>
          <wp:inline xmlns:a="http://schemas.openxmlformats.org/drawingml/2006/main" xmlns:pic="http://schemas.openxmlformats.org/drawingml/2006/picture">
            <wp:extent cx="2194560" cy="4501662"/>
            <wp:docPr id="1" name="Picture 1"/>
            <wp:cNvGraphicFramePr>
              <a:graphicFrameLocks noChangeAspect="1"/>
            </wp:cNvGraphicFramePr>
            <a:graphic>
              <a:graphicData uri="http://schemas.openxmlformats.org/drawingml/2006/picture">
                <pic:pic>
                  <pic:nvPicPr>
                    <pic:cNvPr id="0" name="final1_blocks.png"/>
                    <pic:cNvPicPr/>
                  </pic:nvPicPr>
                  <pic:blipFill>
                    <a:blip r:embed="rId9"/>
                    <a:stretch>
                      <a:fillRect/>
                    </a:stretch>
                  </pic:blipFill>
                  <pic:spPr>
                    <a:xfrm>
                      <a:off x="0" y="0"/>
                      <a:ext cx="2194560" cy="4501662"/>
                    </a:xfrm>
                    <a:prstGeom prst="rect"/>
                  </pic:spPr>
                </pic:pic>
              </a:graphicData>
            </a:graphic>
          </wp:inline>
        </w:drawing>
      </w:r>
    </w:p>
    <w:p>
      <w:pPr>
        <w:spacing w:after="280" w:before="40"/>
        <w:jc w:val="center"/>
      </w:pPr>
      <w:r>
        <w:rPr>
          <w:rFonts w:ascii="Times New Roman" w:hAnsi="Times New Roman"/>
          <w:i/>
          <w:color w:val="646464"/>
          <w:sz w:val="20"/>
        </w:rPr>
        <w:t>Fig. 1 — Vista principal de SocioMente: semanas organizadas por tema, con progreso del estudiante y sistema de XP.</w:t>
      </w:r>
    </w:p>
    <w:p>
      <w:pPr>
        <w:pStyle w:val="Heading1"/>
        <w:jc w:val="left"/>
      </w:pPr>
      <w:r>
        <w:rPr>
          <w:rFonts w:ascii="Times New Roman" w:hAnsi="Times New Roman"/>
        </w:rPr>
        <w:t>2. Propósito pedagógico</w:t>
      </w:r>
    </w:p>
    <w:p>
      <w:pPr>
        <w:spacing w:after="120" w:before="0" w:line="360" w:lineRule="exact"/>
        <w:jc w:val="both"/>
      </w:pPr>
      <w:r>
        <w:rPr>
          <w:rFonts w:ascii="Times New Roman" w:hAnsi="Times New Roman"/>
          <w:b w:val="0"/>
          <w:i w:val="0"/>
          <w:sz w:val="24"/>
        </w:rPr>
        <w:t>El material busca que los y las estudiantes no solo comprendan los conceptos de las ciencias sociales, sino que los apliquen para leer críticamente su entorno. Esto implica:</w:t>
      </w:r>
    </w:p>
    <w:p>
      <w:pPr>
        <w:pStyle w:val="ListBullet"/>
        <w:spacing w:after="80" w:line="360" w:lineRule="exact"/>
      </w:pPr>
      <w:r>
        <w:rPr>
          <w:rFonts w:ascii="Times New Roman" w:hAnsi="Times New Roman"/>
          <w:sz w:val="24"/>
        </w:rPr>
        <w:t>Reconocer las causas estructurales de la desigualdad, más allá de las explicaciones individuales.</w:t>
      </w:r>
    </w:p>
    <w:p>
      <w:pPr>
        <w:pStyle w:val="ListBullet"/>
        <w:spacing w:after="80" w:line="360" w:lineRule="exact"/>
      </w:pPr>
      <w:r>
        <w:rPr>
          <w:rFonts w:ascii="Times New Roman" w:hAnsi="Times New Roman"/>
          <w:sz w:val="24"/>
        </w:rPr>
        <w:t>Cuestionar mensajes del sentido común que naturalizan la pobreza, la discriminación y las relaciones de poder.</w:t>
      </w:r>
    </w:p>
    <w:p>
      <w:pPr>
        <w:pStyle w:val="ListBullet"/>
        <w:spacing w:after="80" w:line="360" w:lineRule="exact"/>
      </w:pPr>
      <w:r>
        <w:rPr>
          <w:rFonts w:ascii="Times New Roman" w:hAnsi="Times New Roman"/>
          <w:sz w:val="24"/>
        </w:rPr>
        <w:t>Identificar formas de organización comunitaria propias de los pueblos latinoamericanos —como el tequio, la minga o la minka— como alternativas al mercado y al Estado.</w:t>
      </w:r>
    </w:p>
    <w:p>
      <w:pPr>
        <w:pStyle w:val="ListBullet"/>
        <w:spacing w:after="80" w:line="360" w:lineRule="exact"/>
      </w:pPr>
      <w:r>
        <w:rPr>
          <w:rFonts w:ascii="Times New Roman" w:hAnsi="Times New Roman"/>
          <w:sz w:val="24"/>
        </w:rPr>
        <w:t>Desarrollar pensamiento autónomo frente a la información que reciben en medios, redes sociales y discursos institucionales.</w:t>
      </w:r>
    </w:p>
    <w:p>
      <w:pPr>
        <w:pStyle w:val="Heading1"/>
        <w:jc w:val="left"/>
      </w:pPr>
      <w:r>
        <w:rPr>
          <w:rFonts w:ascii="Times New Roman" w:hAnsi="Times New Roman"/>
        </w:rPr>
        <w:t>3. Alineación al Marco Curricular Común (MCCEMS)</w:t>
      </w:r>
    </w:p>
    <w:p>
      <w:pPr>
        <w:spacing w:after="120" w:before="0" w:line="360" w:lineRule="exact"/>
        <w:jc w:val="both"/>
      </w:pPr>
      <w:r>
        <w:rPr>
          <w:rFonts w:ascii="Times New Roman" w:hAnsi="Times New Roman"/>
          <w:b w:val="0"/>
          <w:i w:val="0"/>
          <w:sz w:val="24"/>
        </w:rPr>
        <w:t>El fichero se articula con las siguientes áreas del MCCEMS del Bachillerato Nacional:</w:t>
      </w:r>
    </w:p>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Pr>
                <w:rFonts w:ascii="Times New Roman" w:hAnsi="Times New Roman"/>
                <w:b/>
                <w:sz w:val="22"/>
              </w:rPr>
              <w:t>Semanas</w:t>
            </w:r>
          </w:p>
        </w:tc>
        <w:tc>
          <w:tcPr>
            <w:tcW w:type="dxa" w:w="2946"/>
          </w:tcPr>
          <w:p>
            <w:pPr>
              <w:jc w:val="center"/>
            </w:pPr>
            <w:r>
              <w:rPr>
                <w:rFonts w:ascii="Times New Roman" w:hAnsi="Times New Roman"/>
                <w:b/>
                <w:sz w:val="22"/>
              </w:rPr>
              <w:t>Contenido</w:t>
            </w:r>
          </w:p>
        </w:tc>
        <w:tc>
          <w:tcPr>
            <w:tcW w:type="dxa" w:w="2946"/>
          </w:tcPr>
          <w:p>
            <w:pPr>
              <w:jc w:val="center"/>
            </w:pPr>
            <w:r>
              <w:rPr>
                <w:rFonts w:ascii="Times New Roman" w:hAnsi="Times New Roman"/>
                <w:b/>
                <w:sz w:val="22"/>
              </w:rPr>
              <w:t>Ámbito MCCEMS</w:t>
            </w:r>
          </w:p>
        </w:tc>
      </w:tr>
      <w:tr>
        <w:tc>
          <w:tcPr>
            <w:tcW w:type="dxa" w:w="2946"/>
          </w:tcPr>
          <w:p>
            <w:r>
              <w:rPr>
                <w:rFonts w:ascii="Times New Roman" w:hAnsi="Times New Roman"/>
                <w:sz w:val="22"/>
              </w:rPr>
              <w:t>1 – 4</w:t>
            </w:r>
          </w:p>
        </w:tc>
        <w:tc>
          <w:tcPr>
            <w:tcW w:type="dxa" w:w="2946"/>
          </w:tcPr>
          <w:p>
            <w:r>
              <w:rPr>
                <w:rFonts w:ascii="Times New Roman" w:hAnsi="Times New Roman"/>
                <w:sz w:val="22"/>
              </w:rPr>
              <w:t>Necesidades, satisfactores, pobreza multidimensional, estructuras sociales</w:t>
            </w:r>
          </w:p>
        </w:tc>
        <w:tc>
          <w:tcPr>
            <w:tcW w:type="dxa" w:w="2946"/>
          </w:tcPr>
          <w:p>
            <w:r>
              <w:rPr>
                <w:rFonts w:ascii="Times New Roman" w:hAnsi="Times New Roman"/>
                <w:sz w:val="22"/>
              </w:rPr>
              <w:t>Ámbito 2 — Educación para la Salud</w:t>
            </w:r>
          </w:p>
        </w:tc>
      </w:tr>
      <w:tr>
        <w:tc>
          <w:tcPr>
            <w:tcW w:type="dxa" w:w="2946"/>
          </w:tcPr>
          <w:p>
            <w:r>
              <w:rPr>
                <w:rFonts w:ascii="Times New Roman" w:hAnsi="Times New Roman"/>
                <w:sz w:val="22"/>
              </w:rPr>
              <w:t>5 – 8</w:t>
            </w:r>
          </w:p>
        </w:tc>
        <w:tc>
          <w:tcPr>
            <w:tcW w:type="dxa" w:w="2946"/>
          </w:tcPr>
          <w:p>
            <w:r>
              <w:rPr>
                <w:rFonts w:ascii="Times New Roman" w:hAnsi="Times New Roman"/>
                <w:sz w:val="22"/>
              </w:rPr>
              <w:t>Familia, discriminación, comunidad, pertenencia</w:t>
            </w:r>
          </w:p>
        </w:tc>
        <w:tc>
          <w:tcPr>
            <w:tcW w:type="dxa" w:w="2946"/>
          </w:tcPr>
          <w:p>
            <w:r>
              <w:rPr>
                <w:rFonts w:ascii="Times New Roman" w:hAnsi="Times New Roman"/>
                <w:sz w:val="22"/>
              </w:rPr>
              <w:t>Ámbito 1 — Práctica Ciudadana</w:t>
            </w:r>
          </w:p>
        </w:tc>
      </w:tr>
      <w:tr>
        <w:tc>
          <w:tcPr>
            <w:tcW w:type="dxa" w:w="2946"/>
          </w:tcPr>
          <w:p>
            <w:r>
              <w:rPr>
                <w:rFonts w:ascii="Times New Roman" w:hAnsi="Times New Roman"/>
                <w:sz w:val="22"/>
              </w:rPr>
              <w:t>9 – 12</w:t>
            </w:r>
          </w:p>
        </w:tc>
        <w:tc>
          <w:tcPr>
            <w:tcW w:type="dxa" w:w="2946"/>
          </w:tcPr>
          <w:p>
            <w:r>
              <w:rPr>
                <w:rFonts w:ascii="Times New Roman" w:hAnsi="Times New Roman"/>
                <w:sz w:val="22"/>
              </w:rPr>
              <w:t>Factores de producción, trabajo digno, distribución de la riqueza</w:t>
            </w:r>
          </w:p>
        </w:tc>
        <w:tc>
          <w:tcPr>
            <w:tcW w:type="dxa" w:w="2946"/>
          </w:tcPr>
          <w:p>
            <w:r>
              <w:rPr>
                <w:rFonts w:ascii="Times New Roman" w:hAnsi="Times New Roman"/>
                <w:sz w:val="22"/>
              </w:rPr>
              <w:t>Ámbito 1 — Práctica Ciudadana</w:t>
            </w:r>
          </w:p>
        </w:tc>
      </w:tr>
      <w:tr>
        <w:tc>
          <w:tcPr>
            <w:tcW w:type="dxa" w:w="2946"/>
          </w:tcPr>
          <w:p>
            <w:r>
              <w:rPr>
                <w:rFonts w:ascii="Times New Roman" w:hAnsi="Times New Roman"/>
                <w:sz w:val="22"/>
              </w:rPr>
              <w:t>13 – 15</w:t>
            </w:r>
          </w:p>
        </w:tc>
        <w:tc>
          <w:tcPr>
            <w:tcW w:type="dxa" w:w="2946"/>
          </w:tcPr>
          <w:p>
            <w:r>
              <w:rPr>
                <w:rFonts w:ascii="Times New Roman" w:hAnsi="Times New Roman"/>
                <w:sz w:val="22"/>
              </w:rPr>
              <w:t>Poder simbólico, género, interseccionalidad</w:t>
            </w:r>
          </w:p>
        </w:tc>
        <w:tc>
          <w:tcPr>
            <w:tcW w:type="dxa" w:w="2946"/>
          </w:tcPr>
          <w:p>
            <w:r>
              <w:rPr>
                <w:rFonts w:ascii="Times New Roman" w:hAnsi="Times New Roman"/>
                <w:sz w:val="22"/>
              </w:rPr>
              <w:t>Ámbito 4 — Sexualidad y Género</w:t>
            </w:r>
          </w:p>
        </w:tc>
      </w:tr>
    </w:tbl>
    <w:p/>
    <w:p>
      <w:pPr>
        <w:pStyle w:val="Heading1"/>
        <w:jc w:val="left"/>
      </w:pPr>
      <w:r>
        <w:rPr>
          <w:rFonts w:ascii="Times New Roman" w:hAnsi="Times New Roman"/>
        </w:rPr>
        <w:t>4. Metodología</w:t>
      </w:r>
    </w:p>
    <w:p>
      <w:pPr>
        <w:spacing w:after="120" w:before="0" w:line="360" w:lineRule="exact"/>
        <w:jc w:val="both"/>
      </w:pPr>
      <w:r>
        <w:rPr>
          <w:rFonts w:ascii="Times New Roman" w:hAnsi="Times New Roman"/>
          <w:b w:val="0"/>
          <w:i w:val="0"/>
          <w:sz w:val="24"/>
        </w:rPr>
        <w:t>El material combina dos enfoques complementarios:</w:t>
      </w:r>
    </w:p>
    <w:p>
      <w:pPr>
        <w:spacing w:after="40" w:before="0" w:line="360" w:lineRule="exact"/>
        <w:jc w:val="both"/>
      </w:pPr>
      <w:r>
        <w:rPr>
          <w:rFonts w:ascii="Times New Roman" w:hAnsi="Times New Roman"/>
          <w:b/>
          <w:i w:val="0"/>
          <w:sz w:val="24"/>
        </w:rPr>
        <w:t>Aprendizaje basado en situaciones reales.</w:t>
      </w:r>
    </w:p>
    <w:p>
      <w:pPr>
        <w:spacing w:after="120" w:before="0" w:line="360" w:lineRule="exact"/>
        <w:jc w:val="both"/>
      </w:pPr>
      <w:r>
        <w:rPr>
          <w:rFonts w:ascii="Times New Roman" w:hAnsi="Times New Roman"/>
          <w:b w:val="0"/>
          <w:i w:val="0"/>
          <w:sz w:val="24"/>
        </w:rPr>
        <w:t>Cada actividad parte de un escenario concreto y cercano al estudiante: un compañero que llega sin desayunar, una colonia sin agua, un mensaje viral en redes sociales, una familia donde el padre toma todas las decisiones. El estudiante analiza esa situación y elige la respuesta que mejor la explica socialmente, no la que suena más correcta moralmente.</w:t>
      </w:r>
    </w:p>
    <w:p/>
    <w:p>
      <w:pPr>
        <w:jc w:val="center"/>
      </w:pPr>
      <w:r>
        <w:drawing>
          <wp:inline xmlns:a="http://schemas.openxmlformats.org/drawingml/2006/main" xmlns:pic="http://schemas.openxmlformats.org/drawingml/2006/picture">
            <wp:extent cx="2194560" cy="4501662"/>
            <wp:docPr id="2" name="Picture 2"/>
            <wp:cNvGraphicFramePr>
              <a:graphicFrameLocks noChangeAspect="1"/>
            </wp:cNvGraphicFramePr>
            <a:graphic>
              <a:graphicData uri="http://schemas.openxmlformats.org/drawingml/2006/picture">
                <pic:pic>
                  <pic:nvPicPr>
                    <pic:cNvPr id="0" name="final2_question.png"/>
                    <pic:cNvPicPr/>
                  </pic:nvPicPr>
                  <pic:blipFill>
                    <a:blip r:embed="rId10"/>
                    <a:stretch>
                      <a:fillRect/>
                    </a:stretch>
                  </pic:blipFill>
                  <pic:spPr>
                    <a:xfrm>
                      <a:off x="0" y="0"/>
                      <a:ext cx="2194560" cy="4501662"/>
                    </a:xfrm>
                    <a:prstGeom prst="rect"/>
                  </pic:spPr>
                </pic:pic>
              </a:graphicData>
            </a:graphic>
          </wp:inline>
        </w:drawing>
      </w:r>
    </w:p>
    <w:p>
      <w:pPr>
        <w:spacing w:after="280" w:before="40"/>
        <w:jc w:val="center"/>
      </w:pPr>
      <w:r>
        <w:rPr>
          <w:rFonts w:ascii="Times New Roman" w:hAnsi="Times New Roman"/>
          <w:i/>
          <w:color w:val="646464"/>
          <w:sz w:val="20"/>
        </w:rPr>
        <w:t>Fig. 2 — Ejemplo de pregunta situacional: escenario real, cuatro opciones plausibles, sin respuesta "obvia".</w:t>
      </w:r>
    </w:p>
    <w:p>
      <w:pPr>
        <w:spacing w:after="40" w:before="0" w:line="360" w:lineRule="exact"/>
        <w:jc w:val="both"/>
      </w:pPr>
      <w:r>
        <w:rPr>
          <w:rFonts w:ascii="Times New Roman" w:hAnsi="Times New Roman"/>
          <w:b/>
          <w:i w:val="0"/>
          <w:sz w:val="24"/>
        </w:rPr>
        <w:t>Gamificación con propósito formativo.</w:t>
      </w:r>
    </w:p>
    <w:p>
      <w:pPr>
        <w:spacing w:after="120" w:before="0" w:line="360" w:lineRule="exact"/>
        <w:jc w:val="both"/>
      </w:pPr>
      <w:r>
        <w:rPr>
          <w:rFonts w:ascii="Times New Roman" w:hAnsi="Times New Roman"/>
          <w:b w:val="0"/>
          <w:i w:val="0"/>
          <w:sz w:val="24"/>
        </w:rPr>
        <w:t>La plataforma incorpora un sistema de puntos (XP), rangos desbloqueables y logros por tema completado. Esto no busca competir por competir: busca sostener la motivación semana a semana en un contenido que por su naturaleza crítica puede generar resistencia inicial. La experiencia de juego abre la puerta; el análisis social entra por ella.</w:t>
      </w:r>
    </w:p>
    <w:p/>
    <w:p>
      <w:pPr>
        <w:jc w:val="center"/>
      </w:pPr>
      <w:r>
        <w:drawing>
          <wp:inline xmlns:a="http://schemas.openxmlformats.org/drawingml/2006/main" xmlns:pic="http://schemas.openxmlformats.org/drawingml/2006/picture">
            <wp:extent cx="2194560" cy="6189785"/>
            <wp:docPr id="3" name="Picture 3"/>
            <wp:cNvGraphicFramePr>
              <a:graphicFrameLocks noChangeAspect="1"/>
            </wp:cNvGraphicFramePr>
            <a:graphic>
              <a:graphicData uri="http://schemas.openxmlformats.org/drawingml/2006/picture">
                <pic:pic>
                  <pic:nvPicPr>
                    <pic:cNvPr id="0" name="final3_feedback.png"/>
                    <pic:cNvPicPr/>
                  </pic:nvPicPr>
                  <pic:blipFill>
                    <a:blip r:embed="rId11"/>
                    <a:stretch>
                      <a:fillRect/>
                    </a:stretch>
                  </pic:blipFill>
                  <pic:spPr>
                    <a:xfrm>
                      <a:off x="0" y="0"/>
                      <a:ext cx="2194560" cy="6189785"/>
                    </a:xfrm>
                    <a:prstGeom prst="rect"/>
                  </pic:spPr>
                </pic:pic>
              </a:graphicData>
            </a:graphic>
          </wp:inline>
        </w:drawing>
      </w:r>
    </w:p>
    <w:p>
      <w:pPr>
        <w:spacing w:after="280" w:before="40"/>
        <w:jc w:val="center"/>
      </w:pPr>
      <w:r>
        <w:rPr>
          <w:rFonts w:ascii="Times New Roman" w:hAnsi="Times New Roman"/>
          <w:i/>
          <w:color w:val="646464"/>
          <w:sz w:val="20"/>
        </w:rPr>
        <w:t>Fig. 3 — Retroalimentación inmediata: explica el mecanismo social detrás de la respuesta y vincula con el ámbito del MCCEMS.</w:t>
      </w:r>
    </w:p>
    <w:p>
      <w:pPr>
        <w:pStyle w:val="Heading1"/>
        <w:jc w:val="left"/>
      </w:pPr>
      <w:r>
        <w:rPr>
          <w:rFonts w:ascii="Times New Roman" w:hAnsi="Times New Roman"/>
        </w:rPr>
        <w:t>5. Perspectiva latinoamericana</w:t>
      </w:r>
    </w:p>
    <w:p>
      <w:pPr>
        <w:spacing w:after="120" w:before="0" w:line="360" w:lineRule="exact"/>
        <w:jc w:val="both"/>
      </w:pPr>
      <w:r>
        <w:rPr>
          <w:rFonts w:ascii="Times New Roman" w:hAnsi="Times New Roman"/>
          <w:b w:val="0"/>
          <w:i w:val="0"/>
          <w:sz w:val="24"/>
        </w:rPr>
        <w:t>Los escenarios y ejemplos del fichero están anclados en la realidad de México y América Latina. Se abordan prácticas comunitarias como el tequio (México), equivalente a la minka (Perú/Bolivia) y la minga (Ecuador/Colombia), como formas de organización colectiva que satisfacen necesidades sin depender del mercado ni del Estado. Se problematiza el clientelismo político, la desigualdad territorial, los mandatos de género transmitidos por la institución familiar, y los mecanismos de discriminación cotidiana.</w:t>
      </w:r>
    </w:p>
    <w:p>
      <w:pPr>
        <w:spacing w:after="120" w:before="0" w:line="360" w:lineRule="exact"/>
        <w:jc w:val="both"/>
      </w:pPr>
      <w:r>
        <w:rPr>
          <w:rFonts w:ascii="Times New Roman" w:hAnsi="Times New Roman"/>
          <w:b w:val="0"/>
          <w:i w:val="0"/>
          <w:sz w:val="24"/>
        </w:rPr>
        <w:t>El material parte de la convicción de que pensar desde América Latina no es solo incluir ejemplos regionales, sino adoptar una mirada que cuestiona las explicaciones hegemónicas y reconoce los saberes y las formas de vida de los pueblos como punto de partida legítimo del conocimiento.</w:t>
      </w:r>
    </w:p>
    <w:p>
      <w:pPr>
        <w:pStyle w:val="Heading1"/>
        <w:jc w:val="left"/>
      </w:pPr>
      <w:r>
        <w:rPr>
          <w:rFonts w:ascii="Times New Roman" w:hAnsi="Times New Roman"/>
        </w:rPr>
        <w:t>6. Estructura del fichero</w:t>
      </w:r>
    </w:p>
    <w:p>
      <w:pPr>
        <w:spacing w:after="120" w:before="0" w:line="360" w:lineRule="exact"/>
        <w:jc w:val="both"/>
      </w:pPr>
      <w:r>
        <w:rPr>
          <w:rFonts w:ascii="Times New Roman" w:hAnsi="Times New Roman"/>
          <w:b w:val="0"/>
          <w:i w:val="0"/>
          <w:sz w:val="24"/>
        </w:rPr>
        <w:t>El material se organiza en 15 unidades semanales, cada una con:</w:t>
      </w:r>
    </w:p>
    <w:p>
      <w:pPr>
        <w:pStyle w:val="ListBullet"/>
        <w:spacing w:after="80" w:line="360" w:lineRule="exact"/>
      </w:pPr>
      <w:r>
        <w:rPr>
          <w:rFonts w:ascii="Times New Roman" w:hAnsi="Times New Roman"/>
          <w:sz w:val="24"/>
        </w:rPr>
        <w:t>Título provocador que enmarca la pregunta central de la semana.</w:t>
      </w:r>
    </w:p>
    <w:p>
      <w:pPr>
        <w:pStyle w:val="ListBullet"/>
        <w:spacing w:after="80" w:line="360" w:lineRule="exact"/>
      </w:pPr>
      <w:r>
        <w:rPr>
          <w:rFonts w:ascii="Times New Roman" w:hAnsi="Times New Roman"/>
          <w:sz w:val="24"/>
        </w:rPr>
        <w:t>6 actividades de análisis: 4 basadas en situaciones reales y 2 de comprensión conceptual.</w:t>
      </w:r>
    </w:p>
    <w:p>
      <w:pPr>
        <w:pStyle w:val="ListBullet"/>
        <w:spacing w:after="80" w:line="360" w:lineRule="exact"/>
      </w:pPr>
      <w:r>
        <w:rPr>
          <w:rFonts w:ascii="Times New Roman" w:hAnsi="Times New Roman"/>
          <w:sz w:val="24"/>
        </w:rPr>
        <w:t>Retroalimentación formativa por actividad: explica el mecanismo social detrás de la respuesta.</w:t>
      </w:r>
    </w:p>
    <w:p>
      <w:pPr>
        <w:pStyle w:val="ListBullet"/>
        <w:spacing w:after="80" w:line="360" w:lineRule="exact"/>
      </w:pPr>
      <w:r>
        <w:rPr>
          <w:rFonts w:ascii="Times New Roman" w:hAnsi="Times New Roman"/>
          <w:sz w:val="24"/>
        </w:rPr>
        <w:t>Nota de articulación curricular que conecta cada actividad con el ámbito MCCEMS correspondiente.</w:t>
      </w:r>
    </w:p>
    <w:p/>
    <w:p>
      <w:pPr>
        <w:spacing w:after="120" w:before="0" w:line="360" w:lineRule="exact"/>
        <w:jc w:val="both"/>
      </w:pPr>
      <w:r>
        <w:rPr>
          <w:rFonts w:ascii="Times New Roman" w:hAnsi="Times New Roman"/>
          <w:b/>
          <w:i w:val="0"/>
          <w:sz w:val="24"/>
        </w:rPr>
        <w:t>Temas por semana:</w:t>
      </w:r>
    </w:p>
    <w:p>
      <w:pPr>
        <w:spacing w:after="40"/>
        <w:ind w:left="567"/>
      </w:pPr>
      <w:r>
        <w:rPr>
          <w:rFonts w:ascii="Times New Roman" w:hAnsi="Times New Roman"/>
          <w:b/>
          <w:color w:val="7C3AED"/>
          <w:sz w:val="22"/>
        </w:rPr>
        <w:t xml:space="preserve">S1  </w:t>
      </w:r>
      <w:r>
        <w:rPr>
          <w:rFonts w:ascii="Times New Roman" w:hAnsi="Times New Roman"/>
          <w:sz w:val="22"/>
        </w:rPr>
        <w:t>¿Qué necesitamos para vivir bien?</w:t>
      </w:r>
    </w:p>
    <w:p>
      <w:pPr>
        <w:spacing w:after="40"/>
        <w:ind w:left="567"/>
      </w:pPr>
      <w:r>
        <w:rPr>
          <w:rFonts w:ascii="Times New Roman" w:hAnsi="Times New Roman"/>
          <w:b/>
          <w:color w:val="7C3AED"/>
          <w:sz w:val="22"/>
        </w:rPr>
        <w:t xml:space="preserve">S2  </w:t>
      </w:r>
      <w:r>
        <w:rPr>
          <w:rFonts w:ascii="Times New Roman" w:hAnsi="Times New Roman"/>
          <w:sz w:val="22"/>
        </w:rPr>
        <w:t>La desigualdad en tu colonia</w:t>
      </w:r>
    </w:p>
    <w:p>
      <w:pPr>
        <w:spacing w:after="40"/>
        <w:ind w:left="567"/>
      </w:pPr>
      <w:r>
        <w:rPr>
          <w:rFonts w:ascii="Times New Roman" w:hAnsi="Times New Roman"/>
          <w:b/>
          <w:color w:val="7C3AED"/>
          <w:sz w:val="22"/>
        </w:rPr>
        <w:t xml:space="preserve">S3  </w:t>
      </w:r>
      <w:r>
        <w:rPr>
          <w:rFonts w:ascii="Times New Roman" w:hAnsi="Times New Roman"/>
          <w:sz w:val="22"/>
        </w:rPr>
        <w:t>¿Quién decide qué es "suficiente"?</w:t>
      </w:r>
    </w:p>
    <w:p>
      <w:pPr>
        <w:spacing w:after="40"/>
        <w:ind w:left="567"/>
      </w:pPr>
      <w:r>
        <w:rPr>
          <w:rFonts w:ascii="Times New Roman" w:hAnsi="Times New Roman"/>
          <w:b/>
          <w:color w:val="7C3AED"/>
          <w:sz w:val="22"/>
        </w:rPr>
        <w:t xml:space="preserve">S4  </w:t>
      </w:r>
      <w:r>
        <w:rPr>
          <w:rFonts w:ascii="Times New Roman" w:hAnsi="Times New Roman"/>
          <w:sz w:val="22"/>
        </w:rPr>
        <w:t>Pobreza: ¿decisión o estructura?</w:t>
      </w:r>
    </w:p>
    <w:p>
      <w:pPr>
        <w:spacing w:after="40"/>
        <w:ind w:left="567"/>
      </w:pPr>
      <w:r>
        <w:rPr>
          <w:rFonts w:ascii="Times New Roman" w:hAnsi="Times New Roman"/>
          <w:b/>
          <w:color w:val="7C3AED"/>
          <w:sz w:val="22"/>
        </w:rPr>
        <w:t xml:space="preserve">S5  </w:t>
      </w:r>
      <w:r>
        <w:rPr>
          <w:rFonts w:ascii="Times New Roman" w:hAnsi="Times New Roman"/>
          <w:sz w:val="22"/>
        </w:rPr>
        <w:t>La familia como institución</w:t>
      </w:r>
    </w:p>
    <w:p>
      <w:pPr>
        <w:spacing w:after="40"/>
        <w:ind w:left="567"/>
      </w:pPr>
      <w:r>
        <w:rPr>
          <w:rFonts w:ascii="Times New Roman" w:hAnsi="Times New Roman"/>
          <w:b/>
          <w:color w:val="7C3AED"/>
          <w:sz w:val="22"/>
        </w:rPr>
        <w:t xml:space="preserve">S6  </w:t>
      </w:r>
      <w:r>
        <w:rPr>
          <w:rFonts w:ascii="Times New Roman" w:hAnsi="Times New Roman"/>
          <w:sz w:val="22"/>
        </w:rPr>
        <w:t>Racismo y discriminación cotidiana</w:t>
      </w:r>
    </w:p>
    <w:p>
      <w:pPr>
        <w:spacing w:after="40"/>
        <w:ind w:left="567"/>
      </w:pPr>
      <w:r>
        <w:rPr>
          <w:rFonts w:ascii="Times New Roman" w:hAnsi="Times New Roman"/>
          <w:b/>
          <w:color w:val="7C3AED"/>
          <w:sz w:val="22"/>
        </w:rPr>
        <w:t xml:space="preserve">S7  </w:t>
      </w:r>
      <w:r>
        <w:rPr>
          <w:rFonts w:ascii="Times New Roman" w:hAnsi="Times New Roman"/>
          <w:sz w:val="22"/>
        </w:rPr>
        <w:t>Comunidad y resistencia</w:t>
      </w:r>
    </w:p>
    <w:p>
      <w:pPr>
        <w:spacing w:after="40"/>
        <w:ind w:left="567"/>
      </w:pPr>
      <w:r>
        <w:rPr>
          <w:rFonts w:ascii="Times New Roman" w:hAnsi="Times New Roman"/>
          <w:b/>
          <w:color w:val="7C3AED"/>
          <w:sz w:val="22"/>
        </w:rPr>
        <w:t xml:space="preserve">S8  </w:t>
      </w:r>
      <w:r>
        <w:rPr>
          <w:rFonts w:ascii="Times New Roman" w:hAnsi="Times New Roman"/>
          <w:sz w:val="22"/>
        </w:rPr>
        <w:t>¿Quién pertenece y quién queda fuera?</w:t>
      </w:r>
    </w:p>
    <w:p>
      <w:pPr>
        <w:spacing w:after="40"/>
        <w:ind w:left="567"/>
      </w:pPr>
      <w:r>
        <w:rPr>
          <w:rFonts w:ascii="Times New Roman" w:hAnsi="Times New Roman"/>
          <w:b/>
          <w:color w:val="7C3AED"/>
          <w:sz w:val="22"/>
        </w:rPr>
        <w:t xml:space="preserve">S9  </w:t>
      </w:r>
      <w:r>
        <w:rPr>
          <w:rFonts w:ascii="Times New Roman" w:hAnsi="Times New Roman"/>
          <w:sz w:val="22"/>
        </w:rPr>
        <w:t>Tierra, trabajo y capital</w:t>
      </w:r>
    </w:p>
    <w:p>
      <w:pPr>
        <w:spacing w:after="40"/>
        <w:ind w:left="567"/>
      </w:pPr>
      <w:r>
        <w:rPr>
          <w:rFonts w:ascii="Times New Roman" w:hAnsi="Times New Roman"/>
          <w:b/>
          <w:color w:val="7C3AED"/>
          <w:sz w:val="22"/>
        </w:rPr>
        <w:t xml:space="preserve">S10  </w:t>
      </w:r>
      <w:r>
        <w:rPr>
          <w:rFonts w:ascii="Times New Roman" w:hAnsi="Times New Roman"/>
          <w:sz w:val="22"/>
        </w:rPr>
        <w:t>El trabajo y su valor real</w:t>
      </w:r>
    </w:p>
    <w:p>
      <w:pPr>
        <w:spacing w:after="40"/>
        <w:ind w:left="567"/>
      </w:pPr>
      <w:r>
        <w:rPr>
          <w:rFonts w:ascii="Times New Roman" w:hAnsi="Times New Roman"/>
          <w:b/>
          <w:color w:val="7C3AED"/>
          <w:sz w:val="22"/>
        </w:rPr>
        <w:t xml:space="preserve">S11  </w:t>
      </w:r>
      <w:r>
        <w:rPr>
          <w:rFonts w:ascii="Times New Roman" w:hAnsi="Times New Roman"/>
          <w:sz w:val="22"/>
        </w:rPr>
        <w:t>¿Quién produce y quién se queda con qué?</w:t>
      </w:r>
    </w:p>
    <w:p>
      <w:pPr>
        <w:spacing w:after="40"/>
        <w:ind w:left="567"/>
      </w:pPr>
      <w:r>
        <w:rPr>
          <w:rFonts w:ascii="Times New Roman" w:hAnsi="Times New Roman"/>
          <w:b/>
          <w:color w:val="7C3AED"/>
          <w:sz w:val="22"/>
        </w:rPr>
        <w:t xml:space="preserve">S12  </w:t>
      </w:r>
      <w:r>
        <w:rPr>
          <w:rFonts w:ascii="Times New Roman" w:hAnsi="Times New Roman"/>
          <w:sz w:val="22"/>
        </w:rPr>
        <w:t>Economía en tu vida diaria</w:t>
      </w:r>
    </w:p>
    <w:p>
      <w:pPr>
        <w:spacing w:after="40"/>
        <w:ind w:left="567"/>
      </w:pPr>
      <w:r>
        <w:rPr>
          <w:rFonts w:ascii="Times New Roman" w:hAnsi="Times New Roman"/>
          <w:b/>
          <w:color w:val="7C3AED"/>
          <w:sz w:val="22"/>
        </w:rPr>
        <w:t xml:space="preserve">S13  </w:t>
      </w:r>
      <w:r>
        <w:rPr>
          <w:rFonts w:ascii="Times New Roman" w:hAnsi="Times New Roman"/>
          <w:sz w:val="22"/>
        </w:rPr>
        <w:t>El poder que no se ve</w:t>
      </w:r>
    </w:p>
    <w:p>
      <w:pPr>
        <w:spacing w:after="40"/>
        <w:ind w:left="567"/>
      </w:pPr>
      <w:r>
        <w:rPr>
          <w:rFonts w:ascii="Times New Roman" w:hAnsi="Times New Roman"/>
          <w:b/>
          <w:color w:val="7C3AED"/>
          <w:sz w:val="22"/>
        </w:rPr>
        <w:t xml:space="preserve">S14  </w:t>
      </w:r>
      <w:r>
        <w:rPr>
          <w:rFonts w:ascii="Times New Roman" w:hAnsi="Times New Roman"/>
          <w:sz w:val="22"/>
        </w:rPr>
        <w:t>Género y poder en lo cotidiano</w:t>
      </w:r>
    </w:p>
    <w:p>
      <w:pPr>
        <w:spacing w:after="40"/>
        <w:ind w:left="567"/>
      </w:pPr>
      <w:r>
        <w:rPr>
          <w:rFonts w:ascii="Times New Roman" w:hAnsi="Times New Roman"/>
          <w:b/>
          <w:color w:val="7C3AED"/>
          <w:sz w:val="22"/>
        </w:rPr>
        <w:t xml:space="preserve">S15  </w:t>
      </w:r>
      <w:r>
        <w:rPr>
          <w:rFonts w:ascii="Times New Roman" w:hAnsi="Times New Roman"/>
          <w:sz w:val="22"/>
        </w:rPr>
        <w:t>Interseccionalidad en situaciones reales</w:t>
      </w:r>
    </w:p>
    <w:p/>
    <w:p>
      <w:pPr>
        <w:pStyle w:val="Heading1"/>
        <w:jc w:val="left"/>
      </w:pPr>
      <w:r>
        <w:rPr>
          <w:rFonts w:ascii="Times New Roman" w:hAnsi="Times New Roman"/>
        </w:rPr>
        <w:t>7. Evidencia de aplicación</w:t>
      </w:r>
    </w:p>
    <w:p>
      <w:pPr>
        <w:spacing w:after="120" w:before="0" w:line="360" w:lineRule="exact"/>
        <w:jc w:val="both"/>
      </w:pPr>
      <w:r>
        <w:rPr>
          <w:rFonts w:ascii="Times New Roman" w:hAnsi="Times New Roman"/>
          <w:b w:val="0"/>
          <w:i w:val="0"/>
          <w:sz w:val="24"/>
        </w:rPr>
        <w:t>El material fue diseñado y aplicado con estudiantes de segundo semestre del CBTis 179 durante el ciclo escolar 2025-2026. Los estudiantes acceden semanalmente a través de una plataforma digital con sistema de autenticación por grupo, lo que ha permitido al docente monitorear el progreso individual y colectivo en tiempo real.</w:t>
      </w:r>
    </w:p>
    <w:p>
      <w:pPr>
        <w:spacing w:after="120" w:before="0" w:line="360" w:lineRule="exact"/>
        <w:jc w:val="both"/>
      </w:pPr>
      <w:r>
        <w:rPr>
          <w:rFonts w:ascii="Times New Roman" w:hAnsi="Times New Roman"/>
          <w:b w:val="0"/>
          <w:i w:val="0"/>
          <w:sz w:val="24"/>
        </w:rPr>
        <w:t>La experiencia en aula muestra que los escenarios situados generan discusión genuina: los estudiantes reconocen las situaciones, las debaten con su experiencia propia y en varios casos han señalado conexiones entre el contenido y su vida cotidiana que no habían nombrado antes.</w:t>
      </w:r>
    </w:p>
    <w:p>
      <w:pPr>
        <w:pStyle w:val="Heading1"/>
        <w:jc w:val="left"/>
      </w:pPr>
      <w:r>
        <w:rPr>
          <w:rFonts w:ascii="Times New Roman" w:hAnsi="Times New Roman"/>
        </w:rPr>
        <w:t>8. Consideraciones finales</w:t>
      </w:r>
    </w:p>
    <w:p>
      <w:pPr>
        <w:spacing w:after="120" w:before="0" w:line="360" w:lineRule="exact"/>
        <w:jc w:val="both"/>
      </w:pPr>
      <w:r>
        <w:rPr>
          <w:rFonts w:ascii="Times New Roman" w:hAnsi="Times New Roman"/>
          <w:b w:val="0"/>
          <w:i w:val="0"/>
          <w:sz w:val="24"/>
        </w:rPr>
        <w:t>SocioMente no pretende dar respuestas cerradas sobre la sociedad. Pretende que los estudiantes desarrollen la capacidad de hacer mejores preguntas: sobre su entorno, sobre los mensajes que reciben, sobre las estructuras que organizan su vida. En ese sentido, se alinea directamente con el propósito de esta convocatoria: construir un bachillerato que piense con voz propia, desde América Latina, con mirada crítica, soberana y transformadora.</w:t>
      </w:r>
    </w:p>
    <w:p>
      <w:pPr>
        <w:spacing w:after="120" w:before="120"/>
        <w:pBdr>
          <w:bottom w:val="single" w:sz="6" w:space="1" w:color="7c3aed"/>
        </w:pBdr>
      </w:pPr>
    </w:p>
    <w:p>
      <w:pPr>
        <w:spacing w:before="200"/>
        <w:jc w:val="center"/>
      </w:pPr>
      <w:r>
        <w:rPr>
          <w:rFonts w:ascii="Times New Roman" w:hAnsi="Times New Roman"/>
          <w:i/>
          <w:color w:val="646464"/>
          <w:sz w:val="20"/>
        </w:rPr>
        <w:t>Propuesta presentada en el marco de la Convocatoria Nacional "Pensar desde América Latina" · SEMS 2026</w:t>
        <w:br/>
        <w:t>CBTis 179 · [Ciudad, Estado] · [Fecha de envío]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