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svg" ContentType="image/svg+xml"/>
  <Override PartName="/word/media/rId34.svg" ContentType="image/svg+xml"/>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do-and-ideas"/>
    <w:p>
      <w:pPr>
        <w:pStyle w:val="Heading1"/>
      </w:pPr>
      <w:r>
        <w:t xml:space="preserve">To Do and Ideas</w:t>
      </w:r>
    </w:p>
    <w:p>
      <w:pPr>
        <w:pStyle w:val="FirstParagraph"/>
      </w:pPr>
      <w:r>
        <w:t xml:space="preserve">Analysis</w:t>
      </w:r>
    </w:p>
    <w:p>
      <w:pPr>
        <w:numPr>
          <w:ilvl w:val="0"/>
          <w:numId w:val="1001"/>
        </w:numPr>
      </w:pPr>
      <w:r>
        <w:t xml:space="preserve">Write python code for akshita</w:t>
      </w:r>
    </w:p>
    <w:p>
      <w:pPr>
        <w:numPr>
          <w:ilvl w:val="0"/>
          <w:numId w:val="1001"/>
        </w:numPr>
      </w:pPr>
      <w:r>
        <w:t xml:space="preserve">Anova Code in Python</w:t>
      </w:r>
    </w:p>
    <w:p>
      <w:pPr>
        <w:numPr>
          <w:ilvl w:val="0"/>
          <w:numId w:val="1001"/>
        </w:numPr>
      </w:pPr>
      <w:r>
        <w:t xml:space="preserve">Akshita assignment:</w:t>
      </w:r>
      <w:r>
        <w:t xml:space="preserve"> </w:t>
      </w:r>
    </w:p>
    <w:p>
      <w:pPr>
        <w:numPr>
          <w:ilvl w:val="1"/>
          <w:numId w:val="1002"/>
        </w:numPr>
      </w:pPr>
      <w:r>
        <w:t xml:space="preserve">fix plots using power point or illustrator</w:t>
      </w:r>
    </w:p>
    <w:p>
      <w:pPr>
        <w:numPr>
          <w:ilvl w:val="1"/>
          <w:numId w:val="1002"/>
        </w:numPr>
      </w:pPr>
      <w:r>
        <w:t xml:space="preserve">finish writing methods and results</w:t>
      </w:r>
    </w:p>
    <w:p>
      <w:pPr>
        <w:numPr>
          <w:ilvl w:val="1"/>
          <w:numId w:val="1002"/>
        </w:numPr>
      </w:pPr>
      <w:r>
        <w:t xml:space="preserve">Begin outlining and writing conclusion/discussion</w:t>
      </w:r>
    </w:p>
    <w:p>
      <w:pPr>
        <w:numPr>
          <w:ilvl w:val="1"/>
          <w:numId w:val="1002"/>
        </w:numPr>
      </w:pPr>
      <w:r>
        <w:t xml:space="preserve">prepare formating for publication</w:t>
      </w:r>
      <w:r>
        <w:t xml:space="preserve"> </w:t>
      </w:r>
    </w:p>
    <w:bookmarkEnd w:id="20"/>
    <w:bookmarkStart w:id="21" w:name="introduction"/>
    <w:p>
      <w:pPr>
        <w:pStyle w:val="Heading1"/>
      </w:pPr>
      <w:r>
        <w:t xml:space="preserve">Introduction</w:t>
      </w:r>
    </w:p>
    <w:p>
      <w:pPr>
        <w:pStyle w:val="FirstParagraph"/>
      </w:pPr>
      <w:r>
        <w:t xml:space="preserve">The problem</w:t>
      </w:r>
    </w:p>
    <w:p>
      <w:pPr>
        <w:pStyle w:val="BlockText"/>
      </w:pPr>
      <w:r>
        <w:t xml:space="preserve">"Comparing the trajectory of the COVID-19 epidemic in the United States to that of other countries can provide important insights into how the virus is progressing in the United States and the effectiveness of our response"</w:t>
      </w:r>
    </w:p>
    <w:p>
      <w:pPr>
        <w:pStyle w:val="BlockText"/>
      </w:pPr>
      <w:r>
        <w:t xml:space="preserve">Elvery 2020</w:t>
      </w:r>
    </w:p>
    <w:p>
      <w:pPr>
        <w:pStyle w:val="FirstParagraph"/>
      </w:pPr>
      <w:r>
        <w:t xml:space="preserve">Hypothesis...</w:t>
      </w:r>
    </w:p>
    <w:p>
      <w:pPr>
        <w:pStyle w:val="BodyText"/>
      </w:pPr>
      <w:r>
        <w:t xml:space="preserve">Figure of NPI policies</w:t>
      </w:r>
    </w:p>
    <w:p>
      <w:pPr>
        <w:pStyle w:val="BodyText"/>
      </w:pPr>
    </w:p>
    <w:bookmarkEnd w:id="21"/>
    <w:bookmarkStart w:id="32" w:name="methods"/>
    <w:p>
      <w:pPr>
        <w:pStyle w:val="Heading1"/>
      </w:pPr>
      <w:r>
        <w:t xml:space="preserve">Methods</w:t>
      </w:r>
      <w:r>
        <w:t xml:space="preserve"> </w:t>
      </w:r>
    </w:p>
    <w:bookmarkStart w:id="23" w:name="raw-daily-mortality-counts"/>
    <w:p>
      <w:pPr>
        <w:pStyle w:val="Heading2"/>
      </w:pPr>
      <w:r>
        <w:t xml:space="preserve">Raw Daily Mortality Counts</w:t>
      </w:r>
    </w:p>
    <w:p>
      <w:pPr>
        <w:pStyle w:val="FirstParagraph"/>
      </w:pPr>
      <w:r>
        <w:t xml:space="preserve">We use a publically available dataset provided by California's Covid19 Recourse Website (</w:t>
      </w:r>
      <w:hyperlink r:id="rId22">
        <w:r>
          <w:rPr>
            <w:rStyle w:val="Hyperlink"/>
          </w:rPr>
          <w:t xml:space="preserve">https://covid19.ca.gov/state-dashboard/</w:t>
        </w:r>
      </w:hyperlink>
      <w:r>
        <w:t xml:space="preserve">). From the data set we used the</w:t>
      </w:r>
      <w:r>
        <w:t xml:space="preserve"> </w:t>
      </w:r>
    </w:p>
    <w:p>
      <w:pPr>
        <w:numPr>
          <w:ilvl w:val="0"/>
          <w:numId w:val="1003"/>
        </w:numPr>
      </w:pPr>
      <w:r>
        <w:t xml:space="preserve">Daily number of covid-related mortalities begining on</w:t>
      </w:r>
      <w:r>
        <w:t xml:space="preserve"> </w:t>
      </w:r>
      <w:r>
        <w:rPr>
          <w:bCs/>
          <w:b/>
        </w:rPr>
        <w:t xml:space="preserve">April 2020</w:t>
      </w:r>
      <w:r>
        <w:t xml:space="preserve"> </w:t>
      </w:r>
      <w:r>
        <w:t xml:space="preserve">and ending on</w:t>
      </w:r>
      <w:r>
        <w:t xml:space="preserve"> </w:t>
      </w:r>
      <w:r>
        <w:rPr>
          <w:bCs/>
          <w:b/>
        </w:rPr>
        <w:t xml:space="preserve">July 2021</w:t>
      </w:r>
    </w:p>
    <w:p>
      <w:pPr>
        <w:numPr>
          <w:ilvl w:val="0"/>
          <w:numId w:val="1003"/>
        </w:numPr>
      </w:pPr>
      <w:r>
        <w:t xml:space="preserve">We obtain daily mortality counts obtained for</w:t>
      </w:r>
      <w:r>
        <w:t xml:space="preserve"> </w:t>
      </w:r>
      <w:r>
        <w:rPr>
          <w:bCs/>
          <w:b/>
        </w:rPr>
        <w:t xml:space="preserve">7</w:t>
      </w:r>
      <w:r>
        <w:t xml:space="preserve"> </w:t>
      </w:r>
      <w:r>
        <w:t xml:space="preserve">different ethnic groups: Asian, African American, Latino, multi-ethnic, Native-American, Pacific-Islander and White.</w:t>
      </w:r>
    </w:p>
    <w:bookmarkEnd w:id="23"/>
    <w:bookmarkStart w:id="26" w:name="daily-death-rates"/>
    <w:p>
      <w:pPr>
        <w:pStyle w:val="Heading2"/>
      </w:pPr>
      <w:r>
        <w:t xml:space="preserve">Daily Death Rates</w:t>
      </w:r>
    </w:p>
    <w:p>
      <w:pPr>
        <w:pStyle w:val="FirstParagraph"/>
      </w:pPr>
      <w:r>
        <w:t xml:space="preserve">Motivation</w:t>
      </w:r>
    </w:p>
    <w:p>
      <w:pPr>
        <w:numPr>
          <w:ilvl w:val="0"/>
          <w:numId w:val="1004"/>
        </w:numPr>
      </w:pPr>
      <w:r>
        <w:t xml:space="preserve">An ethnic groups</w:t>
      </w:r>
      <w:r>
        <w:t xml:space="preserve"> </w:t>
      </w:r>
      <w:r>
        <w:rPr>
          <w:bCs/>
          <w:b/>
        </w:rPr>
        <w:t xml:space="preserve">daily number of mortalities</w:t>
      </w:r>
      <w:r>
        <w:t xml:space="preserve"> </w:t>
      </w:r>
      <w:r>
        <w:t xml:space="preserve">depends on the size of the groups population, and is therefore an inappropriate measure to use.</w:t>
      </w:r>
      <w:r>
        <w:t xml:space="preserve"> </w:t>
      </w:r>
    </w:p>
    <w:p>
      <w:pPr>
        <w:pStyle w:val="FirstParagraph"/>
      </w:pPr>
      <w:r>
        <w:t xml:space="preserve">Solution</w:t>
      </w:r>
    </w:p>
    <w:p>
      <w:pPr>
        <w:numPr>
          <w:ilvl w:val="0"/>
          <w:numId w:val="1005"/>
        </w:numPr>
      </w:pPr>
      <w:r>
        <w:t xml:space="preserve">To resolve this issue we divide the mortality on the</w:t>
      </w:r>
      <w:r>
        <w:t xml:space="preserve"> </w:t>
      </w:r>
      <w:r>
        <w:rPr>
          <w:iCs/>
          <w:i/>
        </w:rPr>
        <w:t xml:space="preserve">i_th</w:t>
      </w:r>
      <w:r>
        <w:t xml:space="preserve"> </w:t>
      </w:r>
      <w:r>
        <w:t xml:space="preserve">day by the group's population size in California. We refer to this outcome variable as the</w:t>
      </w:r>
      <w:r>
        <w:t xml:space="preserve"> </w:t>
      </w:r>
      <w:r>
        <w:rPr>
          <w:iCs/>
          <w:i/>
        </w:rPr>
        <w:t xml:space="preserve">death rate</w:t>
      </w:r>
      <w:r>
        <w:t xml:space="preserve">.</w:t>
      </w:r>
    </w:p>
    <w:p>
      <w:pPr>
        <w:pStyle w:val="FirstParagraph"/>
      </w:pPr>
      <m:oMathPara>
        <m:oMathParaPr>
          <m:jc m:val="center"/>
        </m:oMathParaPr>
        <m:oMath>
          <m:sSub>
            <m:e>
              <m:r>
                <m:t>m</m:t>
              </m:r>
            </m:e>
            <m:sub>
              <m:sSub>
                <m:e>
                  <m:r>
                    <m:t>d</m:t>
                  </m:r>
                </m:e>
                <m:sub>
                  <m:r>
                    <m:t>i</m:t>
                  </m:r>
                </m:sub>
              </m:sSub>
            </m:sub>
          </m:sSub>
          <m:r>
            <m:rPr>
              <m:sty m:val="p"/>
            </m:rPr>
            <m:t>=</m:t>
          </m:r>
          <m:r>
            <m:t>N</m:t>
          </m:r>
          <m:r>
            <m:t>u</m:t>
          </m:r>
          <m:r>
            <m:t>m</m:t>
          </m:r>
          <m:r>
            <m:t>b</m:t>
          </m:r>
          <m:r>
            <m:t>e</m:t>
          </m:r>
          <m:r>
            <m:t>r</m:t>
          </m:r>
          <m:r>
            <m:t>O</m:t>
          </m:r>
          <m:r>
            <m:t>f</m:t>
          </m:r>
          <m:r>
            <m:t>M</m:t>
          </m:r>
          <m:r>
            <m:t>o</m:t>
          </m:r>
          <m:r>
            <m:t>r</m:t>
          </m:r>
          <m:r>
            <m:t>t</m:t>
          </m:r>
          <m:r>
            <m:t>a</m:t>
          </m:r>
          <m:r>
            <m:t>l</m:t>
          </m:r>
          <m:r>
            <m:t>i</m:t>
          </m:r>
          <m:r>
            <m:t>t</m:t>
          </m:r>
          <m:r>
            <m:t>i</m:t>
          </m:r>
          <m:r>
            <m:t>e</m:t>
          </m:r>
          <m:r>
            <m:t>s</m:t>
          </m:r>
          <m:r>
            <m:rPr>
              <m:sty m:val="p"/>
            </m:rPr>
            <m:t>/</m:t>
          </m:r>
          <m:r>
            <m:t>E</m:t>
          </m:r>
          <m:r>
            <m:t>t</m:t>
          </m:r>
          <m:r>
            <m:t>h</m:t>
          </m:r>
          <m:r>
            <m:t>n</m:t>
          </m:r>
          <m:r>
            <m:t>i</m:t>
          </m:r>
          <m:r>
            <m:t>c</m:t>
          </m:r>
          <m:r>
            <m:t>P</m:t>
          </m:r>
          <m:r>
            <m:t>o</m:t>
          </m:r>
          <m:r>
            <m:t>p</m:t>
          </m:r>
          <m:r>
            <m:t>u</m:t>
          </m:r>
          <m:r>
            <m:t>l</m:t>
          </m:r>
          <m:r>
            <m:t>a</m:t>
          </m:r>
          <m:r>
            <m:t>t</m:t>
          </m:r>
          <m:r>
            <m:t>i</m:t>
          </m:r>
          <m:r>
            <m:t>o</m:t>
          </m:r>
          <m:r>
            <m:t>n</m:t>
          </m:r>
        </m:oMath>
      </m:oMathPara>
    </w:p>
    <w:p>
      <w:pPr>
        <w:numPr>
          <w:ilvl w:val="0"/>
          <w:numId w:val="1006"/>
        </w:numPr>
      </w:pPr>
      <w:r>
        <w:t xml:space="preserve">Ethnic group's population size in the California was taken from 2019 census counts conducted by the</w:t>
      </w:r>
      <w:r>
        <w:t xml:space="preserve"> </w:t>
      </w:r>
      <w:hyperlink r:id="rId24">
        <w:r>
          <w:rPr>
            <w:rStyle w:val="Hyperlink"/>
          </w:rPr>
          <w:t xml:space="preserve">United States Census Bureau</w:t>
        </w:r>
      </w:hyperlink>
      <w:r>
        <w:t xml:space="preserve">.</w:t>
      </w:r>
      <w:r>
        <w:t xml:space="preserve"> </w:t>
      </w:r>
    </w:p>
    <w:p>
      <w:pPr>
        <w:numPr>
          <w:ilvl w:val="0"/>
          <w:numId w:val="1006"/>
        </w:numPr>
      </w:pPr>
      <w:r>
        <w:t xml:space="preserve">Death rates are then smoothed using a moving average of 7 days.</w:t>
      </w:r>
    </w:p>
    <w:p>
      <w:pPr>
        <w:pStyle w:val="FirstParagraph"/>
      </w:pPr>
      <w:hyperlink r:id="rId25">
        <w:r>
          <w:rPr>
            <w:rStyle w:val="Hyperlink"/>
          </w:rPr>
          <w:t xml:space="preserve">Figure X</w:t>
        </w:r>
      </w:hyperlink>
      <w:r>
        <w:t xml:space="preserve"> </w:t>
      </w:r>
      <w:r>
        <w:t xml:space="preserve">shows each ethnicity's daily death rates from April 2020 - July 2021.</w:t>
      </w:r>
      <w:r>
        <w:t xml:space="preserve"> </w:t>
      </w:r>
    </w:p>
    <w:p>
      <w:pPr>
        <w:pStyle w:val="BodyText"/>
      </w:pPr>
    </w:p>
    <w:bookmarkEnd w:id="26"/>
    <w:bookmarkStart w:id="30" w:name="npi"/>
    <w:p>
      <w:pPr>
        <w:pStyle w:val="Heading2"/>
      </w:pPr>
      <w:r>
        <w:t xml:space="preserve">NPI</w:t>
      </w:r>
    </w:p>
    <w:p>
      <w:pPr>
        <w:pStyle w:val="FirstParagraph"/>
      </w:pPr>
      <w:r>
        <w:t xml:space="preserve">We also aquired the dates that non-pharemcutical interventions (NPIs) were implemented by the state of California. Specifically, we define</w:t>
      </w:r>
      <w:r>
        <w:t xml:space="preserve"> </w:t>
      </w:r>
      <w:r>
        <w:rPr>
          <w:bCs/>
          <w:b/>
        </w:rPr>
        <w:t xml:space="preserve">NPIs</w:t>
      </w:r>
      <w:r>
        <w:t xml:space="preserve"> </w:t>
      </w:r>
      <w:r>
        <w:t xml:space="preserve">as government policies that impose restictions on social and economic activity accross the state.</w:t>
      </w:r>
    </w:p>
    <w:p>
      <w:pPr>
        <w:pStyle w:val="BodyText"/>
      </w:pPr>
      <w:r>
        <w:t xml:space="preserve">In the analysis, we assess the impact of</w:t>
      </w:r>
      <w:r>
        <w:t xml:space="preserve"> </w:t>
      </w:r>
      <w:r>
        <w:rPr>
          <w:bCs/>
          <w:b/>
        </w:rPr>
        <w:t xml:space="preserve">7</w:t>
      </w:r>
      <w:r>
        <w:t xml:space="preserve"> </w:t>
      </w:r>
      <w:r>
        <w:t xml:space="preserve">NPIs on death rates occuring between April 2020 and July 2021. An example NPI was implemented on</w:t>
      </w:r>
      <w:r>
        <w:t xml:space="preserve"> </w:t>
      </w:r>
      <w:r>
        <w:rPr>
          <w:bCs/>
          <w:b/>
        </w:rPr>
        <w:t xml:space="preserve">DATE</w:t>
      </w:r>
      <w:r>
        <w:t xml:space="preserve"> </w:t>
      </w:r>
      <w:r>
        <w:t xml:space="preserve">where the state of california imposed a mask mandate reqiuring, by law, all of its residents to wear a mask when outdoors.</w:t>
      </w:r>
    </w:p>
    <w:p>
      <w:pPr>
        <w:pStyle w:val="BodyText"/>
      </w:pPr>
      <w:r>
        <w:t xml:space="preserve">Data on NPIs were manually collected from a report written by Richard Procter. The</w:t>
      </w:r>
      <w:r>
        <w:t xml:space="preserve"> </w:t>
      </w:r>
      <w:hyperlink r:id="rId27">
        <w:r>
          <w:rPr>
            <w:rStyle w:val="Hyperlink"/>
          </w:rPr>
          <w:t xml:space="preserve">website to the report can be found here</w:t>
        </w:r>
      </w:hyperlink>
      <w:r>
        <w:t xml:space="preserve">, and a PDF of the most current report used in this analysis can be</w:t>
      </w:r>
      <w:r>
        <w:t xml:space="preserve"> </w:t>
      </w:r>
      <w:hyperlink r:id="rId28">
        <w:r>
          <w:rPr>
            <w:rStyle w:val="Hyperlink"/>
          </w:rPr>
          <w:t xml:space="preserve">found here</w:t>
        </w:r>
      </w:hyperlink>
    </w:p>
    <w:p>
      <w:pPr>
        <w:pStyle w:val="BodyText"/>
      </w:pPr>
    </w:p>
    <w:p>
      <w:pPr>
        <w:pStyle w:val="BodyText"/>
      </w:pPr>
      <w:r>
        <w:t xml:space="preserve">The vertical lines in</w:t>
      </w:r>
      <w:r>
        <w:t xml:space="preserve"> </w:t>
      </w:r>
      <w:r>
        <w:rPr>
          <w:bCs/>
          <w:b/>
        </w:rPr>
        <w:t xml:space="preserve">Figure ()</w:t>
      </w:r>
      <w:r>
        <w:t xml:space="preserve"> </w:t>
      </w:r>
      <w:r>
        <w:t xml:space="preserve">show the dates a short description of the NPIs that were used in this analysis.</w:t>
      </w:r>
      <w:r>
        <w:t xml:space="preserve"> </w:t>
      </w:r>
    </w:p>
    <w:p>
      <w:pPr>
        <w:pStyle w:val="CaptionedFigure"/>
      </w:pPr>
      <w:r>
        <w:drawing>
          <wp:inline>
            <wp:extent cx="5334000" cy="1268848"/>
            <wp:effectExtent b="0" l="0" r="0" t="0"/>
            <wp:docPr descr="image-20210829205106500" title="" id="1" name="Picture"/>
            <a:graphic>
              <a:graphicData uri="http://schemas.openxmlformats.org/drawingml/2006/picture">
                <pic:pic>
                  <pic:nvPicPr>
                    <pic:cNvPr descr="/Users/luis/Box/prjAKSHITA/aksCOMM/file0_202197.png" id="0" name="Picture"/>
                    <pic:cNvPicPr>
                      <a:picLocks noChangeArrowheads="1" noChangeAspect="1"/>
                    </pic:cNvPicPr>
                  </pic:nvPicPr>
                  <pic:blipFill>
                    <a:blip r:embed="rId29"/>
                    <a:stretch>
                      <a:fillRect/>
                    </a:stretch>
                  </pic:blipFill>
                  <pic:spPr bwMode="auto">
                    <a:xfrm>
                      <a:off x="0" y="0"/>
                      <a:ext cx="5334000" cy="1268848"/>
                    </a:xfrm>
                    <a:prstGeom prst="rect">
                      <a:avLst/>
                    </a:prstGeom>
                    <a:noFill/>
                    <a:ln w="9525">
                      <a:noFill/>
                      <a:headEnd/>
                      <a:tailEnd/>
                    </a:ln>
                  </pic:spPr>
                </pic:pic>
              </a:graphicData>
            </a:graphic>
          </wp:inline>
        </w:drawing>
      </w:r>
    </w:p>
    <w:p>
      <w:pPr>
        <w:pStyle w:val="ImageCaption"/>
      </w:pPr>
      <w:r>
        <w:t xml:space="preserve">image-20210829205106500</w:t>
      </w:r>
    </w:p>
    <w:bookmarkEnd w:id="30"/>
    <w:bookmarkStart w:id="31" w:name="analysis"/>
    <w:p>
      <w:pPr>
        <w:pStyle w:val="Heading2"/>
      </w:pPr>
      <w:r>
        <w:t xml:space="preserve">Analysis</w:t>
      </w:r>
      <w:r>
        <w:t xml:space="preserve"> </w:t>
      </w:r>
    </w:p>
    <w:p>
      <w:pPr>
        <w:pStyle w:val="FirstParagraph"/>
      </w:pPr>
      <w:r>
        <w:t xml:space="preserve">To determine the effect of non-pharemcutical interventions (NPIs) on the</w:t>
      </w:r>
      <w:r>
        <w:t xml:space="preserve"> </w:t>
      </w:r>
      <w:r>
        <w:rPr>
          <w:bCs/>
          <w:b/>
        </w:rPr>
        <w:t xml:space="preserve">daily</w:t>
      </w:r>
      <w:r>
        <w:t xml:space="preserve"> </w:t>
      </w:r>
      <w:r>
        <w:rPr>
          <w:bCs/>
          <w:b/>
        </w:rPr>
        <w:t xml:space="preserve">death rates</w:t>
      </w:r>
      <w:r>
        <w:t xml:space="preserve"> </w:t>
      </w:r>
      <w:r>
        <w:t xml:space="preserve">of an ethinic group, we compute the</w:t>
      </w:r>
      <w:r>
        <w:t xml:space="preserve"> </w:t>
      </w:r>
      <w:r>
        <w:rPr>
          <w:bCs/>
          <w:b/>
        </w:rPr>
        <w:t xml:space="preserve">mean change mortality rate</w:t>
      </w:r>
      <w:r>
        <w:t xml:space="preserve"> </w:t>
      </w:r>
      <w:r>
        <w:t xml:space="preserve">following the onset of an NPI. Specifically, after the onset date of an NPI we compute the change in mortality rate for each day following the NPI for up to 15 days. We then take the average of the changes in mortality rates accross the 15 days and accross all NPIs. This average change in mortality was computed seperately for each ethnic population.</w:t>
      </w:r>
      <w:r>
        <w:t xml:space="preserve"> </w:t>
      </w:r>
    </w:p>
    <w:p>
      <w:pPr>
        <w:pStyle w:val="BodyText"/>
      </w:pPr>
      <m:oMathPara>
        <m:oMathParaPr>
          <m:jc m:val="center"/>
        </m:oMathParaPr>
        <m:oMath>
          <m:r>
            <m:t>Δ</m:t>
          </m:r>
          <m:acc>
            <m:accPr>
              <m:chr m:val="‾"/>
            </m:accPr>
            <m:e>
              <m:r>
                <m:t>M</m:t>
              </m:r>
            </m:e>
          </m:acc>
          <m:sSub>
            <m:e>
              <m:r>
                <m:t>​</m:t>
              </m:r>
            </m:e>
            <m:sub>
              <m:r>
                <m:t>e</m:t>
              </m:r>
              <m:r>
                <m:t>t</m:t>
              </m:r>
              <m:r>
                <m:t>h</m:t>
              </m:r>
              <m:r>
                <m:t>n</m:t>
              </m:r>
              <m:r>
                <m:t>i</m:t>
              </m:r>
              <m:r>
                <m:t>c</m:t>
              </m:r>
              <m:r>
                <m:t>i</m:t>
              </m:r>
              <m:r>
                <m:t>t</m:t>
              </m:r>
              <m:r>
                <m:t>y</m:t>
              </m:r>
            </m:sub>
          </m:sSub>
          <m:r>
            <m:rPr>
              <m:sty m:val="p"/>
            </m:rPr>
            <m:t>=</m:t>
          </m:r>
          <m:f>
            <m:fPr>
              <m:type m:val="bar"/>
            </m:fPr>
            <m:num>
              <m:r>
                <m:t>1</m:t>
              </m:r>
            </m:num>
            <m:den>
              <m:r>
                <m:t>N</m:t>
              </m:r>
            </m:den>
          </m:f>
          <m:nary>
            <m:naryPr>
              <m:chr m:val="∑"/>
              <m:limLoc m:val="undOvr"/>
              <m:subHide m:val="0"/>
              <m:supHide m:val="0"/>
            </m:naryPr>
            <m:sub>
              <m:r>
                <m:t>n</m:t>
              </m:r>
              <m:r>
                <m:rPr>
                  <m:sty m:val="p"/>
                </m:rPr>
                <m:t>=</m:t>
              </m:r>
              <m:r>
                <m:t>1</m:t>
              </m:r>
            </m:sub>
            <m:sup>
              <m:r>
                <m:t>N</m:t>
              </m:r>
            </m:sup>
            <m:e>
              <m:r>
                <m:t>Δ</m:t>
              </m:r>
              <m:sSub>
                <m:e>
                  <m:r>
                    <m:t>m</m:t>
                  </m:r>
                </m:e>
                <m:sub>
                  <m:r>
                    <m:t>n</m:t>
                  </m:r>
                </m:sub>
              </m:sSub>
            </m:e>
          </m:nary>
        </m:oMath>
      </m:oMathPara>
    </w:p>
    <w:p>
      <w:pPr>
        <w:pStyle w:val="FirstParagraph"/>
      </w:pPr>
      <m:oMathPara>
        <m:oMathParaPr>
          <m:jc m:val="center"/>
        </m:oMathParaPr>
        <m:oMath>
          <m:r>
            <m:t>w</m:t>
          </m:r>
          <m:r>
            <m:t>h</m:t>
          </m:r>
          <m:r>
            <m:t>e</m:t>
          </m:r>
          <m:r>
            <m:t>r</m:t>
          </m:r>
          <m:r>
            <m:t>e</m:t>
          </m:r>
          <m:r>
            <m:rPr>
              <m:sty m:val="p"/>
            </m:rPr>
            <m:t>,</m:t>
          </m:r>
          <m:r>
            <m:t>Δ</m:t>
          </m:r>
          <m:sSub>
            <m:e>
              <m:r>
                <m:t>m</m:t>
              </m:r>
            </m:e>
            <m:sub>
              <m:r>
                <m:t>n</m:t>
              </m:r>
            </m:sub>
          </m:sSub>
          <m:r>
            <m:rPr>
              <m:sty m:val="p"/>
            </m:rPr>
            <m:t>=</m:t>
          </m:r>
          <m:f>
            <m:fPr>
              <m:type m:val="bar"/>
            </m:fPr>
            <m:num>
              <m:r>
                <m:t>1</m:t>
              </m:r>
            </m:num>
            <m:den>
              <m:r>
                <m:t>D</m:t>
              </m:r>
            </m:den>
          </m:f>
          <m:nary>
            <m:naryPr>
              <m:chr m:val="∑"/>
              <m:limLoc m:val="undOvr"/>
              <m:subHide m:val="0"/>
              <m:supHide m:val="0"/>
            </m:naryPr>
            <m:sub>
              <m:r>
                <m:t>i</m:t>
              </m:r>
              <m:r>
                <m:rPr>
                  <m:sty m:val="p"/>
                </m:rPr>
                <m:t>=</m:t>
              </m:r>
              <m:r>
                <m:t>1</m:t>
              </m:r>
            </m:sub>
            <m:sup>
              <m:r>
                <m:t>D</m:t>
              </m:r>
            </m:sup>
            <m:e>
              <m:r>
                <m:rPr>
                  <m:sty m:val="p"/>
                </m:rPr>
                <m:t>(</m:t>
              </m:r>
            </m:e>
          </m:nary>
          <m:sSub>
            <m:e>
              <m:r>
                <m:t>m</m:t>
              </m:r>
            </m:e>
            <m:sub>
              <m:sSub>
                <m:e>
                  <m:r>
                    <m:t>d</m:t>
                  </m:r>
                </m:e>
                <m:sub>
                  <m:r>
                    <m:t>0</m:t>
                  </m:r>
                </m:sub>
              </m:sSub>
            </m:sub>
          </m:sSub>
          <m:r>
            <m:rPr>
              <m:sty m:val="p"/>
            </m:rPr>
            <m:t>−</m:t>
          </m:r>
          <m:sSub>
            <m:e>
              <m:r>
                <m:t>m</m:t>
              </m:r>
            </m:e>
            <m:sub>
              <m:sSub>
                <m:e>
                  <m:r>
                    <m:t>d</m:t>
                  </m:r>
                </m:e>
                <m:sub>
                  <m:r>
                    <m:t>i</m:t>
                  </m:r>
                </m:sub>
              </m:sSub>
            </m:sub>
          </m:sSub>
          <m:r>
            <m:rPr>
              <m:sty m:val="p"/>
            </m:rPr>
            <m:t>)</m:t>
          </m:r>
        </m:oMath>
      </m:oMathPara>
    </w:p>
    <w:bookmarkEnd w:id="31"/>
    <w:bookmarkEnd w:id="32"/>
    <w:bookmarkStart w:id="38" w:name="results"/>
    <w:p>
      <w:pPr>
        <w:pStyle w:val="Heading1"/>
      </w:pPr>
      <w:r>
        <w:t xml:space="preserve">Results</w:t>
      </w:r>
    </w:p>
    <w:p>
      <w:pPr>
        <w:pStyle w:val="FirstParagraph"/>
      </w:pPr>
      <w:r>
        <w:t xml:space="preserve">The results of the analysis are summarized in figure [X].</w:t>
      </w:r>
      <w:r>
        <w:t xml:space="preserve"> </w:t>
      </w:r>
    </w:p>
    <w:bookmarkStart w:id="36" w:name="anova"/>
    <w:p>
      <w:pPr>
        <w:pStyle w:val="Heading2"/>
      </w:pPr>
      <w:r>
        <w:t xml:space="preserve">ANOVA</w:t>
      </w:r>
    </w:p>
    <w:p>
      <w:pPr>
        <w:pStyle w:val="FirstParagraph"/>
      </w:pPr>
      <w:r>
        <w:t xml:space="preserve">We begin by testing the hypothesis that the</w:t>
      </w:r>
      <w:r>
        <w:t xml:space="preserve"> </w:t>
      </w:r>
      <w:r>
        <w:rPr>
          <w:bCs/>
          <w:b/>
        </w:rPr>
        <w:t xml:space="preserve">mean change in mortality</w:t>
      </w:r>
      <w:r>
        <w:t xml:space="preserve"> </w:t>
      </w:r>
      <w:r>
        <w:t xml:space="preserve">following an NPI is similar for all ethnic groups. Using a one way ANOVA, we reject this hypothesis [ F(6,105) = 17.40, p = 0.00].</w:t>
      </w:r>
    </w:p>
    <w:p>
      <w:pPr>
        <w:pStyle w:val="BodyText"/>
      </w:pPr>
    </w:p>
    <w:p>
      <w:pPr>
        <w:pStyle w:val="CaptionedFigure"/>
      </w:pPr>
      <w:r>
        <w:drawing>
          <wp:inline>
            <wp:extent cx="5334000" cy="5269734"/>
            <wp:effectExtent b="0" l="0" r="0" t="0"/>
            <wp:docPr descr="image-20210829205106500" title="" id="1" name="Picture"/>
            <a:graphic>
              <a:graphicData uri="http://schemas.openxmlformats.org/drawingml/2006/picture">
                <pic:pic>
                  <pic:nvPicPr>
                    <pic:cNvPr descr="/Users/luis/Box/prjAKSHITA/aksCOMM/file1_202197.svg" id="0" name="Picture"/>
                    <pic:cNvPicPr>
                      <a:picLocks noChangeArrowheads="1" noChangeAspect="1"/>
                    </pic:cNvPicPr>
                  </pic:nvPicPr>
                  <pic:blipFill>
                    <a:blip r:embed="rId33"/>
                    <a:stretch>
                      <a:fillRect/>
                    </a:stretch>
                  </pic:blipFill>
                  <pic:spPr bwMode="auto">
                    <a:xfrm>
                      <a:off x="0" y="0"/>
                      <a:ext cx="5334000" cy="5269734"/>
                    </a:xfrm>
                    <a:prstGeom prst="rect">
                      <a:avLst/>
                    </a:prstGeom>
                    <a:noFill/>
                    <a:ln w="9525">
                      <a:noFill/>
                      <a:headEnd/>
                      <a:tailEnd/>
                    </a:ln>
                  </pic:spPr>
                </pic:pic>
              </a:graphicData>
            </a:graphic>
          </wp:inline>
        </w:drawing>
      </w:r>
    </w:p>
    <w:p>
      <w:pPr>
        <w:pStyle w:val="ImageCaption"/>
      </w:pPr>
      <w:r>
        <w:t xml:space="preserve">image-20210829205106500</w:t>
      </w:r>
    </w:p>
    <w:p>
      <w:pPr>
        <w:pStyle w:val="CaptionedFigure"/>
      </w:pPr>
      <w:r>
        <w:drawing>
          <wp:inline>
            <wp:extent cx="5334000" cy="5269734"/>
            <wp:effectExtent b="0" l="0" r="0" t="0"/>
            <wp:docPr descr="image-20210829205106500" title="" id="1" name="Picture"/>
            <a:graphic>
              <a:graphicData uri="http://schemas.openxmlformats.org/drawingml/2006/picture">
                <pic:pic>
                  <pic:nvPicPr>
                    <pic:cNvPr descr="/Users/luis/Box/prjAKSHITA/aksCOMM/file2_202197.svg" id="0" name="Picture"/>
                    <pic:cNvPicPr>
                      <a:picLocks noChangeArrowheads="1" noChangeAspect="1"/>
                    </pic:cNvPicPr>
                  </pic:nvPicPr>
                  <pic:blipFill>
                    <a:blip r:embed="rId34"/>
                    <a:stretch>
                      <a:fillRect/>
                    </a:stretch>
                  </pic:blipFill>
                  <pic:spPr bwMode="auto">
                    <a:xfrm>
                      <a:off x="0" y="0"/>
                      <a:ext cx="5334000" cy="5269734"/>
                    </a:xfrm>
                    <a:prstGeom prst="rect">
                      <a:avLst/>
                    </a:prstGeom>
                    <a:noFill/>
                    <a:ln w="9525">
                      <a:noFill/>
                      <a:headEnd/>
                      <a:tailEnd/>
                    </a:ln>
                  </pic:spPr>
                </pic:pic>
              </a:graphicData>
            </a:graphic>
          </wp:inline>
        </w:drawing>
      </w:r>
    </w:p>
    <w:p>
      <w:pPr>
        <w:pStyle w:val="ImageCaption"/>
      </w:pPr>
      <w:r>
        <w:t xml:space="preserve">image-20210829205106500</w:t>
      </w:r>
    </w:p>
    <w:p>
      <w:pPr>
        <w:pStyle w:val="CaptionedFigure"/>
      </w:pPr>
      <w:r>
        <w:drawing>
          <wp:inline>
            <wp:extent cx="5334000" cy="923925"/>
            <wp:effectExtent b="0" l="0" r="0" t="0"/>
            <wp:docPr descr="image-20210829205106500" title="" id="1" name="Picture"/>
            <a:graphic>
              <a:graphicData uri="http://schemas.openxmlformats.org/drawingml/2006/picture">
                <pic:pic>
                  <pic:nvPicPr>
                    <pic:cNvPr descr="/Users/luis/Box/prjAKSHITA/aksCOMM/file3_202197.svg" id="0" name="Picture"/>
                    <pic:cNvPicPr>
                      <a:picLocks noChangeArrowheads="1" noChangeAspect="1"/>
                    </pic:cNvPicPr>
                  </pic:nvPicPr>
                  <pic:blipFill>
                    <a:blip r:embed="rId35"/>
                    <a:stretch>
                      <a:fillRect/>
                    </a:stretch>
                  </pic:blipFill>
                  <pic:spPr bwMode="auto">
                    <a:xfrm>
                      <a:off x="0" y="0"/>
                      <a:ext cx="5334000" cy="923925"/>
                    </a:xfrm>
                    <a:prstGeom prst="rect">
                      <a:avLst/>
                    </a:prstGeom>
                    <a:noFill/>
                    <a:ln w="9525">
                      <a:noFill/>
                      <a:headEnd/>
                      <a:tailEnd/>
                    </a:ln>
                  </pic:spPr>
                </pic:pic>
              </a:graphicData>
            </a:graphic>
          </wp:inline>
        </w:drawing>
      </w:r>
    </w:p>
    <w:p>
      <w:pPr>
        <w:pStyle w:val="ImageCaption"/>
      </w:pPr>
      <w:r>
        <w:t xml:space="preserve">image-20210829205106500</w:t>
      </w:r>
    </w:p>
    <w:p>
      <w:pPr>
        <w:pStyle w:val="BodyText"/>
      </w:pPr>
    </w:p>
    <w:bookmarkEnd w:id="36"/>
    <w:bookmarkStart w:id="37" w:name="t-tests"/>
    <w:p>
      <w:pPr>
        <w:pStyle w:val="Heading2"/>
      </w:pPr>
      <w:r>
        <w:t xml:space="preserve">T-Tests</w:t>
      </w:r>
    </w:p>
    <w:p>
      <w:pPr>
        <w:pStyle w:val="FirstParagraph"/>
      </w:pPr>
      <w:r>
        <w:t xml:space="preserve">Second we ask if minority ethnic groups and Whites are impacted by NPIs to the same degree.</w:t>
      </w:r>
      <w:r>
        <w:t xml:space="preserve"> </w:t>
      </w:r>
    </w:p>
    <w:p>
      <w:pPr>
        <w:pStyle w:val="BodyText"/>
      </w:pPr>
      <w:r>
        <w:t xml:space="preserve">As shown in</w:t>
      </w:r>
      <w:r>
        <w:t xml:space="preserve"> </w:t>
      </w:r>
      <w:r>
        <w:rPr>
          <w:bCs/>
          <w:b/>
        </w:rPr>
        <w:t xml:space="preserve">FIGURE X</w:t>
      </w:r>
    </w:p>
    <w:p>
      <w:pPr>
        <w:numPr>
          <w:ilvl w:val="0"/>
          <w:numId w:val="1007"/>
        </w:numPr>
      </w:pPr>
      <w:r>
        <w:t xml:space="preserve">we find a significant difference in the</w:t>
      </w:r>
      <w:r>
        <w:t xml:space="preserve"> </w:t>
      </w:r>
      <w:r>
        <w:rPr>
          <w:bCs/>
          <w:b/>
        </w:rPr>
        <w:t xml:space="preserve">mean change in mortality</w:t>
      </w:r>
      <w:r>
        <w:t xml:space="preserve"> </w:t>
      </w:r>
      <w:r>
        <w:t xml:space="preserve">of whites versus latinos after NPIs (t = x.xx, p = x.xx).</w:t>
      </w:r>
      <w:r>
        <w:t xml:space="preserve"> </w:t>
      </w:r>
    </w:p>
    <w:p>
      <w:pPr>
        <w:numPr>
          <w:ilvl w:val="0"/>
          <w:numId w:val="1007"/>
        </w:numPr>
      </w:pPr>
      <w:r>
        <w:t xml:space="preserve">Similarly, we find that, following an NPI, the</w:t>
      </w:r>
      <w:r>
        <w:t xml:space="preserve"> </w:t>
      </w:r>
      <w:r>
        <w:rPr>
          <w:bCs/>
          <w:b/>
        </w:rPr>
        <w:t xml:space="preserve">DV</w:t>
      </w:r>
      <w:r>
        <w:t xml:space="preserve"> </w:t>
      </w:r>
      <w:r>
        <w:t xml:space="preserve">of whites is smaller than the following ETHNIC GROUPS, whites and ETHNIC group and whites</w:t>
      </w:r>
      <w:r>
        <w:t xml:space="preserve"> </w:t>
      </w:r>
    </w:p>
    <w:p>
      <w:pPr>
        <w:pStyle w:val="CaptionedFigure"/>
      </w:pPr>
      <w:r>
        <w:t xml:space="preserve">image-20210829205106500</w:t>
      </w:r>
    </w:p>
    <w:p>
      <w:pPr>
        <w:pStyle w:val="ImageCaption"/>
      </w:pPr>
      <w:r>
        <w:t xml:space="preserve">image-20210829205106500</w:t>
      </w:r>
    </w:p>
    <w:p>
      <w:pPr>
        <w:pStyle w:val="CaptionedFigure"/>
      </w:pPr>
      <w:r>
        <w:t xml:space="preserve">image-20210829205106500</w:t>
      </w:r>
    </w:p>
    <w:p>
      <w:pPr>
        <w:pStyle w:val="ImageCaption"/>
      </w:pPr>
      <w:r>
        <w:t xml:space="preserve">image-20210829205106500</w:t>
      </w:r>
    </w:p>
    <w:p>
      <w:pPr>
        <w:pStyle w:val="CaptionedFigure"/>
      </w:pPr>
      <w:r>
        <w:t xml:space="preserve">image-20210829205106500</w:t>
      </w:r>
    </w:p>
    <w:p>
      <w:pPr>
        <w:pStyle w:val="ImageCaption"/>
      </w:pPr>
      <w:r>
        <w:t xml:space="preserve">image-20210829205106500</w:t>
      </w:r>
    </w:p>
    <w:p>
      <w:pPr>
        <w:pStyle w:val="CaptionedFigure"/>
      </w:pPr>
      <w:r>
        <w:t xml:space="preserve">image-20210829205106500</w:t>
      </w:r>
    </w:p>
    <w:p>
      <w:pPr>
        <w:pStyle w:val="ImageCaption"/>
      </w:pPr>
      <w:r>
        <w:t xml:space="preserve">image-20210829205106500</w:t>
      </w:r>
    </w:p>
    <w:p>
      <w:pPr>
        <w:pStyle w:val="BodyText"/>
      </w:pPr>
    </w:p>
    <w:bookmarkEnd w:id="37"/>
    <w:bookmarkEnd w:id="38"/>
    <w:bookmarkStart w:id="42" w:name="discussion"/>
    <w:p>
      <w:pPr>
        <w:pStyle w:val="Heading1"/>
      </w:pPr>
      <w:r>
        <w:t xml:space="preserve">Discussion</w:t>
      </w:r>
    </w:p>
    <w:bookmarkStart w:id="39" w:name="findings"/>
    <w:p>
      <w:pPr>
        <w:pStyle w:val="Heading3"/>
      </w:pPr>
      <w:r>
        <w:t xml:space="preserve">Findings</w:t>
      </w:r>
    </w:p>
    <w:p>
      <w:pPr>
        <w:pStyle w:val="FirstParagraph"/>
      </w:pPr>
      <w:r>
        <w:rPr>
          <w:u w:val="single"/>
        </w:rPr>
        <w:t xml:space="preserve">Discuss: ALL Racial Groups that did not benefit as much as whites: Latinos, Pacific Islanders, native Americans, african Americans</w:t>
      </w:r>
      <w:r>
        <w:t xml:space="preserve"> </w:t>
      </w:r>
    </w:p>
    <w:p>
      <w:pPr>
        <w:pStyle w:val="BodyText"/>
      </w:pPr>
      <w:r>
        <w:t xml:space="preserve">Findings</w:t>
      </w:r>
    </w:p>
    <w:p>
      <w:pPr>
        <w:numPr>
          <w:ilvl w:val="0"/>
          <w:numId w:val="1008"/>
        </w:numPr>
      </w:pPr>
      <w:r>
        <w:t xml:space="preserve">We found that following an NPI, the death rate for Latinos, Pacific Islanders, native Americans, african Americans increased more than the death rate for whites.</w:t>
      </w:r>
    </w:p>
    <w:p>
      <w:pPr>
        <w:pStyle w:val="FirstParagraph"/>
      </w:pPr>
      <w:r>
        <w:t xml:space="preserve">Elaborate</w:t>
      </w:r>
    </w:p>
    <w:p>
      <w:pPr>
        <w:numPr>
          <w:ilvl w:val="0"/>
          <w:numId w:val="1009"/>
        </w:numPr>
      </w:pPr>
      <w:r>
        <w:t xml:space="preserve">This suggests that NPIs benefited whites more than the minority groups.</w:t>
      </w:r>
      <w:r>
        <w:t xml:space="preserve"> </w:t>
      </w:r>
    </w:p>
    <w:p>
      <w:pPr>
        <w:numPr>
          <w:ilvl w:val="0"/>
          <w:numId w:val="1010"/>
        </w:numPr>
      </w:pPr>
      <w:r>
        <w:t xml:space="preserve">Why does this happen. Restate your introduction and hypothesis.</w:t>
      </w:r>
      <w:r>
        <w:t xml:space="preserve"> </w:t>
      </w:r>
    </w:p>
    <w:p>
      <w:pPr>
        <w:numPr>
          <w:ilvl w:val="1"/>
          <w:numId w:val="1011"/>
        </w:numPr>
      </w:pPr>
      <w:r>
        <w:t xml:space="preserve">government policies are no effectively communicated with minority groups</w:t>
      </w:r>
    </w:p>
    <w:p>
      <w:pPr>
        <w:numPr>
          <w:ilvl w:val="1"/>
          <w:numId w:val="1011"/>
        </w:numPr>
      </w:pPr>
      <w:r>
        <w:t xml:space="preserve">some minority cultures hold negative views of health care system</w:t>
      </w:r>
      <w:r>
        <w:t xml:space="preserve"> </w:t>
      </w:r>
    </w:p>
    <w:p>
      <w:pPr>
        <w:numPr>
          <w:ilvl w:val="1"/>
          <w:numId w:val="1011"/>
        </w:numPr>
      </w:pPr>
      <w:r>
        <w:t xml:space="preserve">Due to pverty. minorities are more likely to live in households with alot people</w:t>
      </w:r>
      <w:r>
        <w:t xml:space="preserve"> </w:t>
      </w:r>
    </w:p>
    <w:p>
      <w:pPr>
        <w:numPr>
          <w:ilvl w:val="1"/>
          <w:numId w:val="1011"/>
        </w:numPr>
      </w:pPr>
      <w:r>
        <w:t xml:space="preserve">kind of employment (close contact employment), mandatory work (can work from home as high income population)</w:t>
      </w:r>
    </w:p>
    <w:p>
      <w:pPr>
        <w:pStyle w:val="FirstParagraph"/>
      </w:pPr>
      <w:r>
        <w:rPr>
          <w:u w:val="single"/>
        </w:rPr>
        <w:t xml:space="preserve">Discuss: Racial Groups that benefited poorly: Latinos Pacific Islanders</w:t>
      </w:r>
      <w:r>
        <w:t xml:space="preserve"> </w:t>
      </w:r>
    </w:p>
    <w:p>
      <w:pPr>
        <w:pStyle w:val="BodyText"/>
      </w:pPr>
      <w:r>
        <w:t xml:space="preserve">Findings</w:t>
      </w:r>
    </w:p>
    <w:p>
      <w:pPr>
        <w:numPr>
          <w:ilvl w:val="0"/>
          <w:numId w:val="1012"/>
        </w:numPr>
      </w:pPr>
      <w:r>
        <w:t xml:space="preserve">Out of all minoity groups, Latinos and Pacific Islanders death rates increased much more than Whites.</w:t>
      </w:r>
      <w:r>
        <w:t xml:space="preserve"> </w:t>
      </w:r>
    </w:p>
    <w:p>
      <w:pPr>
        <w:pStyle w:val="FirstParagraph"/>
      </w:pPr>
      <w:r>
        <w:t xml:space="preserve">Elaborate</w:t>
      </w:r>
    </w:p>
    <w:p>
      <w:pPr>
        <w:numPr>
          <w:ilvl w:val="0"/>
          <w:numId w:val="1013"/>
        </w:numPr>
      </w:pPr>
      <w:r>
        <w:t xml:space="preserve">why do NPIs not impect latinos and pacific islanders as much</w:t>
      </w:r>
    </w:p>
    <w:p>
      <w:pPr>
        <w:pStyle w:val="FirstParagraph"/>
      </w:pPr>
      <w:r>
        <w:rPr>
          <w:u w:val="single"/>
        </w:rPr>
        <w:t xml:space="preserve">Discuss: Racial Groups that benefited from NPIs as much as whites (Asians)</w:t>
      </w:r>
    </w:p>
    <w:p>
      <w:pPr>
        <w:pStyle w:val="BodyText"/>
      </w:pPr>
      <w:r>
        <w:t xml:space="preserve">Findings</w:t>
      </w:r>
    </w:p>
    <w:p>
      <w:pPr>
        <w:numPr>
          <w:ilvl w:val="0"/>
          <w:numId w:val="1014"/>
        </w:numPr>
      </w:pPr>
      <w:r>
        <w:t xml:space="preserve">We found that following an NPI, death rate for asians whites changed in a similar manner as whites.</w:t>
      </w:r>
    </w:p>
    <w:p>
      <w:pPr>
        <w:pStyle w:val="FirstParagraph"/>
      </w:pPr>
      <w:r>
        <w:t xml:space="preserve">Elaborate</w:t>
      </w:r>
    </w:p>
    <w:p>
      <w:pPr>
        <w:pStyle w:val="BodyText"/>
      </w:pPr>
    </w:p>
    <w:bookmarkEnd w:id="39"/>
    <w:bookmarkStart w:id="40" w:name="limitations"/>
    <w:p>
      <w:pPr>
        <w:pStyle w:val="Heading3"/>
      </w:pPr>
      <w:r>
        <w:t xml:space="preserve">Limitations</w:t>
      </w:r>
    </w:p>
    <w:p>
      <w:pPr>
        <w:numPr>
          <w:ilvl w:val="0"/>
          <w:numId w:val="1015"/>
        </w:numPr>
      </w:pPr>
      <w:r>
        <w:t xml:space="preserve">Only used 7 npis are being assessed. this may not be enough data.</w:t>
      </w:r>
    </w:p>
    <w:p>
      <w:pPr>
        <w:numPr>
          <w:ilvl w:val="0"/>
          <w:numId w:val="1015"/>
        </w:numPr>
      </w:pPr>
      <w:r>
        <w:t xml:space="preserve">Use of death rates may not be ideal (maybe we could have used transmisablity measure)</w:t>
      </w:r>
    </w:p>
    <w:p>
      <w:pPr>
        <w:numPr>
          <w:ilvl w:val="0"/>
          <w:numId w:val="1015"/>
        </w:numPr>
      </w:pPr>
      <w:r>
        <w:t xml:space="preserve">we only compared the death rates between racial groups, but we did not assess the overall effictively of the NPI.</w:t>
      </w:r>
      <w:r>
        <w:t xml:space="preserve"> </w:t>
      </w:r>
    </w:p>
    <w:p>
      <w:pPr>
        <w:pStyle w:val="FirstParagraph"/>
      </w:pPr>
    </w:p>
    <w:bookmarkEnd w:id="40"/>
    <w:bookmarkStart w:id="41" w:name="next-steps"/>
    <w:p>
      <w:pPr>
        <w:pStyle w:val="Heading3"/>
      </w:pPr>
      <w:r>
        <w:t xml:space="preserve">Next steps</w:t>
      </w:r>
    </w:p>
    <w:p>
      <w:pPr>
        <w:numPr>
          <w:ilvl w:val="0"/>
          <w:numId w:val="1016"/>
        </w:numPr>
      </w:pPr>
      <w:r>
        <w:t xml:space="preserve">Within county analysis, because maybe inequalities exist in certain counties, or other areas of the united Staes, but not others</w:t>
      </w:r>
    </w:p>
    <w:p>
      <w:pPr>
        <w:numPr>
          <w:ilvl w:val="0"/>
          <w:numId w:val="1016"/>
        </w:numPr>
      </w:pPr>
      <w:r>
        <w:t xml:space="preserve">Assess different age groups within each ethnicity</w:t>
      </w:r>
      <w:r>
        <w:t xml:space="preserve"> </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svg" /><Relationship Type="http://schemas.openxmlformats.org/officeDocument/2006/relationships/image" Id="rId34" Target="media/rId34.svg" /><Relationship Type="http://schemas.openxmlformats.org/officeDocument/2006/relationships/image" Id="rId35" Target="media/rId35.svg" /><Relationship Type="http://schemas.openxmlformats.org/officeDocument/2006/relationships/hyperlink" Id="rId28" Target="aksPAPERS/2021Procter_Timeline_ NPIs.pdf" TargetMode="External" /><Relationship Type="http://schemas.openxmlformats.org/officeDocument/2006/relationships/hyperlink" Id="rId27" Target="https://calmatters.org/health/coronavirus/2021/03/timeline-california-pandemic-year-key-points/" TargetMode="External" /><Relationship Type="http://schemas.openxmlformats.org/officeDocument/2006/relationships/hyperlink" Id="rId22" Target="https://covid19.ca.gov/state-dashboard/" TargetMode="External" /><Relationship Type="http://schemas.openxmlformats.org/officeDocument/2006/relationships/hyperlink" Id="rId24" Target="https://data.census.gov" TargetMode="External" /><Relationship Type="http://schemas.openxmlformats.org/officeDocument/2006/relationships/hyperlink" Id="rId25" Target="this" TargetMode="External" /></Relationships>
</file>

<file path=word/_rels/footnotes.xml.rels><?xml version="1.0" encoding="UTF-8"?><Relationships xmlns="http://schemas.openxmlformats.org/package/2006/relationships"><Relationship Type="http://schemas.openxmlformats.org/officeDocument/2006/relationships/hyperlink" Id="rId28" Target="aksPAPERS/2021Procter_Timeline_ NPIs.pdf" TargetMode="External" /><Relationship Type="http://schemas.openxmlformats.org/officeDocument/2006/relationships/hyperlink" Id="rId27" Target="https://calmatters.org/health/coronavirus/2021/03/timeline-california-pandemic-year-key-points/" TargetMode="External" /><Relationship Type="http://schemas.openxmlformats.org/officeDocument/2006/relationships/hyperlink" Id="rId22" Target="https://covid19.ca.gov/state-dashboard/" TargetMode="External" /><Relationship Type="http://schemas.openxmlformats.org/officeDocument/2006/relationships/hyperlink" Id="rId24" Target="https://data.census.gov" TargetMode="External" /><Relationship Type="http://schemas.openxmlformats.org/officeDocument/2006/relationships/hyperlink" Id="rId25" Target="th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2021-09-09T04:48:01Z</dcterms:created>
  <dcterms:modified xsi:type="dcterms:W3CDTF">2021-09-09T04:48:01Z</dcterms:modified>
</cp:coreProperties>
</file>

<file path=docProps/custom.xml><?xml version="1.0" encoding="utf-8"?>
<Properties xmlns="http://schemas.openxmlformats.org/officeDocument/2006/custom-properties" xmlns:vt="http://schemas.openxmlformats.org/officeDocument/2006/docPropsVTypes"/>
</file>