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sz w:val="40"/>
        </w:rPr>
        <w:t>DCE HOLDINGS</w:t>
      </w:r>
    </w:p>
    <w:p>
      <w:pPr>
        <w:jc w:val="center"/>
      </w:pPr>
      <w:r>
        <w:rPr>
          <w:rFonts w:ascii="Helvetica" w:hAnsi="Helvetica"/>
          <w:b/>
          <w:sz w:val="32"/>
        </w:rPr>
        <w:t>OPERATIONS MANUAL</w:t>
      </w:r>
    </w:p>
    <w:p>
      <w:pPr>
        <w:jc w:val="center"/>
      </w:pPr>
      <w:r>
        <w:rPr>
          <w:rFonts w:ascii="Helvetica" w:hAnsi="Helvetica"/>
          <w:b w:val="0"/>
          <w:sz w:val="22"/>
        </w:rPr>
        <w:t>Version 3.3 — Mayo 2026</w:t>
      </w:r>
    </w:p>
    <w:p/>
    <w:p>
      <w:pPr>
        <w:spacing w:before="240" w:after="120"/>
      </w:pPr>
      <w:r>
        <w:rPr>
          <w:rFonts w:ascii="Helvetica" w:hAnsi="Helvetica"/>
          <w:b/>
          <w:sz w:val="28"/>
        </w:rPr>
        <w:t>0  Proposito y alcance</w:t>
      </w:r>
    </w:p>
    <w:p>
      <w:pPr>
        <w:spacing w:after="80"/>
      </w:pPr>
      <w:r>
        <w:rPr>
          <w:rFonts w:ascii="Helvetica" w:hAnsi="Helvetica"/>
          <w:sz w:val="21"/>
        </w:rPr>
        <w:t>Este manual define la ejecucion operativa del marco de inversion de DCE Holdings. Traduce los principios del Investment Charter y los parametros del Investment Policy Statement en roles, cadencias, controles y estandares de conducta concretos.</w:t>
      </w:r>
    </w:p>
    <w:p>
      <w:pPr>
        <w:spacing w:after="80"/>
      </w:pPr>
      <w:r>
        <w:rPr>
          <w:rFonts w:ascii="Helvetica" w:hAnsi="Helvetica"/>
          <w:sz w:val="21"/>
        </w:rPr>
        <w:t>El manual no establece politicas de inversion ni reglas de gobernanza; esas viven en el IPS y en el Governance &amp; Succession Framework respectivamente. Lo que este documento define es quien hace que, cuando lo hace, como lo documenta y bajo que estandares de calidad y conducta opera.</w:t>
      </w:r>
    </w:p>
    <w:p>
      <w:pPr>
        <w:spacing w:after="80"/>
      </w:pPr>
      <w:r>
        <w:rPr>
          <w:rFonts w:ascii="Helvetica" w:hAnsi="Helvetica"/>
          <w:sz w:val="21"/>
        </w:rPr>
        <w:t>Es un documento de referencia operativa, no un documento constitucional. Debe leerse como guia practica para el equipo del holding en su operacion diaria, semanal, mensual, trimestral y anual.</w:t>
      </w:r>
    </w:p>
    <w:p>
      <w:pPr>
        <w:spacing w:before="240" w:after="120"/>
      </w:pPr>
      <w:r>
        <w:rPr>
          <w:rFonts w:ascii="Helvetica" w:hAnsi="Helvetica"/>
          <w:b/>
          <w:sz w:val="28"/>
        </w:rPr>
        <w:t>I  Cadencia operativa</w:t>
      </w:r>
    </w:p>
    <w:p>
      <w:pPr>
        <w:spacing w:before="160" w:after="80"/>
      </w:pPr>
      <w:r>
        <w:rPr>
          <w:rFonts w:ascii="Helvetica" w:hAnsi="Helvetica"/>
          <w:b/>
          <w:sz w:val="24"/>
        </w:rPr>
        <w:t>1.1  Cadencia semanal</w:t>
      </w:r>
    </w:p>
    <w:p>
      <w:pPr>
        <w:spacing w:before="120" w:after="40"/>
      </w:pPr>
      <w:r>
        <w:rPr>
          <w:rFonts w:ascii="Helvetica" w:hAnsi="Helvetica"/>
          <w:b/>
          <w:i w:val="0"/>
          <w:sz w:val="22"/>
        </w:rPr>
        <w:t>a) Reunion Semanal de Direccion (inicio de semana)</w:t>
      </w:r>
    </w:p>
    <w:p>
      <w:pPr>
        <w:spacing w:after="80"/>
      </w:pPr>
      <w:r>
        <w:rPr>
          <w:rFonts w:ascii="Helvetica" w:hAnsi="Helvetica"/>
          <w:sz w:val="21"/>
        </w:rPr>
        <w:t>Asistentes: CIO, Director of Research, Investment Analyst. Duracion estimada: 20-30 minutos.</w:t>
      </w:r>
    </w:p>
    <w:p>
      <w:pPr>
        <w:pStyle w:val="ListBullet"/>
      </w:pPr>
      <w:r>
        <w:rPr>
          <w:rFonts w:ascii="Helvetica" w:hAnsi="Helvetica"/>
          <w:sz w:val="21"/>
        </w:rPr>
        <w:t>Revision del pipeline y prioridades de la semana.</w:t>
      </w:r>
    </w:p>
    <w:p>
      <w:pPr>
        <w:pStyle w:val="ListBullet"/>
      </w:pPr>
      <w:r>
        <w:rPr>
          <w:rFonts w:ascii="Helvetica" w:hAnsi="Helvetica"/>
          <w:sz w:val="21"/>
        </w:rPr>
        <w:t>Avances del Analyst y asignacion de tareas.</w:t>
      </w:r>
    </w:p>
    <w:p>
      <w:pPr>
        <w:pStyle w:val="ListBullet"/>
      </w:pPr>
      <w:r>
        <w:rPr>
          <w:rFonts w:ascii="Helvetica" w:hAnsi="Helvetica"/>
          <w:sz w:val="21"/>
        </w:rPr>
        <w:t>Senales tempranas identificadas por el DoR.</w:t>
      </w:r>
    </w:p>
    <w:p>
      <w:pPr>
        <w:pStyle w:val="ListBullet"/>
      </w:pPr>
      <w:r>
        <w:rPr>
          <w:rFonts w:ascii="Helvetica" w:hAnsi="Helvetica"/>
          <w:sz w:val="21"/>
        </w:rPr>
        <w:t>Revision tactica del Dashboard Maestro (liquidez, bandas, riesgos).</w:t>
      </w:r>
    </w:p>
    <w:p>
      <w:pPr>
        <w:pStyle w:val="ListBullet"/>
      </w:pPr>
      <w:r>
        <w:rPr>
          <w:rFonts w:ascii="Helvetica" w:hAnsi="Helvetica"/>
          <w:sz w:val="21"/>
        </w:rPr>
        <w:t>Coordinacion de entregables y dependencias.</w:t>
      </w:r>
    </w:p>
    <w:p>
      <w:pPr>
        <w:spacing w:before="120" w:after="40"/>
      </w:pPr>
      <w:r>
        <w:rPr>
          <w:rFonts w:ascii="Helvetica" w:hAnsi="Helvetica"/>
          <w:b/>
          <w:i w:val="0"/>
          <w:sz w:val="22"/>
        </w:rPr>
        <w:t>b) Reunion Tecnica Semanal (mitad de semana)</w:t>
      </w:r>
    </w:p>
    <w:p>
      <w:pPr>
        <w:spacing w:after="80"/>
      </w:pPr>
      <w:r>
        <w:rPr>
          <w:rFonts w:ascii="Helvetica" w:hAnsi="Helvetica"/>
          <w:sz w:val="21"/>
        </w:rPr>
        <w:t>Asistentes: CIO, Director of Research, Investment Analyst. Duracion estimada: 30-40 minutos. El objetivo es la revision tecnica profunda del trabajo analitico.</w:t>
      </w:r>
    </w:p>
    <w:p>
      <w:pPr>
        <w:pStyle w:val="ListBullet"/>
      </w:pPr>
      <w:r>
        <w:rPr>
          <w:rFonts w:ascii="Helvetica" w:hAnsi="Helvetica"/>
          <w:sz w:val="21"/>
        </w:rPr>
        <w:t>Avances de modelaje y validacion de supuestos clave.</w:t>
      </w:r>
    </w:p>
    <w:p>
      <w:pPr>
        <w:pStyle w:val="ListBullet"/>
      </w:pPr>
      <w:r>
        <w:rPr>
          <w:rFonts w:ascii="Helvetica" w:hAnsi="Helvetica"/>
          <w:sz w:val="21"/>
        </w:rPr>
        <w:t>Investigacion cualitativa e identificacion de riesgos tecnicos.</w:t>
      </w:r>
    </w:p>
    <w:p>
      <w:pPr>
        <w:pStyle w:val="ListBullet"/>
      </w:pPr>
      <w:r>
        <w:rPr>
          <w:rFonts w:ascii="Helvetica" w:hAnsi="Helvetica"/>
          <w:sz w:val="21"/>
        </w:rPr>
        <w:t>Discusion de drivers fundamentales.</w:t>
      </w:r>
    </w:p>
    <w:p>
      <w:pPr>
        <w:pStyle w:val="ListBullet"/>
      </w:pPr>
      <w:r>
        <w:rPr>
          <w:rFonts w:ascii="Helvetica" w:hAnsi="Helvetica"/>
          <w:sz w:val="21"/>
        </w:rPr>
        <w:t>Ajustes analiticos antes de la reunion tactica.</w:t>
      </w:r>
    </w:p>
    <w:p>
      <w:pPr>
        <w:spacing w:after="80"/>
      </w:pPr>
      <w:r>
        <w:rPr>
          <w:rFonts w:ascii="Helvetica" w:hAnsi="Helvetica"/>
          <w:sz w:val="21"/>
        </w:rPr>
        <w:t>Esta reunion no toma decisiones de inversion; su proposito es elevar la calidad tecnica.</w:t>
      </w:r>
    </w:p>
    <w:p>
      <w:pPr>
        <w:spacing w:before="120" w:after="40"/>
      </w:pPr>
      <w:r>
        <w:rPr>
          <w:rFonts w:ascii="Helvetica" w:hAnsi="Helvetica"/>
          <w:b/>
          <w:i w:val="0"/>
          <w:sz w:val="22"/>
        </w:rPr>
        <w:t>c) Reunion Tactica CIO-DoR (cierre de semana)</w:t>
      </w:r>
    </w:p>
    <w:p>
      <w:pPr>
        <w:spacing w:after="80"/>
      </w:pPr>
      <w:r>
        <w:rPr>
          <w:rFonts w:ascii="Helvetica" w:hAnsi="Helvetica"/>
          <w:sz w:val="21"/>
        </w:rPr>
        <w:t>Asistentes: CIO y Director of Research. Duracion estimada: 15-20 minutos.</w:t>
      </w:r>
    </w:p>
    <w:p>
      <w:pPr>
        <w:pStyle w:val="ListBullet"/>
      </w:pPr>
      <w:r>
        <w:rPr>
          <w:rFonts w:ascii="Helvetica" w:hAnsi="Helvetica"/>
          <w:sz w:val="21"/>
        </w:rPr>
        <w:t>Decidir acelerar, pausar o descartar una tesis.</w:t>
      </w:r>
    </w:p>
    <w:p>
      <w:pPr>
        <w:pStyle w:val="ListBullet"/>
      </w:pPr>
      <w:r>
        <w:rPr>
          <w:rFonts w:ascii="Helvetica" w:hAnsi="Helvetica"/>
          <w:sz w:val="21"/>
        </w:rPr>
        <w:t>Solicitar sensibilidades o analisis adicionales.</w:t>
      </w:r>
    </w:p>
    <w:p>
      <w:pPr>
        <w:pStyle w:val="ListBullet"/>
      </w:pPr>
      <w:r>
        <w:rPr>
          <w:rFonts w:ascii="Helvetica" w:hAnsi="Helvetica"/>
          <w:sz w:val="21"/>
        </w:rPr>
        <w:t>Preparar pre-memos cuando aplique.</w:t>
      </w:r>
    </w:p>
    <w:p>
      <w:pPr>
        <w:pStyle w:val="ListBullet"/>
      </w:pPr>
      <w:r>
        <w:rPr>
          <w:rFonts w:ascii="Helvetica" w:hAnsi="Helvetica"/>
          <w:sz w:val="21"/>
        </w:rPr>
        <w:t>Alinear prioridades analiticas de la semana siguiente.</w:t>
      </w:r>
    </w:p>
    <w:p>
      <w:pPr>
        <w:spacing w:before="120" w:after="40"/>
      </w:pPr>
      <w:r>
        <w:rPr>
          <w:rFonts w:ascii="Helvetica" w:hAnsi="Helvetica"/>
          <w:b/>
          <w:i w:val="0"/>
          <w:sz w:val="22"/>
        </w:rPr>
        <w:t>d) Interacciones tecnicas DoR-Analyst</w:t>
      </w:r>
    </w:p>
    <w:p>
      <w:pPr>
        <w:spacing w:after="80"/>
      </w:pPr>
      <w:r>
        <w:rPr>
          <w:rFonts w:ascii="Helvetica" w:hAnsi="Helvetica"/>
          <w:sz w:val="21"/>
        </w:rPr>
        <w:t>El Director of Research mantiene el ritmo analitico con micro-revisiones semanales estructuradas (10-20 minutos), check-ins breves segun necesidad, coordinacion previa a cada revision de tesis con el CIO, y verificacion tecnica de modelos antes de reuniones formales. Estas interacciones no son reuniones formales del Comite de Inversiones; son parte del ritmo analitico continuo.</w:t>
      </w:r>
    </w:p>
    <w:p>
      <w:pPr>
        <w:spacing w:before="120" w:after="40"/>
      </w:pPr>
      <w:r>
        <w:rPr>
          <w:rFonts w:ascii="Helvetica" w:hAnsi="Helvetica"/>
          <w:b/>
          <w:i w:val="0"/>
          <w:sz w:val="22"/>
        </w:rPr>
        <w:t>e) Revision del portafolio (proceso continuo)</w:t>
      </w:r>
    </w:p>
    <w:p>
      <w:pPr>
        <w:spacing w:after="80"/>
      </w:pPr>
      <w:r>
        <w:rPr>
          <w:rFonts w:ascii="Helvetica" w:hAnsi="Helvetica"/>
          <w:sz w:val="21"/>
        </w:rPr>
        <w:t>La supervision del portafolio ocurre de forma continua mediante el Dashboard Maestro. A inicio de semana se realiza una revision tactica que cubre liquidez, bandas, exposicion y senales rapidas de riesgo. A mitad de semana se realiza una revision estructural que cubre concentracion, iliquidos, drawdowns y riesgos emergentes.</w:t>
      </w:r>
    </w:p>
    <w:p>
      <w:pPr>
        <w:spacing w:before="160" w:after="80"/>
      </w:pPr>
      <w:r>
        <w:rPr>
          <w:rFonts w:ascii="Helvetica" w:hAnsi="Helvetica"/>
          <w:b/>
          <w:sz w:val="24"/>
        </w:rPr>
        <w:t>1.2  Cadencia mensual</w:t>
      </w:r>
    </w:p>
    <w:p>
      <w:pPr>
        <w:spacing w:before="120" w:after="40"/>
      </w:pPr>
      <w:r>
        <w:rPr>
          <w:rFonts w:ascii="Helvetica" w:hAnsi="Helvetica"/>
          <w:b/>
          <w:i w:val="0"/>
          <w:sz w:val="22"/>
        </w:rPr>
        <w:t>Monthly Close (entregable formal)</w:t>
      </w:r>
    </w:p>
    <w:p>
      <w:pPr>
        <w:spacing w:after="80"/>
      </w:pPr>
      <w:r>
        <w:rPr>
          <w:rFonts w:ascii="Helvetica" w:hAnsi="Helvetica"/>
          <w:sz w:val="21"/>
        </w:rPr>
        <w:t>Cada mes se produce el Monthly Close, que incluye: NAV, retorno mensual y YTD, liquidez, FX exposure, movimientos del mes, riesgos emergentes, actualizacion de tesis activas y outlook de corto plazo.</w:t>
      </w:r>
    </w:p>
    <w:p>
      <w:pPr>
        <w:spacing w:after="80"/>
      </w:pPr>
      <w:r>
        <w:rPr>
          <w:rFonts w:ascii="Helvetica" w:hAnsi="Helvetica"/>
          <w:sz w:val="21"/>
        </w:rPr>
        <w:t>El Monthly Close se archiva en el Data Room y el DoR es responsable de su calidad tecnica.</w:t>
      </w:r>
    </w:p>
    <w:p>
      <w:pPr>
        <w:spacing w:before="160" w:after="80"/>
      </w:pPr>
      <w:r>
        <w:rPr>
          <w:rFonts w:ascii="Helvetica" w:hAnsi="Helvetica"/>
          <w:b/>
          <w:sz w:val="24"/>
        </w:rPr>
        <w:t>1.3  Cadencia trimestral</w:t>
      </w:r>
    </w:p>
    <w:p>
      <w:pPr>
        <w:spacing w:before="120" w:after="40"/>
      </w:pPr>
      <w:r>
        <w:rPr>
          <w:rFonts w:ascii="Helvetica" w:hAnsi="Helvetica"/>
          <w:b/>
          <w:i w:val="0"/>
          <w:sz w:val="22"/>
        </w:rPr>
        <w:t>Comite de Inversiones (CI)</w:t>
      </w:r>
    </w:p>
    <w:p>
      <w:pPr>
        <w:spacing w:after="80"/>
      </w:pPr>
      <w:r>
        <w:rPr>
          <w:rFonts w:ascii="Helvetica" w:hAnsi="Helvetica"/>
          <w:sz w:val="21"/>
        </w:rPr>
        <w:t>El CI se reune trimestralmente y recibe previamente el CI Pack, compuesto por: performance trimestral, riesgos estructurales, liquidez, bandas, tesis deterioradas, pipeline estrategico y preguntas clave del CI.</w:t>
      </w:r>
    </w:p>
    <w:p>
      <w:pPr>
        <w:spacing w:after="80"/>
      </w:pPr>
      <w:r>
        <w:rPr>
          <w:rFonts w:ascii="Helvetica" w:hAnsi="Helvetica"/>
          <w:sz w:val="21"/>
        </w:rPr>
        <w:t>La revision estructural profunda del portafolio no se hace semanalmente; ocurre en la preparacion del CI Pack. Las revisiones semanales descritas en la seccion 1.1 son verificaciones tacticas sobre el Dashboard Maestro, no analisis estructurales completos.</w:t>
      </w:r>
    </w:p>
    <w:p>
      <w:pPr>
        <w:spacing w:before="120" w:after="40"/>
      </w:pPr>
      <w:r>
        <w:rPr>
          <w:rFonts w:ascii="Helvetica" w:hAnsi="Helvetica"/>
          <w:b/>
          <w:i w:val="0"/>
          <w:sz w:val="22"/>
        </w:rPr>
        <w:t>Re-Underwriting trimestral por posicion (reemplaza Scorecard + IFS + Desconfirmacion)</w:t>
      </w:r>
    </w:p>
    <w:p>
      <w:pPr>
        <w:spacing w:after="80"/>
      </w:pPr>
      <w:r>
        <w:rPr>
          <w:rFonts w:ascii="Helvetica" w:hAnsi="Helvetica"/>
          <w:sz w:val="21"/>
        </w:rPr>
        <w:t>A partir de la version 3.2 del manual, el monitoreo trimestral de cada posicion del portafolio se consolida en un unico documento institucional: el Quarterly Re-Underwriting. Este documento Word reemplaza completamente al Scorecard, al Investment Fact Sheet (IFS) y a la Desconfirmacion como entregables trimestrales.</w:t>
      </w:r>
    </w:p>
    <w:p>
      <w:pPr>
        <w:spacing w:after="80"/>
      </w:pPr>
      <w:r>
        <w:rPr>
          <w:rFonts w:ascii="Helvetica" w:hAnsi="Helvetica"/>
          <w:sz w:val="21"/>
        </w:rPr>
        <w:t>Cada Re-Underwriting trimestral debe contener las siguientes ocho secciones obligatorias:</w:t>
      </w:r>
    </w:p>
    <w:p>
      <w:pPr>
        <w:pStyle w:val="ListBullet"/>
      </w:pPr>
      <w:r>
        <w:rPr>
          <w:rFonts w:ascii="Helvetica" w:hAnsi="Helvetica"/>
          <w:sz w:val="21"/>
        </w:rPr>
        <w:t>Investment Snapshot — datos basicos de la posicion al cierre del trimestre.</w:t>
      </w:r>
    </w:p>
    <w:p>
      <w:pPr>
        <w:pStyle w:val="ListBullet"/>
      </w:pPr>
      <w:r>
        <w:rPr>
          <w:rFonts w:ascii="Helvetica" w:hAnsi="Helvetica"/>
          <w:sz w:val="21"/>
        </w:rPr>
        <w:t>Executive Summary — sintesis ejecutiva de la salud de la tesis trimestre vs trimestre.</w:t>
      </w:r>
    </w:p>
    <w:p>
      <w:pPr>
        <w:pStyle w:val="ListBullet"/>
      </w:pPr>
      <w:r>
        <w:rPr>
          <w:rFonts w:ascii="Helvetica" w:hAnsi="Helvetica"/>
          <w:sz w:val="21"/>
        </w:rPr>
        <w:t>What Changed Since Last Quarter — eventos materiales, datos nuevos del 10-Q/10-K, decisiones tomadas.</w:t>
      </w:r>
    </w:p>
    <w:p>
      <w:pPr>
        <w:pStyle w:val="ListBullet"/>
      </w:pPr>
      <w:r>
        <w:rPr>
          <w:rFonts w:ascii="Helvetica" w:hAnsi="Helvetica"/>
          <w:sz w:val="21"/>
        </w:rPr>
        <w:t>Thesis Tracking — estado de cada bullet de la tesis original (validado / parcial / debilitado / roto).</w:t>
      </w:r>
    </w:p>
    <w:p>
      <w:pPr>
        <w:pStyle w:val="ListBullet"/>
      </w:pPr>
      <w:r>
        <w:rPr>
          <w:rFonts w:ascii="Helvetica" w:hAnsi="Helvetica"/>
          <w:sz w:val="21"/>
        </w:rPr>
        <w:t>Premortem Tracking — estado de cada failure mode definido en el Memo §10 con evidencia trimestral.</w:t>
      </w:r>
    </w:p>
    <w:p>
      <w:pPr>
        <w:pStyle w:val="ListBullet"/>
      </w:pPr>
      <w:r>
        <w:rPr>
          <w:rFonts w:ascii="Helvetica" w:hAnsi="Helvetica"/>
          <w:sz w:val="21"/>
        </w:rPr>
        <w:t>KPI Dashboard — los 5-7 KPIs definidos en el Memo §6 con dato actual vs target y semaforo.</w:t>
      </w:r>
    </w:p>
    <w:p>
      <w:pPr>
        <w:pStyle w:val="ListBullet"/>
      </w:pPr>
      <w:r>
        <w:rPr>
          <w:rFonts w:ascii="Helvetica" w:hAnsi="Helvetica"/>
          <w:sz w:val="21"/>
        </w:rPr>
        <w:t>Valuation Update — Implied IRR refrescado desde el Columbia Model actualizado del trimestre.</w:t>
      </w:r>
    </w:p>
    <w:p>
      <w:pPr>
        <w:pStyle w:val="ListBullet"/>
      </w:pPr>
      <w:r>
        <w:rPr>
          <w:rFonts w:ascii="Helvetica" w:hAnsi="Helvetica"/>
          <w:sz w:val="21"/>
        </w:rPr>
        <w:t>Final Re-Underwriting Conclusion — uno de los cuatro outcomes: Thesis Intact, Thresholds Recalibrated, Thesis Evolved, Thesis Broken. Justificacion + accion (continuar / ajustar / salir).</w:t>
      </w:r>
    </w:p>
    <w:p>
      <w:pPr>
        <w:spacing w:after="80"/>
      </w:pPr>
      <w:r>
        <w:rPr>
          <w:rFonts w:ascii="Helvetica" w:hAnsi="Helvetica"/>
          <w:sz w:val="21"/>
        </w:rPr>
        <w:t>El Re-Underwriting es producido por el Investment Analyst y validado por el Director of Research antes de ser incorporado al CI Pack del trimestre. Es input obligatorio del Comite de Inversiones; el comite decide solo a la luz del documento firmado.</w:t>
      </w:r>
    </w:p>
    <w:p>
      <w:pPr>
        <w:spacing w:after="80"/>
      </w:pPr>
      <w:r>
        <w:rPr>
          <w:rFonts w:ascii="Helvetica" w:hAnsi="Helvetica"/>
          <w:sz w:val="21"/>
        </w:rPr>
        <w:t>Thesis Breaker y Munger Digital NO son obligatorios en el flujo trimestral. Se producen a demanda cuando el comite lo solicita ante un cambio material en la tesis o en el set narrativo de la inversion (ver §2.4). En el primer analisis de cualquier compania nueva, ambos analisis siguen siendo obligatorios.</w:t>
      </w:r>
    </w:p>
    <w:p>
      <w:pPr>
        <w:spacing w:before="120" w:after="40"/>
      </w:pPr>
      <w:r>
        <w:rPr>
          <w:rFonts w:ascii="Helvetica" w:hAnsi="Helvetica"/>
          <w:b/>
          <w:i w:val="0"/>
          <w:sz w:val="22"/>
        </w:rPr>
        <w:t>CI Pack — composicion trimestral</w:t>
      </w:r>
    </w:p>
    <w:p>
      <w:pPr>
        <w:spacing w:after="80"/>
      </w:pPr>
      <w:r>
        <w:rPr>
          <w:rFonts w:ascii="Helvetica" w:hAnsi="Helvetica"/>
          <w:sz w:val="21"/>
        </w:rPr>
        <w:t>Como parte del CI Pack, se produciran los siguientes entregables conforme a los criterios del IPS seccion 4.7:</w:t>
      </w:r>
    </w:p>
    <w:p>
      <w:pPr>
        <w:pStyle w:val="ListBullet"/>
      </w:pPr>
      <w:r>
        <w:rPr>
          <w:rFonts w:ascii="Helvetica" w:hAnsi="Helvetica"/>
          <w:sz w:val="21"/>
        </w:rPr>
        <w:t>Quarterly Re-Underwriting por cada posicion activa (Word, 8 secciones).</w:t>
      </w:r>
    </w:p>
    <w:p>
      <w:pPr>
        <w:pStyle w:val="ListBullet"/>
      </w:pPr>
      <w:r>
        <w:rPr>
          <w:rFonts w:ascii="Helvetica" w:hAnsi="Helvetica"/>
          <w:sz w:val="21"/>
        </w:rPr>
        <w:t>Dashboard agregado del portafolio.</w:t>
      </w:r>
    </w:p>
    <w:p>
      <w:pPr>
        <w:pStyle w:val="ListBullet"/>
      </w:pPr>
      <w:r>
        <w:rPr>
          <w:rFonts w:ascii="Helvetica" w:hAnsi="Helvetica"/>
          <w:sz w:val="21"/>
        </w:rPr>
        <w:t>Resumen de outcomes por posicion (Intact / Recalibrated / Evolved / Broken).</w:t>
      </w:r>
    </w:p>
    <w:p>
      <w:pPr>
        <w:pStyle w:val="ListBullet"/>
      </w:pPr>
      <w:r>
        <w:rPr>
          <w:rFonts w:ascii="Helvetica" w:hAnsi="Helvetica"/>
          <w:sz w:val="21"/>
        </w:rPr>
        <w:t>Pipeline estrategico actualizado.</w:t>
      </w:r>
    </w:p>
    <w:p>
      <w:pPr>
        <w:spacing w:after="80"/>
      </w:pPr>
      <w:r>
        <w:rPr>
          <w:rFonts w:ascii="Helvetica" w:hAnsi="Helvetica"/>
          <w:sz w:val="21"/>
        </w:rPr>
        <w:t>Los Re-Underwritings forman parte del CI Pack y son revisados por el CI como insumo para evaluar el cumplimiento de los mecanismos de disciplina conductual (Charter 3.1 y 2.4).</w:t>
      </w:r>
    </w:p>
    <w:p>
      <w:pPr>
        <w:spacing w:before="160" w:after="80"/>
      </w:pPr>
      <w:r>
        <w:rPr>
          <w:rFonts w:ascii="Helvetica" w:hAnsi="Helvetica"/>
          <w:b/>
          <w:sz w:val="24"/>
        </w:rPr>
        <w:t>1.4  Cadencia anual</w:t>
      </w:r>
    </w:p>
    <w:p>
      <w:pPr>
        <w:spacing w:before="120" w:after="40"/>
      </w:pPr>
      <w:r>
        <w:rPr>
          <w:rFonts w:ascii="Helvetica" w:hAnsi="Helvetica"/>
          <w:b/>
          <w:i w:val="0"/>
          <w:sz w:val="22"/>
        </w:rPr>
        <w:t>Annual Close</w:t>
      </w:r>
    </w:p>
    <w:p>
      <w:pPr>
        <w:spacing w:after="80"/>
      </w:pPr>
      <w:r>
        <w:rPr>
          <w:rFonts w:ascii="Helvetica" w:hAnsi="Helvetica"/>
          <w:sz w:val="21"/>
        </w:rPr>
        <w:t>El cierre anual incluye: performance anual consolidado, contribucion por holding, cambios estructurales del portafolio, evaluacion de tesis del ano, riesgos y principales lecciones, y outlook estrategico siguiente. Se archiva en el Data Room.</w:t>
      </w:r>
    </w:p>
    <w:p>
      <w:pPr>
        <w:spacing w:before="120" w:after="40"/>
      </w:pPr>
      <w:r>
        <w:rPr>
          <w:rFonts w:ascii="Helvetica" w:hAnsi="Helvetica"/>
          <w:b/>
          <w:i w:val="0"/>
          <w:sz w:val="22"/>
        </w:rPr>
        <w:t>Carta anual institucional</w:t>
      </w:r>
    </w:p>
    <w:p>
      <w:pPr>
        <w:spacing w:after="80"/>
      </w:pPr>
      <w:r>
        <w:rPr>
          <w:rFonts w:ascii="Helvetica" w:hAnsi="Helvetica"/>
          <w:sz w:val="21"/>
        </w:rPr>
        <w:t>El CIO producira anualmente una carta institucional dirigida al registro historico del holding. La carta debera incluir como minimo:</w:t>
      </w:r>
    </w:p>
    <w:p>
      <w:pPr>
        <w:pStyle w:val="ListBullet"/>
      </w:pPr>
      <w:r>
        <w:rPr>
          <w:rFonts w:ascii="Helvetica" w:hAnsi="Helvetica"/>
          <w:sz w:val="21"/>
        </w:rPr>
        <w:t>Retorno del ano vs benchmark, con atribucion por posicion.</w:t>
      </w:r>
    </w:p>
    <w:p>
      <w:pPr>
        <w:pStyle w:val="ListBullet"/>
      </w:pPr>
      <w:r>
        <w:rPr>
          <w:rFonts w:ascii="Helvetica" w:hAnsi="Helvetica"/>
          <w:sz w:val="21"/>
        </w:rPr>
        <w:t>Errores cometidos y lecciones aprendidas.</w:t>
      </w:r>
    </w:p>
    <w:p>
      <w:pPr>
        <w:pStyle w:val="ListBullet"/>
      </w:pPr>
      <w:r>
        <w:rPr>
          <w:rFonts w:ascii="Helvetica" w:hAnsi="Helvetica"/>
          <w:sz w:val="21"/>
        </w:rPr>
        <w:t>Tesis que cambiaron, se fortalecieron o se deterioraron durante el ano.</w:t>
      </w:r>
    </w:p>
    <w:p>
      <w:pPr>
        <w:pStyle w:val="ListBullet"/>
      </w:pPr>
      <w:r>
        <w:rPr>
          <w:rFonts w:ascii="Helvetica" w:hAnsi="Helvetica"/>
          <w:sz w:val="21"/>
        </w:rPr>
        <w:t>Estado de cada posicion activa (resumen ejecutivo).</w:t>
      </w:r>
    </w:p>
    <w:p>
      <w:pPr>
        <w:pStyle w:val="ListBullet"/>
      </w:pPr>
      <w:r>
        <w:rPr>
          <w:rFonts w:ascii="Helvetica" w:hAnsi="Helvetica"/>
          <w:sz w:val="21"/>
        </w:rPr>
        <w:t>Outlook honesto para el siguiente periodo, incluyendo riesgos identificados.</w:t>
      </w:r>
    </w:p>
    <w:p>
      <w:pPr>
        <w:pStyle w:val="ListBullet"/>
      </w:pPr>
      <w:r>
        <w:rPr>
          <w:rFonts w:ascii="Helvetica" w:hAnsi="Helvetica"/>
          <w:sz w:val="21"/>
        </w:rPr>
        <w:t>Reflexion sobre la calidad del proceso de inversion y la disciplina conductual.</w:t>
      </w:r>
    </w:p>
    <w:p>
      <w:pPr>
        <w:spacing w:after="80"/>
      </w:pPr>
      <w:r>
        <w:rPr>
          <w:rFonts w:ascii="Helvetica" w:hAnsi="Helvetica"/>
          <w:sz w:val="21"/>
        </w:rPr>
        <w:t>La carta es un ejercicio de accountability y humildad intelectual. Su valor radica en la honestidad, no en la extension.</w:t>
      </w:r>
    </w:p>
    <w:p>
      <w:pPr>
        <w:spacing w:before="120" w:after="40"/>
      </w:pPr>
      <w:r>
        <w:rPr>
          <w:rFonts w:ascii="Helvetica" w:hAnsi="Helvetica"/>
          <w:b/>
          <w:i w:val="0"/>
          <w:sz w:val="22"/>
        </w:rPr>
        <w:t>Revision profunda de tesis (anual)</w:t>
      </w:r>
    </w:p>
    <w:p>
      <w:pPr>
        <w:spacing w:after="80"/>
      </w:pPr>
      <w:r>
        <w:rPr>
          <w:rFonts w:ascii="Helvetica" w:hAnsi="Helvetica"/>
          <w:sz w:val="21"/>
        </w:rPr>
        <w:t>Se realizara una revision profunda para posiciones seleccionadas, incluyendo:</w:t>
      </w:r>
    </w:p>
    <w:p>
      <w:pPr>
        <w:pStyle w:val="ListBullet"/>
      </w:pPr>
      <w:r>
        <w:rPr>
          <w:rFonts w:ascii="Helvetica" w:hAnsi="Helvetica"/>
          <w:sz w:val="21"/>
        </w:rPr>
        <w:t>Actualizacion completa del analisis cualitativo (sector, competencia, clientes, management).</w:t>
      </w:r>
    </w:p>
    <w:p>
      <w:pPr>
        <w:pStyle w:val="ListBullet"/>
      </w:pPr>
      <w:r>
        <w:rPr>
          <w:rFonts w:ascii="Helvetica" w:hAnsi="Helvetica"/>
          <w:sz w:val="21"/>
        </w:rPr>
        <w:t>Actualizacion del modelo de valoracion (NAV, EPV, RBV).</w:t>
      </w:r>
    </w:p>
    <w:p>
      <w:pPr>
        <w:pStyle w:val="ListBullet"/>
      </w:pPr>
      <w:r>
        <w:rPr>
          <w:rFonts w:ascii="Helvetica" w:hAnsi="Helvetica"/>
          <w:sz w:val="21"/>
        </w:rPr>
        <w:t>Revision del Pre-Mortem capturado dentro del Investment Memo §10 (failure modes, indicadores de monitoreo).</w:t>
      </w:r>
    </w:p>
    <w:p>
      <w:pPr>
        <w:pStyle w:val="ListBullet"/>
      </w:pPr>
      <w:r>
        <w:rPr>
          <w:rFonts w:ascii="Helvetica" w:hAnsi="Helvetica"/>
          <w:sz w:val="21"/>
        </w:rPr>
        <w:t>Revision de criterios de venta predefinidos (Memo §11) y calibracion de umbrales si las condiciones han cambiado materialmente.</w:t>
      </w:r>
    </w:p>
    <w:p>
      <w:pPr>
        <w:spacing w:after="80"/>
      </w:pPr>
      <w:r>
        <w:rPr>
          <w:rFonts w:ascii="Helvetica" w:hAnsi="Helvetica"/>
          <w:sz w:val="21"/>
        </w:rPr>
        <w:t>La seleccion de posiciones sera acordada entre el CIO y el Director of Research en la reunion tactica previa al cierre anual. A diferencia de versiones anteriores de este manual, el Pre-Mortem no es un ejercicio independiente: vive como seccion 10 del Investment Memo y se trackea trimestralmente en la §5 del Re-Underwriting.</w:t>
      </w:r>
    </w:p>
    <w:p>
      <w:pPr>
        <w:spacing w:before="160" w:after="80"/>
      </w:pPr>
      <w:r>
        <w:rPr>
          <w:rFonts w:ascii="Helvetica" w:hAnsi="Helvetica"/>
          <w:b/>
          <w:sz w:val="24"/>
        </w:rPr>
        <w:t>1.5  Flujo de una tesis</w:t>
      </w:r>
    </w:p>
    <w:p>
      <w:pPr>
        <w:spacing w:after="80"/>
      </w:pPr>
      <w:r>
        <w:rPr>
          <w:rFonts w:ascii="Helvetica" w:hAnsi="Helvetica"/>
          <w:sz w:val="21"/>
        </w:rPr>
        <w:t>El ciclo completo de una tesis sigue once pasos: screening, pre-analisis, modelaje base (Columbia Model), Thesis Breaker (stress test cuantitativo), Munger Digital (filtro de conviccion conductual y narrativa que produce decision_inputs.json como puente al comite), Investment Memo de doce secciones (incluye Pre-Mortem como §10 y Thesis Kill Criteria como §11), revision del CIO, decision del Comite de Inversiones, ejecucion, monitoreo trimestral via Re-Underwriting, y cierre cuando corresponda mediante Position Adjustment Memo o Position Close Memo.</w:t>
      </w:r>
    </w:p>
    <w:p>
      <w:pPr>
        <w:spacing w:after="80"/>
      </w:pPr>
      <w:r>
        <w:rPr>
          <w:rFonts w:ascii="Helvetica" w:hAnsi="Helvetica"/>
          <w:sz w:val="21"/>
        </w:rPr>
        <w:t>El Thesis Breaker y el Munger Digital son obligatorios en el primer analisis de cualquier compania nueva, antes de la revision del CIO; ninguna tesis llega al comite sin haber pasado por ambos filtros en su evaluacion inicial. En el flujo trimestral posterior, ambos analisis se ejecutan a demanda solo cuando el comite lo solicita por cambio material en la tesis o en el set narrativo.</w:t>
      </w:r>
    </w:p>
    <w:p>
      <w:pPr>
        <w:spacing w:after="80"/>
      </w:pPr>
      <w:r>
        <w:rPr>
          <w:rFonts w:ascii="Helvetica" w:hAnsi="Helvetica"/>
          <w:sz w:val="21"/>
        </w:rPr>
        <w:t>La decision del Comite de Inversiones sobre una tesis presentada se registra formalmente como uno de cuatro tipos, todos con identico estandar documental y archivado en el Decision Journal del holding:</w:t>
      </w:r>
    </w:p>
    <w:p>
      <w:pPr>
        <w:pStyle w:val="ListBullet"/>
      </w:pPr>
      <w:r>
        <w:rPr>
          <w:rFonts w:ascii="Helvetica" w:hAnsi="Helvetica"/>
          <w:sz w:val="21"/>
        </w:rPr>
        <w:t>BUY — el comite ratifica la tesis y aprueba la apertura de posicion. Dispara ejecucion en cuenta y registro del trade legacy.</w:t>
      </w:r>
    </w:p>
    <w:p>
      <w:pPr>
        <w:pStyle w:val="ListBullet"/>
      </w:pPr>
      <w:r>
        <w:rPr>
          <w:rFonts w:ascii="Helvetica" w:hAnsi="Helvetica"/>
          <w:sz w:val="21"/>
        </w:rPr>
        <w:t>FOLLOW — el comite considera la tesis valida pero decide no invertir aun (esperar mejor precio, esperar confirmacion de un catalizador, o limitar exposicion). La tesis se mantiene en seguimiento activo; cualquier cambio material en precio o fundamentales reabre la conversacion sin re-research desde cero.</w:t>
      </w:r>
    </w:p>
    <w:p>
      <w:pPr>
        <w:pStyle w:val="ListBullet"/>
      </w:pPr>
      <w:r>
        <w:rPr>
          <w:rFonts w:ascii="Helvetica" w:hAnsi="Helvetica"/>
          <w:sz w:val="21"/>
        </w:rPr>
        <w:t>PASS — el comite descarta la tesis tras research completo. Distinta del descarte temprano en pipeline: aqui se documenta el razonamiento para que la tesis sea revisable si las condiciones cambian materialmente.</w:t>
      </w:r>
    </w:p>
    <w:p>
      <w:pPr>
        <w:pStyle w:val="ListBullet"/>
      </w:pPr>
      <w:r>
        <w:rPr>
          <w:rFonts w:ascii="Helvetica" w:hAnsi="Helvetica"/>
          <w:sz w:val="21"/>
        </w:rPr>
        <w:t>SELL — aplica sobre posiciones existentes y cierra la posicion (parcial o total). Requiere post-mortem completo con thesis_outcome (played_out / partially / failed), leccion aprendida y, si aplica, failure mode activado vinculado al Pre-Mortem original.</w:t>
      </w:r>
    </w:p>
    <w:p>
      <w:pPr>
        <w:spacing w:after="80"/>
      </w:pPr>
      <w:r>
        <w:rPr>
          <w:rFonts w:ascii="Helvetica" w:hAnsi="Helvetica"/>
          <w:sz w:val="21"/>
        </w:rPr>
        <w:t>Toda inversion requiere un Investment Memo aprobado por el CIO. Todo ajuste parcial requiere un Position Adjustment Memo. Todo cierre total requiere un Position Close Memo. Cada trimestre, cada posicion activa requiere un Re-Underwriting firmado por el DoR. Cada decision del comite (BUY / FOLLOW / PASS / SELL) queda registrada en el Decision Journal del holding.</w:t>
      </w:r>
    </w:p>
    <w:p>
      <w:pPr>
        <w:spacing w:before="240" w:after="120"/>
      </w:pPr>
      <w:r>
        <w:rPr>
          <w:rFonts w:ascii="Helvetica" w:hAnsi="Helvetica"/>
          <w:b/>
          <w:sz w:val="28"/>
        </w:rPr>
        <w:t>II  Roles y autoridad</w:t>
      </w:r>
    </w:p>
    <w:p>
      <w:pPr>
        <w:spacing w:before="160" w:after="80"/>
      </w:pPr>
      <w:r>
        <w:rPr>
          <w:rFonts w:ascii="Helvetica" w:hAnsi="Helvetica"/>
          <w:b/>
          <w:sz w:val="24"/>
        </w:rPr>
        <w:t>2.1  Executive Chairman &amp; CIO</w:t>
      </w:r>
    </w:p>
    <w:p>
      <w:pPr>
        <w:spacing w:after="80"/>
      </w:pPr>
      <w:r>
        <w:rPr>
          <w:rFonts w:ascii="Helvetica" w:hAnsi="Helvetica"/>
          <w:sz w:val="21"/>
        </w:rPr>
        <w:t>El CIO es la autoridad maxima en materia de decisiones de inversion, sujeta a la supervision del Comite de Inversiones y a las restricciones establecidas en el Governance &amp; Succession Framework. Es responsable de definir la direccion estrategica del holding, aprobar las decisiones de capital y asegurar el cumplimiento integral del marco normativo.</w:t>
      </w:r>
    </w:p>
    <w:p>
      <w:pPr>
        <w:spacing w:before="120" w:after="40"/>
      </w:pPr>
      <w:r>
        <w:rPr>
          <w:rFonts w:ascii="Helvetica" w:hAnsi="Helvetica"/>
          <w:b/>
          <w:i w:val="0"/>
          <w:sz w:val="22"/>
        </w:rPr>
        <w:t>Responsabilidades principales</w:t>
      </w:r>
    </w:p>
    <w:p>
      <w:pPr>
        <w:spacing w:after="80"/>
      </w:pPr>
      <w:r>
        <w:rPr>
          <w:rFonts w:ascii="Helvetica" w:hAnsi="Helvetica"/>
          <w:sz w:val="21"/>
        </w:rPr>
        <w:t>El CIO dirige la estrategia de inversion y la asignacion de capital del holding. Toma las decisiones finales sobre inversiones, desinversiones, FOLLOW y descartes, conforme al IPS. Participa en la Reunion Semanal de Direccion y en la Reunion Tecnica Semanal, proporcionando orientacion al equipo analitico.</w:t>
      </w:r>
    </w:p>
    <w:p>
      <w:pPr>
        <w:spacing w:after="80"/>
      </w:pPr>
      <w:r>
        <w:rPr>
          <w:rFonts w:ascii="Helvetica" w:hAnsi="Helvetica"/>
          <w:sz w:val="21"/>
        </w:rPr>
        <w:t>Supervisa el cumplimiento de la cadencia operativa, preside el Comite de Inversiones y valida el CI Pack trimestral. Es responsable de la calidad tecnica y conceptual de los Investment Memos y de los Quarterly Re-Underwritings, y evalua el desempeno del area de analisis. Aprueba modificaciones a los templates institucionales y al Operations Manual.</w:t>
      </w:r>
    </w:p>
    <w:p>
      <w:pPr>
        <w:spacing w:before="120" w:after="40"/>
      </w:pPr>
      <w:r>
        <w:rPr>
          <w:rFonts w:ascii="Helvetica" w:hAnsi="Helvetica"/>
          <w:b/>
          <w:i w:val="0"/>
          <w:sz w:val="22"/>
        </w:rPr>
        <w:t>Entregables obligatorios</w:t>
      </w:r>
    </w:p>
    <w:p>
      <w:pPr>
        <w:pStyle w:val="ListBullet"/>
      </w:pPr>
      <w:r>
        <w:rPr>
          <w:rFonts w:ascii="Helvetica" w:hAnsi="Helvetica"/>
          <w:sz w:val="21"/>
        </w:rPr>
        <w:t>Decisiones de inversion (memo firmado).</w:t>
      </w:r>
    </w:p>
    <w:p>
      <w:pPr>
        <w:pStyle w:val="ListBullet"/>
      </w:pPr>
      <w:r>
        <w:rPr>
          <w:rFonts w:ascii="Helvetica" w:hAnsi="Helvetica"/>
          <w:sz w:val="21"/>
        </w:rPr>
        <w:t>Decisiones del comite registradas en el Decision Journal (BUY / FOLLOW / PASS / SELL).</w:t>
      </w:r>
    </w:p>
    <w:p>
      <w:pPr>
        <w:pStyle w:val="ListBullet"/>
      </w:pPr>
      <w:r>
        <w:rPr>
          <w:rFonts w:ascii="Helvetica" w:hAnsi="Helvetica"/>
          <w:sz w:val="21"/>
        </w:rPr>
        <w:t>Annual Strategy &amp; Performance Review.</w:t>
      </w:r>
    </w:p>
    <w:p>
      <w:pPr>
        <w:pStyle w:val="ListBullet"/>
      </w:pPr>
      <w:r>
        <w:rPr>
          <w:rFonts w:ascii="Helvetica" w:hAnsi="Helvetica"/>
          <w:sz w:val="21"/>
        </w:rPr>
        <w:t>Carta anual institucional.</w:t>
      </w:r>
    </w:p>
    <w:p>
      <w:pPr>
        <w:pStyle w:val="ListBullet"/>
      </w:pPr>
      <w:r>
        <w:rPr>
          <w:rFonts w:ascii="Helvetica" w:hAnsi="Helvetica"/>
          <w:sz w:val="21"/>
        </w:rPr>
        <w:t>Aprobacion final de CI Packs.</w:t>
      </w:r>
    </w:p>
    <w:p>
      <w:pPr>
        <w:pStyle w:val="ListBullet"/>
      </w:pPr>
      <w:r>
        <w:rPr>
          <w:rFonts w:ascii="Helvetica" w:hAnsi="Helvetica"/>
          <w:sz w:val="21"/>
        </w:rPr>
        <w:t>Actualizaciones al IPS cuando corresponda.</w:t>
      </w:r>
    </w:p>
    <w:p>
      <w:pPr>
        <w:spacing w:before="120" w:after="40"/>
      </w:pPr>
      <w:r>
        <w:rPr>
          <w:rFonts w:ascii="Helvetica" w:hAnsi="Helvetica"/>
          <w:b/>
          <w:i w:val="0"/>
          <w:sz w:val="22"/>
        </w:rPr>
        <w:t>KPIs</w:t>
      </w:r>
    </w:p>
    <w:p>
      <w:pPr>
        <w:pStyle w:val="ListBullet"/>
      </w:pPr>
      <w:r>
        <w:rPr>
          <w:rFonts w:ascii="Helvetica" w:hAnsi="Helvetica"/>
          <w:sz w:val="21"/>
        </w:rPr>
        <w:t>Performance relativo ajustado por riesgo.</w:t>
      </w:r>
    </w:p>
    <w:p>
      <w:pPr>
        <w:pStyle w:val="ListBullet"/>
      </w:pPr>
      <w:r>
        <w:rPr>
          <w:rFonts w:ascii="Helvetica" w:hAnsi="Helvetica"/>
          <w:sz w:val="21"/>
        </w:rPr>
        <w:t>Disciplina en la aplicacion de politicas.</w:t>
      </w:r>
    </w:p>
    <w:p>
      <w:pPr>
        <w:pStyle w:val="ListBullet"/>
      </w:pPr>
      <w:r>
        <w:rPr>
          <w:rFonts w:ascii="Helvetica" w:hAnsi="Helvetica"/>
          <w:sz w:val="21"/>
        </w:rPr>
        <w:t>Calidad y puntualidad del proceso de inversion.</w:t>
      </w:r>
    </w:p>
    <w:p>
      <w:pPr>
        <w:pStyle w:val="ListBullet"/>
      </w:pPr>
      <w:r>
        <w:rPr>
          <w:rFonts w:ascii="Helvetica" w:hAnsi="Helvetica"/>
          <w:sz w:val="21"/>
        </w:rPr>
        <w:t>Cumplimiento del Charter y Governance.</w:t>
      </w:r>
    </w:p>
    <w:p>
      <w:pPr>
        <w:spacing w:before="120" w:after="40"/>
      </w:pPr>
      <w:r>
        <w:rPr>
          <w:rFonts w:ascii="Helvetica" w:hAnsi="Helvetica"/>
          <w:b/>
          <w:i w:val="0"/>
          <w:sz w:val="22"/>
        </w:rPr>
        <w:t>Limites de autoridad</w:t>
      </w:r>
    </w:p>
    <w:p>
      <w:pPr>
        <w:spacing w:after="80"/>
      </w:pPr>
      <w:r>
        <w:rPr>
          <w:rFonts w:ascii="Helvetica" w:hAnsi="Helvetica"/>
          <w:sz w:val="21"/>
        </w:rPr>
        <w:t>El CIO puede modificar el Operations Manual directamente. La modificacion del IPS requiere consulta previa al Comite de Inversiones, con aprobacion final del CIO. No puede modificar unilateralmente el Governance &amp; Succession Framework.</w:t>
      </w:r>
    </w:p>
    <w:p>
      <w:pPr>
        <w:spacing w:before="160" w:after="80"/>
      </w:pPr>
      <w:r>
        <w:rPr>
          <w:rFonts w:ascii="Helvetica" w:hAnsi="Helvetica"/>
          <w:b/>
          <w:sz w:val="24"/>
        </w:rPr>
        <w:t>2.2  Director of Investment Research</w:t>
      </w:r>
    </w:p>
    <w:p>
      <w:pPr>
        <w:spacing w:after="80"/>
      </w:pPr>
      <w:r>
        <w:rPr>
          <w:rFonts w:ascii="Helvetica" w:hAnsi="Helvetica"/>
          <w:sz w:val="21"/>
        </w:rPr>
        <w:t>El Director of Research traduce el marco institucional en analisis, investigacion profunda y disciplina metodologica. Actua como responsable tecnico del proceso de inversion.</w:t>
      </w:r>
    </w:p>
    <w:p>
      <w:pPr>
        <w:spacing w:before="120" w:after="40"/>
      </w:pPr>
      <w:r>
        <w:rPr>
          <w:rFonts w:ascii="Helvetica" w:hAnsi="Helvetica"/>
          <w:b/>
          <w:i w:val="0"/>
          <w:sz w:val="22"/>
        </w:rPr>
        <w:t>Responsabilidades principales</w:t>
      </w:r>
    </w:p>
    <w:p>
      <w:pPr>
        <w:spacing w:after="80"/>
      </w:pPr>
      <w:r>
        <w:rPr>
          <w:rFonts w:ascii="Helvetica" w:hAnsi="Helvetica"/>
          <w:sz w:val="21"/>
        </w:rPr>
        <w:t>Lidera el analisis fundamental, la construccion de modelos, las valuaciones y la investigacion cualitativa. Coordina y dirige la Reunion Tecnica Semanal, y ejecuta la Reunion Tactica semanal con el CIO, traduciendo sus decisiones en instrucciones operativas para el Analyst.</w:t>
      </w:r>
    </w:p>
    <w:p>
      <w:pPr>
        <w:spacing w:after="80"/>
      </w:pPr>
      <w:r>
        <w:rPr>
          <w:rFonts w:ascii="Helvetica" w:hAnsi="Helvetica"/>
          <w:sz w:val="21"/>
        </w:rPr>
        <w:t>Prepara y valida los entregables institucionales: Monthly Close, CI Pack trimestral, Annual Close, Investment Memos y Quarterly Re-Underwritings. Asegura el cumplimiento de estandares documentales, metodologicos y de valoracion, y supervisa la trazabilidad del proceso analitico y la integridad del archivo institucional.</w:t>
      </w:r>
    </w:p>
    <w:p>
      <w:pPr>
        <w:spacing w:after="80"/>
      </w:pPr>
      <w:r>
        <w:rPr>
          <w:rFonts w:ascii="Helvetica" w:hAnsi="Helvetica"/>
          <w:sz w:val="21"/>
        </w:rPr>
        <w:t>Valida la calidad de los Re-Underwritings producidos por el Analyst antes de su inclusion en el CI Pack. Escala al CIO cualquier KPI o failure mode que alcance umbral de alerta o accion, conforme al IPS 4.7.</w:t>
      </w:r>
    </w:p>
    <w:p>
      <w:pPr>
        <w:spacing w:before="120" w:after="40"/>
      </w:pPr>
      <w:r>
        <w:rPr>
          <w:rFonts w:ascii="Helvetica" w:hAnsi="Helvetica"/>
          <w:b/>
          <w:i w:val="0"/>
          <w:sz w:val="22"/>
        </w:rPr>
        <w:t>Entregables obligatorios</w:t>
      </w:r>
    </w:p>
    <w:p>
      <w:pPr>
        <w:pStyle w:val="ListBullet"/>
      </w:pPr>
      <w:r>
        <w:rPr>
          <w:rFonts w:ascii="Helvetica" w:hAnsi="Helvetica"/>
          <w:sz w:val="21"/>
        </w:rPr>
        <w:t>Monthly Close.</w:t>
      </w:r>
    </w:p>
    <w:p>
      <w:pPr>
        <w:pStyle w:val="ListBullet"/>
      </w:pPr>
      <w:r>
        <w:rPr>
          <w:rFonts w:ascii="Helvetica" w:hAnsi="Helvetica"/>
          <w:sz w:val="21"/>
        </w:rPr>
        <w:t>CI Pack trimestral.</w:t>
      </w:r>
    </w:p>
    <w:p>
      <w:pPr>
        <w:pStyle w:val="ListBullet"/>
      </w:pPr>
      <w:r>
        <w:rPr>
          <w:rFonts w:ascii="Helvetica" w:hAnsi="Helvetica"/>
          <w:sz w:val="21"/>
        </w:rPr>
        <w:t>Investment Memos (12 secciones, incluye Pre-Mortem y Kill Criteria).</w:t>
      </w:r>
    </w:p>
    <w:p>
      <w:pPr>
        <w:pStyle w:val="ListBullet"/>
      </w:pPr>
      <w:r>
        <w:rPr>
          <w:rFonts w:ascii="Helvetica" w:hAnsi="Helvetica"/>
          <w:sz w:val="21"/>
        </w:rPr>
        <w:t>Quarterly Re-Underwritings firmados por posicion.</w:t>
      </w:r>
    </w:p>
    <w:p>
      <w:pPr>
        <w:pStyle w:val="ListBullet"/>
      </w:pPr>
      <w:r>
        <w:rPr>
          <w:rFonts w:ascii="Helvetica" w:hAnsi="Helvetica"/>
          <w:sz w:val="21"/>
        </w:rPr>
        <w:t>Annual Close.</w:t>
      </w:r>
    </w:p>
    <w:p>
      <w:pPr>
        <w:pStyle w:val="ListBullet"/>
      </w:pPr>
      <w:r>
        <w:rPr>
          <w:rFonts w:ascii="Helvetica" w:hAnsi="Helvetica"/>
          <w:sz w:val="21"/>
        </w:rPr>
        <w:t>Actualizacion de tesis segun cadencia de este manual.</w:t>
      </w:r>
    </w:p>
    <w:p>
      <w:pPr>
        <w:pStyle w:val="ListBullet"/>
      </w:pPr>
      <w:r>
        <w:rPr>
          <w:rFonts w:ascii="Helvetica" w:hAnsi="Helvetica"/>
          <w:sz w:val="21"/>
        </w:rPr>
        <w:t>Modelos, valuaciones y research completo.</w:t>
      </w:r>
    </w:p>
    <w:p>
      <w:pPr>
        <w:spacing w:before="120" w:after="40"/>
      </w:pPr>
      <w:r>
        <w:rPr>
          <w:rFonts w:ascii="Helvetica" w:hAnsi="Helvetica"/>
          <w:b/>
          <w:i w:val="0"/>
          <w:sz w:val="22"/>
        </w:rPr>
        <w:t>KPIs</w:t>
      </w:r>
    </w:p>
    <w:p>
      <w:pPr>
        <w:pStyle w:val="ListBullet"/>
      </w:pPr>
      <w:r>
        <w:rPr>
          <w:rFonts w:ascii="Helvetica" w:hAnsi="Helvetica"/>
          <w:sz w:val="21"/>
        </w:rPr>
        <w:t>Calidad del analisis y profundidad de las tesis.</w:t>
      </w:r>
    </w:p>
    <w:p>
      <w:pPr>
        <w:pStyle w:val="ListBullet"/>
      </w:pPr>
      <w:r>
        <w:rPr>
          <w:rFonts w:ascii="Helvetica" w:hAnsi="Helvetica"/>
          <w:sz w:val="21"/>
        </w:rPr>
        <w:t>Puntualidad de entregables.</w:t>
      </w:r>
    </w:p>
    <w:p>
      <w:pPr>
        <w:pStyle w:val="ListBullet"/>
      </w:pPr>
      <w:r>
        <w:rPr>
          <w:rFonts w:ascii="Helvetica" w:hAnsi="Helvetica"/>
          <w:sz w:val="21"/>
        </w:rPr>
        <w:t>Control adecuado del pipeline.</w:t>
      </w:r>
    </w:p>
    <w:p>
      <w:pPr>
        <w:pStyle w:val="ListBullet"/>
      </w:pPr>
      <w:r>
        <w:rPr>
          <w:rFonts w:ascii="Helvetica" w:hAnsi="Helvetica"/>
          <w:sz w:val="21"/>
        </w:rPr>
        <w:t>Disciplina documental.</w:t>
      </w:r>
    </w:p>
    <w:p>
      <w:pPr>
        <w:pStyle w:val="ListBullet"/>
      </w:pPr>
      <w:r>
        <w:rPr>
          <w:rFonts w:ascii="Helvetica" w:hAnsi="Helvetica"/>
          <w:sz w:val="21"/>
        </w:rPr>
        <w:t>Completitud y sustancia de los Re-Underwritings trimestrales.</w:t>
      </w:r>
    </w:p>
    <w:p>
      <w:pPr>
        <w:spacing w:before="120" w:after="40"/>
      </w:pPr>
      <w:r>
        <w:rPr>
          <w:rFonts w:ascii="Helvetica" w:hAnsi="Helvetica"/>
          <w:b/>
          <w:i w:val="0"/>
          <w:sz w:val="22"/>
        </w:rPr>
        <w:t>Limites de autoridad</w:t>
      </w:r>
    </w:p>
    <w:p>
      <w:pPr>
        <w:spacing w:after="80"/>
      </w:pPr>
      <w:r>
        <w:rPr>
          <w:rFonts w:ascii="Helvetica" w:hAnsi="Helvetica"/>
          <w:sz w:val="21"/>
        </w:rPr>
        <w:t>El Director of Research puede recomendar operaciones pero no aprobarlas. No puede modificar politicas ni parametros del IPS.</w:t>
      </w:r>
    </w:p>
    <w:p>
      <w:pPr>
        <w:spacing w:before="160" w:after="80"/>
      </w:pPr>
      <w:r>
        <w:rPr>
          <w:rFonts w:ascii="Helvetica" w:hAnsi="Helvetica"/>
          <w:b/>
          <w:sz w:val="24"/>
        </w:rPr>
        <w:t>2.3  Investment Analyst</w:t>
      </w:r>
    </w:p>
    <w:p>
      <w:pPr>
        <w:spacing w:after="80"/>
      </w:pPr>
      <w:r>
        <w:rPr>
          <w:rFonts w:ascii="Helvetica" w:hAnsi="Helvetica"/>
          <w:sz w:val="21"/>
        </w:rPr>
        <w:t>El Analyst provee soporte analitico y operativo al proceso de inversion. Es responsable de producir los materiales tecnicos que alimentan los entregables institucionales del holding.</w:t>
      </w:r>
    </w:p>
    <w:p>
      <w:pPr>
        <w:spacing w:before="120" w:after="40"/>
      </w:pPr>
      <w:r>
        <w:rPr>
          <w:rFonts w:ascii="Helvetica" w:hAnsi="Helvetica"/>
          <w:b/>
          <w:i w:val="0"/>
          <w:sz w:val="22"/>
        </w:rPr>
        <w:t>Responsabilidades principales</w:t>
      </w:r>
    </w:p>
    <w:p>
      <w:pPr>
        <w:spacing w:after="80"/>
      </w:pPr>
      <w:r>
        <w:rPr>
          <w:rFonts w:ascii="Helvetica" w:hAnsi="Helvetica"/>
          <w:sz w:val="21"/>
        </w:rPr>
        <w:t>Ejecuta modelaje financiero, benchmarking, recopilacion de datos y analisis preliminares segun instrucciones del Director of Research. Participa en la Reunion Semanal de Direccion y en la Reunion Tecnica Semanal, presentando avances. Prepara insumos para pre-memos, Investment Memos y documentos tecnicos.</w:t>
      </w:r>
    </w:p>
    <w:p>
      <w:pPr>
        <w:spacing w:after="80"/>
      </w:pPr>
      <w:r>
        <w:rPr>
          <w:rFonts w:ascii="Helvetica" w:hAnsi="Helvetica"/>
          <w:sz w:val="21"/>
        </w:rPr>
        <w:t>Asegura que modelos y documentos cumplan estandares tecnicos y formales. Contribuye al Monthly Close, CI Pack y Annual Close con datos, tablas y analisis. Produce el borrador del Quarterly Re-Underwriting de cada posicion en cartera (las ocho secciones), actualiza los KPIs trimestrales contra el target del Memo §6 y mantiene la trazabilidad del Pre-Mortem en la §5 del Re-Underwriting.</w:t>
      </w:r>
    </w:p>
    <w:p>
      <w:pPr>
        <w:spacing w:before="120" w:after="40"/>
      </w:pPr>
      <w:r>
        <w:rPr>
          <w:rFonts w:ascii="Helvetica" w:hAnsi="Helvetica"/>
          <w:b/>
          <w:i w:val="0"/>
          <w:sz w:val="22"/>
        </w:rPr>
        <w:t>Entregables obligatorios</w:t>
      </w:r>
    </w:p>
    <w:p>
      <w:pPr>
        <w:pStyle w:val="ListBullet"/>
      </w:pPr>
      <w:r>
        <w:rPr>
          <w:rFonts w:ascii="Helvetica" w:hAnsi="Helvetica"/>
          <w:sz w:val="21"/>
        </w:rPr>
        <w:t>Material de soporte para el Monthly Close (mensual).</w:t>
      </w:r>
    </w:p>
    <w:p>
      <w:pPr>
        <w:pStyle w:val="ListBullet"/>
      </w:pPr>
      <w:r>
        <w:rPr>
          <w:rFonts w:ascii="Helvetica" w:hAnsi="Helvetica"/>
          <w:sz w:val="21"/>
        </w:rPr>
        <w:t>Borradores de Quarterly Re-Underwriting por posicion (trimestral).</w:t>
      </w:r>
    </w:p>
    <w:p>
      <w:pPr>
        <w:pStyle w:val="ListBullet"/>
      </w:pPr>
      <w:r>
        <w:rPr>
          <w:rFonts w:ascii="Helvetica" w:hAnsi="Helvetica"/>
          <w:sz w:val="21"/>
        </w:rPr>
        <w:t>Dashboard agregado actualizado (trimestral).</w:t>
      </w:r>
    </w:p>
    <w:p>
      <w:pPr>
        <w:pStyle w:val="ListBullet"/>
      </w:pPr>
      <w:r>
        <w:rPr>
          <w:rFonts w:ascii="Helvetica" w:hAnsi="Helvetica"/>
          <w:sz w:val="21"/>
        </w:rPr>
        <w:t>Insumos para Investment Memos (cuando aplique).</w:t>
      </w:r>
    </w:p>
    <w:p>
      <w:pPr>
        <w:spacing w:before="120" w:after="40"/>
      </w:pPr>
      <w:r>
        <w:rPr>
          <w:rFonts w:ascii="Helvetica" w:hAnsi="Helvetica"/>
          <w:b/>
          <w:i w:val="0"/>
          <w:sz w:val="22"/>
        </w:rPr>
        <w:t>KPIs</w:t>
      </w:r>
    </w:p>
    <w:p>
      <w:pPr>
        <w:pStyle w:val="ListBullet"/>
      </w:pPr>
      <w:r>
        <w:rPr>
          <w:rFonts w:ascii="Helvetica" w:hAnsi="Helvetica"/>
          <w:sz w:val="21"/>
        </w:rPr>
        <w:t>Exactitud y consistencia de la informacion producida.</w:t>
      </w:r>
    </w:p>
    <w:p>
      <w:pPr>
        <w:pStyle w:val="ListBullet"/>
      </w:pPr>
      <w:r>
        <w:rPr>
          <w:rFonts w:ascii="Helvetica" w:hAnsi="Helvetica"/>
          <w:sz w:val="21"/>
        </w:rPr>
        <w:t>Puntualidad en la entrega de materiales.</w:t>
      </w:r>
    </w:p>
    <w:p>
      <w:pPr>
        <w:pStyle w:val="ListBullet"/>
      </w:pPr>
      <w:r>
        <w:rPr>
          <w:rFonts w:ascii="Helvetica" w:hAnsi="Helvetica"/>
          <w:sz w:val="21"/>
        </w:rPr>
        <w:t>Calidad tecnica del modelaje y research.</w:t>
      </w:r>
    </w:p>
    <w:p>
      <w:pPr>
        <w:pStyle w:val="ListBullet"/>
      </w:pPr>
      <w:r>
        <w:rPr>
          <w:rFonts w:ascii="Helvetica" w:hAnsi="Helvetica"/>
          <w:sz w:val="21"/>
        </w:rPr>
        <w:t>Orden documental.</w:t>
      </w:r>
    </w:p>
    <w:p>
      <w:pPr>
        <w:spacing w:before="120" w:after="40"/>
      </w:pPr>
      <w:r>
        <w:rPr>
          <w:rFonts w:ascii="Helvetica" w:hAnsi="Helvetica"/>
          <w:b/>
          <w:i w:val="0"/>
          <w:sz w:val="22"/>
        </w:rPr>
        <w:t>Limites de autoridad</w:t>
      </w:r>
    </w:p>
    <w:p>
      <w:pPr>
        <w:spacing w:after="80"/>
      </w:pPr>
      <w:r>
        <w:rPr>
          <w:rFonts w:ascii="Helvetica" w:hAnsi="Helvetica"/>
          <w:sz w:val="21"/>
        </w:rPr>
        <w:t>El Analyst no puede recomendar ejecucion sin revision del Director of Research, ni modificar templates o procesos institucionales.</w:t>
      </w:r>
    </w:p>
    <w:p>
      <w:pPr>
        <w:spacing w:before="160" w:after="80"/>
      </w:pPr>
      <w:r>
        <w:rPr>
          <w:rFonts w:ascii="Helvetica" w:hAnsi="Helvetica"/>
          <w:b/>
          <w:sz w:val="24"/>
        </w:rPr>
        <w:t>2.4  Flujos de comunicacion</w:t>
      </w:r>
    </w:p>
    <w:p>
      <w:pPr>
        <w:spacing w:after="80"/>
      </w:pPr>
      <w:r>
        <w:rPr>
          <w:rFonts w:ascii="Helvetica" w:hAnsi="Helvetica"/>
          <w:sz w:val="21"/>
        </w:rPr>
        <w:t>La comunicacion entre roles sigue una estructura definida. El flujo diario va del Analyst al Director of Research. Semanalmente, el Analyst y el Director of Research reportan al CIO en la Reunion de Direccion (inicio de semana) y trabajan con el CIO en la Reunion Tecnica (mitad de semana). El Director of Research escala al CIO en la Reunion Tactica de cierre de semana las decisiones tacticas pendientes.</w:t>
      </w:r>
    </w:p>
    <w:p>
      <w:pPr>
        <w:spacing w:after="80"/>
      </w:pPr>
      <w:r>
        <w:rPr>
          <w:rFonts w:ascii="Helvetica" w:hAnsi="Helvetica"/>
          <w:sz w:val="21"/>
        </w:rPr>
        <w:t>El escalamiento de alertas sigue una regla estricta: cuando un KPI definido en el Memo §6 alcanza umbral de accion, o cuando un failure mode definido en el Memo §10 se activa, el Director of Research notifica al CIO de forma inmediata. El Director of Research es responsable de consolidar la informacion antes del escalamiento.</w:t>
      </w:r>
    </w:p>
    <w:p>
      <w:pPr>
        <w:spacing w:after="80"/>
      </w:pPr>
      <w:r>
        <w:rPr>
          <w:rFonts w:ascii="Helvetica" w:hAnsi="Helvetica"/>
          <w:sz w:val="21"/>
        </w:rPr>
        <w:t>En el flujo de evaluacion de nuevas tesis, el Munger Digital opera como filtro de conviccion intelectual ANTES del comite del CIO: ninguna tesis llega a decision sin haber pasado por Thesis Breaker (numeros) y Munger Digital (narrativa y sesgos) en su primer analisis. El Munger no decide la inversion; produce el decision_inputs.json que alimenta directamente el registro del comite cuando la decision se toma.</w:t>
      </w:r>
    </w:p>
    <w:p>
      <w:pPr>
        <w:spacing w:after="80"/>
      </w:pPr>
      <w:r>
        <w:rPr>
          <w:rFonts w:ascii="Helvetica" w:hAnsi="Helvetica"/>
          <w:sz w:val="21"/>
        </w:rPr>
        <w:t>En el flujo trimestral, ambos analisis (Thesis Breaker y Munger Digital) son a demanda. El comite puede solicitarlos ante: cambio material en la tesis (un bullet del Memo §2 se debilita), activacion de un failure mode del Memo §10, recalibracion estructural de los umbrales, o cualquier evento que el comite considere relevante para refrescar la conviccion.</w:t>
      </w:r>
    </w:p>
    <w:p>
      <w:pPr>
        <w:spacing w:after="80"/>
      </w:pPr>
      <w:r>
        <w:rPr>
          <w:rFonts w:ascii="Helvetica" w:hAnsi="Helvetica"/>
          <w:sz w:val="21"/>
        </w:rPr>
        <w:t>El comite formaliza la decision sobre una tesis en una de cuatro categorias mutuamente excluyentes: BUY (aprobacion de inversion), FOLLOW (tesis valida pero sin ejecucion, mantener en seguimiento activo), PASS (descarte razonado tras research completo), o SELL (cierre de posicion existente). Las cuatro decisiones tienen el mismo estandar de documentacion: razonamiento explicito, evidencia y archivado en el Decision Journal. La diferencia entre PASS y FOLLOW es material: PASS descarta la tesis; FOLLOW la mantiene viva para revisarla sin re-research si cambia el precio o un fundamental clave.</w:t>
      </w:r>
    </w:p>
    <w:p>
      <w:pPr>
        <w:spacing w:before="240" w:after="120"/>
      </w:pPr>
      <w:r>
        <w:rPr>
          <w:rFonts w:ascii="Helvetica" w:hAnsi="Helvetica"/>
          <w:b/>
          <w:sz w:val="28"/>
        </w:rPr>
        <w:t>III  Controles, estandares y documentacion</w:t>
      </w:r>
    </w:p>
    <w:p>
      <w:pPr>
        <w:spacing w:before="160" w:after="80"/>
      </w:pPr>
      <w:r>
        <w:rPr>
          <w:rFonts w:ascii="Helvetica" w:hAnsi="Helvetica"/>
          <w:b/>
          <w:sz w:val="24"/>
        </w:rPr>
        <w:t>3.1  Procesos sujetos a control interno</w:t>
      </w:r>
    </w:p>
    <w:p>
      <w:pPr>
        <w:spacing w:after="80"/>
      </w:pPr>
      <w:r>
        <w:rPr>
          <w:rFonts w:ascii="Helvetica" w:hAnsi="Helvetica"/>
          <w:sz w:val="21"/>
        </w:rPr>
        <w:t>Los siguientes procesos requieren registro, evidencia y almacenamiento adecuado:</w:t>
      </w:r>
    </w:p>
    <w:p>
      <w:pPr>
        <w:pStyle w:val="ListBullet"/>
      </w:pPr>
      <w:r>
        <w:rPr>
          <w:rFonts w:ascii="Helvetica" w:hAnsi="Helvetica"/>
          <w:sz w:val="21"/>
        </w:rPr>
        <w:t>Preparacion y validacion del Monthly Close.</w:t>
      </w:r>
    </w:p>
    <w:p>
      <w:pPr>
        <w:pStyle w:val="ListBullet"/>
      </w:pPr>
      <w:r>
        <w:rPr>
          <w:rFonts w:ascii="Helvetica" w:hAnsi="Helvetica"/>
          <w:sz w:val="21"/>
        </w:rPr>
        <w:t>Preparacion y validacion del CI Pack trimestral.</w:t>
      </w:r>
    </w:p>
    <w:p>
      <w:pPr>
        <w:pStyle w:val="ListBullet"/>
      </w:pPr>
      <w:r>
        <w:rPr>
          <w:rFonts w:ascii="Helvetica" w:hAnsi="Helvetica"/>
          <w:sz w:val="21"/>
        </w:rPr>
        <w:t>Elaboracion del Annual Close.</w:t>
      </w:r>
    </w:p>
    <w:p>
      <w:pPr>
        <w:pStyle w:val="ListBullet"/>
      </w:pPr>
      <w:r>
        <w:rPr>
          <w:rFonts w:ascii="Helvetica" w:hAnsi="Helvetica"/>
          <w:sz w:val="21"/>
        </w:rPr>
        <w:t>Preparacion de Investment Memos obligatorios para toda inversion.</w:t>
      </w:r>
    </w:p>
    <w:p>
      <w:pPr>
        <w:pStyle w:val="ListBullet"/>
      </w:pPr>
      <w:r>
        <w:rPr>
          <w:rFonts w:ascii="Helvetica" w:hAnsi="Helvetica"/>
          <w:sz w:val="21"/>
        </w:rPr>
        <w:t>Preparacion de Quarterly Re-Underwritings trimestrales por posicion activa.</w:t>
      </w:r>
    </w:p>
    <w:p>
      <w:pPr>
        <w:pStyle w:val="ListBullet"/>
      </w:pPr>
      <w:r>
        <w:rPr>
          <w:rFonts w:ascii="Helvetica" w:hAnsi="Helvetica"/>
          <w:sz w:val="21"/>
        </w:rPr>
        <w:t>Registro de las decisiones del Comite de Inversiones (BUY / FOLLOW / PASS / SELL) en el Decision Journal.</w:t>
      </w:r>
    </w:p>
    <w:p>
      <w:pPr>
        <w:pStyle w:val="ListBullet"/>
      </w:pPr>
      <w:r>
        <w:rPr>
          <w:rFonts w:ascii="Helvetica" w:hAnsi="Helvetica"/>
          <w:sz w:val="21"/>
        </w:rPr>
        <w:t>Archivo de documentos estrategicos y formales.</w:t>
      </w:r>
    </w:p>
    <w:p>
      <w:pPr>
        <w:pStyle w:val="ListBullet"/>
      </w:pPr>
      <w:r>
        <w:rPr>
          <w:rFonts w:ascii="Helvetica" w:hAnsi="Helvetica"/>
          <w:sz w:val="21"/>
        </w:rPr>
        <w:t>Verificacion de consistencia entre datos de custodios, bancos y reportes internos.</w:t>
      </w:r>
    </w:p>
    <w:p>
      <w:pPr>
        <w:spacing w:before="160" w:after="80"/>
      </w:pPr>
      <w:r>
        <w:rPr>
          <w:rFonts w:ascii="Helvetica" w:hAnsi="Helvetica"/>
          <w:b/>
          <w:sz w:val="24"/>
        </w:rPr>
        <w:t>3.2  Controles aplicables</w:t>
      </w:r>
    </w:p>
    <w:p>
      <w:pPr>
        <w:pStyle w:val="ListBullet"/>
      </w:pPr>
      <w:r>
        <w:rPr>
          <w:rFonts w:ascii="Helvetica" w:hAnsi="Helvetica"/>
          <w:sz w:val="21"/>
        </w:rPr>
        <w:t>Conciliacion mensual de saldos con custodios y bancos.</w:t>
      </w:r>
    </w:p>
    <w:p>
      <w:pPr>
        <w:pStyle w:val="ListBullet"/>
      </w:pPr>
      <w:r>
        <w:rPr>
          <w:rFonts w:ascii="Helvetica" w:hAnsi="Helvetica"/>
          <w:sz w:val="21"/>
        </w:rPr>
        <w:t>Validacion de exactitud en datos utilizados en reportes.</w:t>
      </w:r>
    </w:p>
    <w:p>
      <w:pPr>
        <w:pStyle w:val="ListBullet"/>
      </w:pPr>
      <w:r>
        <w:rPr>
          <w:rFonts w:ascii="Helvetica" w:hAnsi="Helvetica"/>
          <w:sz w:val="21"/>
        </w:rPr>
        <w:t>Revision de integridad de los Investment Memos y Re-Underwritings.</w:t>
      </w:r>
    </w:p>
    <w:p>
      <w:pPr>
        <w:pStyle w:val="ListBullet"/>
      </w:pPr>
      <w:r>
        <w:rPr>
          <w:rFonts w:ascii="Helvetica" w:hAnsi="Helvetica"/>
          <w:sz w:val="21"/>
        </w:rPr>
        <w:t>Supervision del cumplimiento del IPS.</w:t>
      </w:r>
    </w:p>
    <w:p>
      <w:pPr>
        <w:pStyle w:val="ListBullet"/>
      </w:pPr>
      <w:r>
        <w:rPr>
          <w:rFonts w:ascii="Helvetica" w:hAnsi="Helvetica"/>
          <w:sz w:val="21"/>
        </w:rPr>
        <w:t>Verificacion del archivo correcto en el Data Room.</w:t>
      </w:r>
    </w:p>
    <w:p>
      <w:pPr>
        <w:pStyle w:val="ListBullet"/>
      </w:pPr>
      <w:r>
        <w:rPr>
          <w:rFonts w:ascii="Helvetica" w:hAnsi="Helvetica"/>
          <w:sz w:val="21"/>
        </w:rPr>
        <w:t>Seguimiento a riesgos operativos y regulatorios.</w:t>
      </w:r>
    </w:p>
    <w:p>
      <w:pPr>
        <w:spacing w:before="160" w:after="80"/>
      </w:pPr>
      <w:r>
        <w:rPr>
          <w:rFonts w:ascii="Helvetica" w:hAnsi="Helvetica"/>
          <w:b/>
          <w:sz w:val="24"/>
        </w:rPr>
        <w:t>3.3  Documentos obligatorios bajo control</w:t>
      </w:r>
    </w:p>
    <w:p>
      <w:pPr>
        <w:spacing w:after="80"/>
      </w:pPr>
      <w:r>
        <w:rPr>
          <w:rFonts w:ascii="Helvetica" w:hAnsi="Helvetica"/>
          <w:sz w:val="21"/>
        </w:rPr>
        <w:t>Los siguientes documentos son considerados materiales y deben cumplir estandares de elaboracion, revision y archivo:</w:t>
      </w:r>
    </w:p>
    <w:p>
      <w:pPr>
        <w:pStyle w:val="ListBullet"/>
      </w:pPr>
      <w:r>
        <w:rPr>
          <w:rFonts w:ascii="Helvetica" w:hAnsi="Helvetica"/>
          <w:sz w:val="21"/>
        </w:rPr>
        <w:t>Monthly Close.</w:t>
      </w:r>
    </w:p>
    <w:p>
      <w:pPr>
        <w:pStyle w:val="ListBullet"/>
      </w:pPr>
      <w:r>
        <w:rPr>
          <w:rFonts w:ascii="Helvetica" w:hAnsi="Helvetica"/>
          <w:sz w:val="21"/>
        </w:rPr>
        <w:t>CI Pack.</w:t>
      </w:r>
    </w:p>
    <w:p>
      <w:pPr>
        <w:pStyle w:val="ListBullet"/>
      </w:pPr>
      <w:r>
        <w:rPr>
          <w:rFonts w:ascii="Helvetica" w:hAnsi="Helvetica"/>
          <w:sz w:val="21"/>
        </w:rPr>
        <w:t>Annual Close.</w:t>
      </w:r>
    </w:p>
    <w:p>
      <w:pPr>
        <w:pStyle w:val="ListBullet"/>
      </w:pPr>
      <w:r>
        <w:rPr>
          <w:rFonts w:ascii="Helvetica" w:hAnsi="Helvetica"/>
          <w:sz w:val="21"/>
        </w:rPr>
        <w:t>Investment Memo (Word, 12 secciones, incluye Pre-Mortem como §10 y Thesis Kill Criteria como §11).</w:t>
      </w:r>
    </w:p>
    <w:p>
      <w:pPr>
        <w:pStyle w:val="ListBullet"/>
      </w:pPr>
      <w:r>
        <w:rPr>
          <w:rFonts w:ascii="Helvetica" w:hAnsi="Helvetica"/>
          <w:sz w:val="21"/>
        </w:rPr>
        <w:t>Quarterly Re-Underwriting (Word, 8 secciones, uno por posicion por trimestre).</w:t>
      </w:r>
    </w:p>
    <w:p>
      <w:pPr>
        <w:pStyle w:val="ListBullet"/>
      </w:pPr>
      <w:r>
        <w:rPr>
          <w:rFonts w:ascii="Helvetica" w:hAnsi="Helvetica"/>
          <w:sz w:val="21"/>
        </w:rPr>
        <w:t>Actas del Comite de Inversiones.</w:t>
      </w:r>
    </w:p>
    <w:p>
      <w:pPr>
        <w:pStyle w:val="ListBullet"/>
      </w:pPr>
      <w:r>
        <w:rPr>
          <w:rFonts w:ascii="Helvetica" w:hAnsi="Helvetica"/>
          <w:sz w:val="21"/>
        </w:rPr>
        <w:t>Decision Journal entries — registro firmado de cada decision del comite, una entrada por decision (BUY / FOLLOW / PASS / SELL), con razonamiento, evidencia y, cuando aplique, link al trade ejecutado.</w:t>
      </w:r>
    </w:p>
    <w:p>
      <w:pPr>
        <w:pStyle w:val="ListBullet"/>
      </w:pPr>
      <w:r>
        <w:rPr>
          <w:rFonts w:ascii="Helvetica" w:hAnsi="Helvetica"/>
          <w:sz w:val="21"/>
        </w:rPr>
        <w:t>Position Close Memos.</w:t>
      </w:r>
    </w:p>
    <w:p>
      <w:pPr>
        <w:pStyle w:val="ListBullet"/>
      </w:pPr>
      <w:r>
        <w:rPr>
          <w:rFonts w:ascii="Helvetica" w:hAnsi="Helvetica"/>
          <w:sz w:val="21"/>
        </w:rPr>
        <w:t>Position Adjustment Memos.</w:t>
      </w:r>
    </w:p>
    <w:p>
      <w:pPr>
        <w:pStyle w:val="ListBullet"/>
      </w:pPr>
      <w:r>
        <w:rPr>
          <w:rFonts w:ascii="Helvetica" w:hAnsi="Helvetica"/>
          <w:sz w:val="21"/>
        </w:rPr>
        <w:t>Columbia Model (modelo de valoracion de toda posicion activa o en evaluacion seria; Excel).</w:t>
      </w:r>
    </w:p>
    <w:p>
      <w:pPr>
        <w:pStyle w:val="ListBullet"/>
      </w:pPr>
      <w:r>
        <w:rPr>
          <w:rFonts w:ascii="Helvetica" w:hAnsi="Helvetica"/>
          <w:sz w:val="21"/>
        </w:rPr>
        <w:t>Thesis Breaker (stress test cuantitativo; obligatorio en primer analisis, a demanda en trimestrales).</w:t>
      </w:r>
    </w:p>
    <w:p>
      <w:pPr>
        <w:pStyle w:val="ListBullet"/>
      </w:pPr>
      <w:r>
        <w:rPr>
          <w:rFonts w:ascii="Helvetica" w:hAnsi="Helvetica"/>
          <w:sz w:val="21"/>
        </w:rPr>
        <w:t>Munger Digital (filtro de conviccion narrativo; obligatorio en primer analisis, a demanda en trimestrales; incluye decision_inputs.json).</w:t>
      </w:r>
    </w:p>
    <w:p>
      <w:pPr>
        <w:spacing w:after="80"/>
      </w:pPr>
      <w:r>
        <w:rPr>
          <w:rFonts w:ascii="Helvetica" w:hAnsi="Helvetica"/>
          <w:sz w:val="21"/>
        </w:rPr>
        <w:t>El Director of Research es responsable de asegurar que todos los documentos cumplan los estandares de forma y contenido.</w:t>
      </w:r>
    </w:p>
    <w:p>
      <w:pPr>
        <w:spacing w:before="160" w:after="80"/>
      </w:pPr>
      <w:r>
        <w:rPr>
          <w:rFonts w:ascii="Helvetica" w:hAnsi="Helvetica"/>
          <w:b/>
          <w:sz w:val="24"/>
        </w:rPr>
        <w:t>3.4  Estandares documentales</w:t>
      </w:r>
    </w:p>
    <w:p>
      <w:pPr>
        <w:spacing w:before="120" w:after="40"/>
      </w:pPr>
      <w:r>
        <w:rPr>
          <w:rFonts w:ascii="Helvetica" w:hAnsi="Helvetica"/>
          <w:b/>
          <w:i w:val="0"/>
          <w:sz w:val="22"/>
        </w:rPr>
        <w:t>Naming convention</w:t>
      </w:r>
    </w:p>
    <w:p>
      <w:pPr>
        <w:spacing w:after="80"/>
      </w:pPr>
      <w:r>
        <w:rPr>
          <w:rFonts w:ascii="Helvetica" w:hAnsi="Helvetica"/>
          <w:sz w:val="21"/>
        </w:rPr>
        <w:t>Todos los documentos institucionales seguiran el patron: 'AAAA-MM - Tipo - Detalle'. Ejemplos:</w:t>
      </w:r>
    </w:p>
    <w:p>
      <w:pPr>
        <w:pStyle w:val="ListBullet"/>
      </w:pPr>
      <w:r>
        <w:rPr>
          <w:rFonts w:ascii="Helvetica" w:hAnsi="Helvetica"/>
          <w:sz w:val="21"/>
        </w:rPr>
        <w:t>Investment Memo: '2026-03 - Investment Memo - Alphabet (GOOG)'.</w:t>
      </w:r>
    </w:p>
    <w:p>
      <w:pPr>
        <w:pStyle w:val="ListBullet"/>
      </w:pPr>
      <w:r>
        <w:rPr>
          <w:rFonts w:ascii="Helvetica" w:hAnsi="Helvetica"/>
          <w:sz w:val="21"/>
        </w:rPr>
        <w:t>Quarterly Re-Underwriting: '2026-Q1 - Re-Underwriting - Alphabet (GOOG)'.</w:t>
      </w:r>
    </w:p>
    <w:p>
      <w:pPr>
        <w:pStyle w:val="ListBullet"/>
      </w:pPr>
      <w:r>
        <w:rPr>
          <w:rFonts w:ascii="Helvetica" w:hAnsi="Helvetica"/>
          <w:sz w:val="21"/>
        </w:rPr>
        <w:t>Monthly Close: '2026-03 - Monthly Close'.</w:t>
      </w:r>
    </w:p>
    <w:p>
      <w:pPr>
        <w:pStyle w:val="ListBullet"/>
      </w:pPr>
      <w:r>
        <w:rPr>
          <w:rFonts w:ascii="Helvetica" w:hAnsi="Helvetica"/>
          <w:sz w:val="21"/>
        </w:rPr>
        <w:t>CI Pack: '2026-Q1 - CI Pack'.</w:t>
      </w:r>
    </w:p>
    <w:p>
      <w:pPr>
        <w:pStyle w:val="ListBullet"/>
      </w:pPr>
      <w:r>
        <w:rPr>
          <w:rFonts w:ascii="Helvetica" w:hAnsi="Helvetica"/>
          <w:sz w:val="21"/>
        </w:rPr>
        <w:t>Acta del CI: '2026-Q1 - Acta CI'.</w:t>
      </w:r>
    </w:p>
    <w:p>
      <w:pPr>
        <w:pStyle w:val="ListBullet"/>
      </w:pPr>
      <w:r>
        <w:rPr>
          <w:rFonts w:ascii="Helvetica" w:hAnsi="Helvetica"/>
          <w:sz w:val="21"/>
        </w:rPr>
        <w:t>Annual Close: '2026 - Annual Close'.</w:t>
      </w:r>
    </w:p>
    <w:p>
      <w:pPr>
        <w:pStyle w:val="ListBullet"/>
      </w:pPr>
      <w:r>
        <w:rPr>
          <w:rFonts w:ascii="Helvetica" w:hAnsi="Helvetica"/>
          <w:sz w:val="21"/>
        </w:rPr>
        <w:t>Carta Anual: '2026 - Carta Anual'.</w:t>
      </w:r>
    </w:p>
    <w:p>
      <w:pPr>
        <w:pStyle w:val="ListBullet"/>
      </w:pPr>
      <w:r>
        <w:rPr>
          <w:rFonts w:ascii="Helvetica" w:hAnsi="Helvetica"/>
          <w:sz w:val="21"/>
        </w:rPr>
        <w:t>Position Close Memo: '2026-06 - Close Memo - Alphabet (GOOG)'.</w:t>
      </w:r>
    </w:p>
    <w:p>
      <w:pPr>
        <w:pStyle w:val="ListBullet"/>
      </w:pPr>
      <w:r>
        <w:rPr>
          <w:rFonts w:ascii="Helvetica" w:hAnsi="Helvetica"/>
          <w:sz w:val="21"/>
        </w:rPr>
        <w:t>Position Adjustment Memo: '2026-06 - Adjustment Memo - Alphabet (GOOG) - Trim'.</w:t>
      </w:r>
    </w:p>
    <w:p>
      <w:pPr>
        <w:pStyle w:val="ListBullet"/>
      </w:pPr>
      <w:r>
        <w:rPr>
          <w:rFonts w:ascii="Helvetica" w:hAnsi="Helvetica"/>
          <w:sz w:val="21"/>
        </w:rPr>
        <w:t>Columbia Model: '2026-03 - Columbia Model - Alphabet (GOOG)'.</w:t>
      </w:r>
    </w:p>
    <w:p>
      <w:pPr>
        <w:pStyle w:val="ListBullet"/>
      </w:pPr>
      <w:r>
        <w:rPr>
          <w:rFonts w:ascii="Helvetica" w:hAnsi="Helvetica"/>
          <w:sz w:val="21"/>
        </w:rPr>
        <w:t>Thesis Breaker: '2026-03 - Thesis Breaker - Alphabet (GOOG)'.</w:t>
      </w:r>
    </w:p>
    <w:p>
      <w:pPr>
        <w:pStyle w:val="ListBullet"/>
      </w:pPr>
      <w:r>
        <w:rPr>
          <w:rFonts w:ascii="Helvetica" w:hAnsi="Helvetica"/>
          <w:sz w:val="21"/>
        </w:rPr>
        <w:t>Munger Digital: '2026-03 - Munger Digital - Alphabet (GOOG)'.</w:t>
      </w:r>
    </w:p>
    <w:p>
      <w:pPr>
        <w:pStyle w:val="ListBullet"/>
      </w:pPr>
      <w:r>
        <w:rPr>
          <w:rFonts w:ascii="Helvetica" w:hAnsi="Helvetica"/>
          <w:sz w:val="21"/>
        </w:rPr>
        <w:t>Pre-Memo: '2026-03 - Pre-Memo - Alphabet (GOOG)'.</w:t>
      </w:r>
    </w:p>
    <w:p>
      <w:pPr>
        <w:pStyle w:val="ListBullet"/>
      </w:pPr>
      <w:r>
        <w:rPr>
          <w:rFonts w:ascii="Helvetica" w:hAnsi="Helvetica"/>
          <w:sz w:val="21"/>
        </w:rPr>
        <w:t>Screening Brief: '2026-03 - Screening Brief - Auto Parts'.</w:t>
      </w:r>
    </w:p>
    <w:p>
      <w:pPr>
        <w:pStyle w:val="ListBullet"/>
      </w:pPr>
      <w:r>
        <w:rPr>
          <w:rFonts w:ascii="Helvetica" w:hAnsi="Helvetica"/>
          <w:sz w:val="21"/>
        </w:rPr>
        <w:t>Decision Inputs: '2026-03 - Decision Inputs - Alphabet (GOOG)' (puente Munger -&gt; comite, formato .json).</w:t>
      </w:r>
    </w:p>
    <w:p>
      <w:pPr>
        <w:spacing w:after="80"/>
      </w:pPr>
      <w:r>
        <w:rPr>
          <w:rFonts w:ascii="Helvetica" w:hAnsi="Helvetica"/>
          <w:sz w:val="21"/>
        </w:rPr>
        <w:t>Documentos producidos bajo versiones anteriores de este manual (Scorecard de posicion, Investment Fact Sheet, Desconfirmacion) se conservan en su carpeta historica y NO se generan en formato v3.2 en adelante.</w:t>
      </w:r>
    </w:p>
    <w:p>
      <w:pPr>
        <w:spacing w:before="120" w:after="40"/>
      </w:pPr>
      <w:r>
        <w:rPr>
          <w:rFonts w:ascii="Helvetica" w:hAnsi="Helvetica"/>
          <w:b/>
          <w:i w:val="0"/>
          <w:sz w:val="22"/>
        </w:rPr>
        <w:t>Formato de archivos</w:t>
      </w:r>
    </w:p>
    <w:p>
      <w:pPr>
        <w:spacing w:after="80"/>
      </w:pPr>
      <w:r>
        <w:rPr>
          <w:rFonts w:ascii="Helvetica" w:hAnsi="Helvetica"/>
          <w:sz w:val="21"/>
        </w:rPr>
        <w:t>Los documentos narrativos e institucionales (memos, re-underwritings, cartas, actas, CI Pack) se producen en formato .docx o .pdf para archivo. Los modelos financieros se producen en formato .xlsx. Las presentaciones, cuando apliquen, en formato .pptx. El archivo definitivo en el Data Room sera siempre en .pdf para documentos narrativos y .xlsx para modelos.</w:t>
      </w:r>
    </w:p>
    <w:p>
      <w:pPr>
        <w:spacing w:before="120" w:after="40"/>
      </w:pPr>
      <w:r>
        <w:rPr>
          <w:rFonts w:ascii="Helvetica" w:hAnsi="Helvetica"/>
          <w:b/>
          <w:i w:val="0"/>
          <w:sz w:val="22"/>
        </w:rPr>
        <w:t>Estructura del Data Room</w:t>
      </w:r>
    </w:p>
    <w:p>
      <w:pPr>
        <w:spacing w:after="80"/>
      </w:pPr>
      <w:r>
        <w:rPr>
          <w:rFonts w:ascii="Helvetica" w:hAnsi="Helvetica"/>
          <w:sz w:val="21"/>
        </w:rPr>
        <w:t>El Data Room institucional se organiza en las siguientes carpetas de primer nivel:</w:t>
      </w:r>
    </w:p>
    <w:p>
      <w:pPr>
        <w:pStyle w:val="ListBullet"/>
      </w:pPr>
      <w:r>
        <w:rPr>
          <w:rFonts w:ascii="Helvetica" w:hAnsi="Helvetica"/>
          <w:sz w:val="21"/>
        </w:rPr>
        <w:t>01 - Marco Normativo (Charter, IPS, Governance, Operations Manual, Provider Directory y versiones historicas).</w:t>
      </w:r>
    </w:p>
    <w:p>
      <w:pPr>
        <w:pStyle w:val="ListBullet"/>
      </w:pPr>
      <w:r>
        <w:rPr>
          <w:rFonts w:ascii="Helvetica" w:hAnsi="Helvetica"/>
          <w:sz w:val="21"/>
        </w:rPr>
        <w:t>02 - Portafolio (subcarpeta por posicion: memo, modelo, re-underwritings trimestrales, _Historico_pre-v3.2/ con scorecards/IFS/desconfirmaciones de versiones anteriores).</w:t>
      </w:r>
    </w:p>
    <w:p>
      <w:pPr>
        <w:pStyle w:val="ListBullet"/>
      </w:pPr>
      <w:r>
        <w:rPr>
          <w:rFonts w:ascii="Helvetica" w:hAnsi="Helvetica"/>
          <w:sz w:val="21"/>
        </w:rPr>
        <w:t>03 - Monthly Close (un archivo por mes).</w:t>
      </w:r>
    </w:p>
    <w:p>
      <w:pPr>
        <w:pStyle w:val="ListBullet"/>
      </w:pPr>
      <w:r>
        <w:rPr>
          <w:rFonts w:ascii="Helvetica" w:hAnsi="Helvetica"/>
          <w:sz w:val="21"/>
        </w:rPr>
        <w:t>04 - CI Pack y Actas (un folder por trimestre).</w:t>
      </w:r>
    </w:p>
    <w:p>
      <w:pPr>
        <w:pStyle w:val="ListBullet"/>
      </w:pPr>
      <w:r>
        <w:rPr>
          <w:rFonts w:ascii="Helvetica" w:hAnsi="Helvetica"/>
          <w:sz w:val="21"/>
        </w:rPr>
        <w:t>05 - Annual Close y Carta Anual (un folder por ano).</w:t>
      </w:r>
    </w:p>
    <w:p>
      <w:pPr>
        <w:pStyle w:val="ListBullet"/>
      </w:pPr>
      <w:r>
        <w:rPr>
          <w:rFonts w:ascii="Helvetica" w:hAnsi="Helvetica"/>
          <w:sz w:val="21"/>
        </w:rPr>
        <w:t>06 - Pipeline (research preliminar, pre-memos, ideas descartadas).</w:t>
      </w:r>
    </w:p>
    <w:p>
      <w:pPr>
        <w:pStyle w:val="ListBullet"/>
      </w:pPr>
      <w:r>
        <w:rPr>
          <w:rFonts w:ascii="Helvetica" w:hAnsi="Helvetica"/>
          <w:sz w:val="21"/>
        </w:rPr>
        <w:t>07 - Nombramientos y Legal (nombramientos del CI, Successor, contratos relevantes).</w:t>
      </w:r>
    </w:p>
    <w:p>
      <w:pPr>
        <w:pStyle w:val="ListBullet"/>
      </w:pPr>
      <w:r>
        <w:rPr>
          <w:rFonts w:ascii="Helvetica" w:hAnsi="Helvetica"/>
          <w:sz w:val="21"/>
        </w:rPr>
        <w:t>08 - Administracion (conciliaciones, correspondencia con custodios y bancos).</w:t>
      </w:r>
    </w:p>
    <w:p>
      <w:pPr>
        <w:spacing w:after="80"/>
      </w:pPr>
      <w:r>
        <w:rPr>
          <w:rFonts w:ascii="Helvetica" w:hAnsi="Helvetica"/>
          <w:sz w:val="21"/>
        </w:rPr>
        <w:t>Toda carpeta de posicion dentro de 02 - Portafolio seguira el formato: 'Ticker - Nombre (ej: GOOG - Alphabet)'. Dentro de cada carpeta de posicion existira una subcarpeta '_Historico_pre-v3.2/' que aloja los documentos producidos bajo el formato anterior (Scorecards, IFS, Desconfirmaciones, Pre-Mortems independientes). Estos documentos se preservan como registro pero ya no se producen.</w:t>
      </w:r>
    </w:p>
    <w:p>
      <w:pPr>
        <w:spacing w:after="80"/>
      </w:pPr>
      <w:r>
        <w:rPr>
          <w:rFonts w:ascii="Helvetica" w:hAnsi="Helvetica"/>
          <w:sz w:val="21"/>
        </w:rPr>
        <w:t>El Data Room institucional se aloja en el portal de DCE Holdings (dceholdings.app/dataroom.html), bajo control del CIO. El archivado de artefactos de research, monthly close, re-underwritings, CI packs, actas y cierres anuales es automatico mediante los helpers compartidos invocados por las skills institucionales (columbia-valuation, valuation-report, dce-thesis-breaker, dce-munger-digital, dce-reunderwriting-doc y las skills mensuales/trimestrales/anuales). Cada archivado renombra el archivo segun la convencion de esta seccion, lo deposita en la carpeta correcta del Data Room, actualiza el indice institucional y queda registrado en el repositorio dceh con commit firmado por la identidad del CIO.</w:t>
      </w:r>
    </w:p>
    <w:p>
      <w:pPr>
        <w:spacing w:before="120" w:after="40"/>
      </w:pPr>
      <w:r>
        <w:rPr>
          <w:rFonts w:ascii="Helvetica" w:hAnsi="Helvetica"/>
          <w:b/>
          <w:i w:val="0"/>
          <w:sz w:val="22"/>
        </w:rPr>
        <w:t>Decision Journal — registro de decisiones del comite</w:t>
      </w:r>
    </w:p>
    <w:p>
      <w:pPr>
        <w:spacing w:after="80"/>
      </w:pPr>
      <w:r>
        <w:rPr>
          <w:rFonts w:ascii="Helvetica" w:hAnsi="Helvetica"/>
          <w:sz w:val="21"/>
        </w:rPr>
        <w:t>El Decision Journal es el registro vivo de las decisiones del Comite de Inversiones sobre cada tesis evaluada. Se aloja en el portal de DCE Holdings (dceholdings.app/journal.html) y constituye la fuente de verdad operativa de las decisiones tomadas; el Data Room conserva los memos y entregables formales, el Decision Journal conserva la decision como tal con su razonamiento y trazabilidad.</w:t>
      </w:r>
    </w:p>
    <w:p>
      <w:pPr>
        <w:spacing w:after="80"/>
      </w:pPr>
      <w:r>
        <w:rPr>
          <w:rFonts w:ascii="Helvetica" w:hAnsi="Helvetica"/>
          <w:sz w:val="21"/>
        </w:rPr>
        <w:t>Cada entrada del Journal corresponde a una de las cuatro decisiones del comite (BUY / FOLLOW / PASS / SELL) y debe contener, al minimo: tesis evaluada, razonamiento de la decision, evidencia material citada, conviction level del comite, link al Investment Memo y, cuando aplique, link al trade ejecutado y al Pre-Mortem activo.</w:t>
      </w:r>
    </w:p>
    <w:p>
      <w:pPr>
        <w:spacing w:after="80"/>
      </w:pPr>
      <w:r>
        <w:rPr>
          <w:rFonts w:ascii="Helvetica" w:hAnsi="Helvetica"/>
          <w:sz w:val="21"/>
        </w:rPr>
        <w:t>La integridad del Decision Journal es responsabilidad del CIO. Toda decision del comite debe quedar registrada antes del cierre del dia en que se tomo. El Journal no se edita: las decisiones se enmiendan creando una nueva entrada vinculada (por ejemplo, un SELL referenciando el BUY original) que preserva el registro historico.</w:t>
      </w:r>
    </w:p>
    <w:p>
      <w:pPr>
        <w:spacing w:before="120" w:after="40"/>
      </w:pPr>
      <w:r>
        <w:rPr>
          <w:rFonts w:ascii="Helvetica" w:hAnsi="Helvetica"/>
          <w:b/>
          <w:i w:val="0"/>
          <w:sz w:val="22"/>
        </w:rPr>
        <w:t>Reglas generales</w:t>
      </w:r>
    </w:p>
    <w:p>
      <w:pPr>
        <w:spacing w:after="80"/>
      </w:pPr>
      <w:r>
        <w:rPr>
          <w:rFonts w:ascii="Helvetica" w:hAnsi="Helvetica"/>
          <w:sz w:val="21"/>
        </w:rPr>
        <w:t>Todos los documentos deben estar limpios, sin errores formales o duplicados. Cada version debe archivarse con su numero de version. No se eliminan versiones anteriores; se mantienen como registro historico.</w:t>
      </w:r>
    </w:p>
    <w:p>
      <w:pPr>
        <w:spacing w:before="160" w:after="80"/>
      </w:pPr>
      <w:r>
        <w:rPr>
          <w:rFonts w:ascii="Helvetica" w:hAnsi="Helvetica"/>
          <w:b/>
          <w:sz w:val="24"/>
        </w:rPr>
        <w:t>3.5  Auditoria interna</w:t>
      </w:r>
    </w:p>
    <w:p>
      <w:pPr>
        <w:spacing w:after="80"/>
      </w:pPr>
      <w:r>
        <w:rPr>
          <w:rFonts w:ascii="Helvetica" w:hAnsi="Helvetica"/>
          <w:sz w:val="21"/>
        </w:rPr>
        <w:t>Los procesos criticos deben poder ser auditados en cualquier momento mediante: verificacion del cumplimiento del IPS, revision de supuestos utilizados en reportes, trazabilidad del flujo de datos, consistencia entre reportes internos y externos, y disponibilidad correcta de documentos en el Data Room y de decisiones en el Decision Journal.</w:t>
      </w:r>
    </w:p>
    <w:p>
      <w:pPr>
        <w:spacing w:before="240" w:after="120"/>
      </w:pPr>
      <w:r>
        <w:rPr>
          <w:rFonts w:ascii="Helvetica" w:hAnsi="Helvetica"/>
          <w:b/>
          <w:sz w:val="28"/>
        </w:rPr>
        <w:t>IV  Conducta, compliance y seguridad</w:t>
      </w:r>
    </w:p>
    <w:p>
      <w:pPr>
        <w:spacing w:before="160" w:after="80"/>
      </w:pPr>
      <w:r>
        <w:rPr>
          <w:rFonts w:ascii="Helvetica" w:hAnsi="Helvetica"/>
          <w:b/>
          <w:sz w:val="24"/>
        </w:rPr>
        <w:t>4.1  Principios de conducta</w:t>
      </w:r>
    </w:p>
    <w:p>
      <w:pPr>
        <w:spacing w:after="80"/>
      </w:pPr>
      <w:r>
        <w:rPr>
          <w:rFonts w:ascii="Helvetica" w:hAnsi="Helvetica"/>
          <w:sz w:val="21"/>
        </w:rPr>
        <w:t>Todos los miembros del equipo deberan conducirse bajo los siguientes principios:</w:t>
      </w:r>
    </w:p>
    <w:p>
      <w:pPr>
        <w:pStyle w:val="ListBullet"/>
      </w:pPr>
      <w:r>
        <w:rPr>
          <w:rFonts w:ascii="Helvetica" w:hAnsi="Helvetica"/>
          <w:sz w:val="21"/>
        </w:rPr>
        <w:t>Integridad absoluta en todas las decisiones.</w:t>
      </w:r>
    </w:p>
    <w:p>
      <w:pPr>
        <w:pStyle w:val="ListBullet"/>
      </w:pPr>
      <w:r>
        <w:rPr>
          <w:rFonts w:ascii="Helvetica" w:hAnsi="Helvetica"/>
          <w:sz w:val="21"/>
        </w:rPr>
        <w:t>Confidencialidad estricta sobre toda informacion interna.</w:t>
      </w:r>
    </w:p>
    <w:p>
      <w:pPr>
        <w:pStyle w:val="ListBullet"/>
      </w:pPr>
      <w:r>
        <w:rPr>
          <w:rFonts w:ascii="Helvetica" w:hAnsi="Helvetica"/>
          <w:sz w:val="21"/>
        </w:rPr>
        <w:t>Rigurosidad profesional en analisis, modelos y documentacion.</w:t>
      </w:r>
    </w:p>
    <w:p>
      <w:pPr>
        <w:pStyle w:val="ListBullet"/>
      </w:pPr>
      <w:r>
        <w:rPr>
          <w:rFonts w:ascii="Helvetica" w:hAnsi="Helvetica"/>
          <w:sz w:val="21"/>
        </w:rPr>
        <w:t>Actuacion siempre en beneficio del holding y del patrimonio familiar.</w:t>
      </w:r>
    </w:p>
    <w:p>
      <w:pPr>
        <w:pStyle w:val="ListBullet"/>
      </w:pPr>
      <w:r>
        <w:rPr>
          <w:rFonts w:ascii="Helvetica" w:hAnsi="Helvetica"/>
          <w:sz w:val="21"/>
        </w:rPr>
        <w:t>Coherencia con los valores intergeneracionales definidos en el Charter.</w:t>
      </w:r>
    </w:p>
    <w:p>
      <w:pPr>
        <w:spacing w:before="160" w:after="80"/>
      </w:pPr>
      <w:r>
        <w:rPr>
          <w:rFonts w:ascii="Helvetica" w:hAnsi="Helvetica"/>
          <w:b/>
          <w:sz w:val="24"/>
        </w:rPr>
        <w:t>4.2  Etica profesional y responsabilidad fiduciaria</w:t>
      </w:r>
    </w:p>
    <w:p>
      <w:pPr>
        <w:spacing w:after="80"/>
      </w:pPr>
      <w:r>
        <w:rPr>
          <w:rFonts w:ascii="Helvetica" w:hAnsi="Helvetica"/>
          <w:sz w:val="21"/>
        </w:rPr>
        <w:t>DCE Holdings adopta estandares equivalentes a los de un family office institucional. La responsabilidad fiduciaria implica priorizar la preservacion y crecimiento del patrimonio, evitar sesgos personales en decisiones de inversion, revelar cualquier relacion, incentivo o interes externo relevante, y mantener registros, modelos y entregables de maxima calidad.</w:t>
      </w:r>
    </w:p>
    <w:p>
      <w:pPr>
        <w:spacing w:before="160" w:after="80"/>
      </w:pPr>
      <w:r>
        <w:rPr>
          <w:rFonts w:ascii="Helvetica" w:hAnsi="Helvetica"/>
          <w:b/>
          <w:sz w:val="24"/>
        </w:rPr>
        <w:t>4.3  Confidencialidad y clasificacion de informacion</w:t>
      </w:r>
    </w:p>
    <w:p>
      <w:pPr>
        <w:spacing w:after="80"/>
      </w:pPr>
      <w:r>
        <w:rPr>
          <w:rFonts w:ascii="Helvetica" w:hAnsi="Helvetica"/>
          <w:sz w:val="21"/>
        </w:rPr>
        <w:t>Se prohibe estrictamente compartir documentacion interna sin autorizacion expresa del CIO. La informacion se clasifica en tres niveles: Nivel 1 comprende Charter, IPS, Governance, memos aprobados, CI Packs, Decision Journal y Monthly Close. Nivel 2 comprende modelos financieros, research y templates internos. Nivel 3 comprende material operativo general.</w:t>
      </w:r>
    </w:p>
    <w:p>
      <w:pPr>
        <w:spacing w:before="160" w:after="80"/>
      </w:pPr>
      <w:r>
        <w:rPr>
          <w:rFonts w:ascii="Helvetica" w:hAnsi="Helvetica"/>
          <w:b/>
          <w:sz w:val="24"/>
        </w:rPr>
        <w:t>4.4  Conflictos de interes</w:t>
      </w:r>
    </w:p>
    <w:p>
      <w:pPr>
        <w:spacing w:after="80"/>
      </w:pPr>
      <w:r>
        <w:rPr>
          <w:rFonts w:ascii="Helvetica" w:hAnsi="Helvetica"/>
          <w:sz w:val="21"/>
        </w:rPr>
        <w:t>Todo miembro del equipo debe declarar cualquier situacion que pueda afectar su independencia de criterio, incluyendo relaciones profesionales, economicas o familiares con empresas analizadas o potencialmente analizadas.</w:t>
      </w:r>
    </w:p>
    <w:p>
      <w:pPr>
        <w:spacing w:before="160" w:after="80"/>
      </w:pPr>
      <w:r>
        <w:rPr>
          <w:rFonts w:ascii="Helvetica" w:hAnsi="Helvetica"/>
          <w:b/>
          <w:sz w:val="24"/>
        </w:rPr>
        <w:t>4.5  Trading personal</w:t>
      </w:r>
    </w:p>
    <w:p>
      <w:pPr>
        <w:spacing w:after="80"/>
      </w:pPr>
      <w:r>
        <w:rPr>
          <w:rFonts w:ascii="Helvetica" w:hAnsi="Helvetica"/>
          <w:sz w:val="21"/>
        </w:rPr>
        <w:t>Queda terminantemente prohibida toda operativa personal, directa o indirecta, en:</w:t>
      </w:r>
    </w:p>
    <w:p>
      <w:pPr>
        <w:pStyle w:val="ListBullet"/>
      </w:pPr>
      <w:r>
        <w:rPr>
          <w:rFonts w:ascii="Helvetica" w:hAnsi="Helvetica"/>
          <w:sz w:val="21"/>
        </w:rPr>
        <w:t>Valores en cartera.</w:t>
      </w:r>
    </w:p>
    <w:p>
      <w:pPr>
        <w:pStyle w:val="ListBullet"/>
      </w:pPr>
      <w:r>
        <w:rPr>
          <w:rFonts w:ascii="Helvetica" w:hAnsi="Helvetica"/>
          <w:sz w:val="21"/>
        </w:rPr>
        <w:t>Valores en pipeline.</w:t>
      </w:r>
    </w:p>
    <w:p>
      <w:pPr>
        <w:pStyle w:val="ListBullet"/>
      </w:pPr>
      <w:r>
        <w:rPr>
          <w:rFonts w:ascii="Helvetica" w:hAnsi="Helvetica"/>
          <w:sz w:val="21"/>
        </w:rPr>
        <w:t>Valores en FOLLOW (tesis valida sin ejecucion, mantenidas en seguimiento).</w:t>
      </w:r>
    </w:p>
    <w:p>
      <w:pPr>
        <w:pStyle w:val="ListBullet"/>
      </w:pPr>
      <w:r>
        <w:rPr>
          <w:rFonts w:ascii="Helvetica" w:hAnsi="Helvetica"/>
          <w:sz w:val="21"/>
        </w:rPr>
        <w:t>Valores analizados en los ultimos 24 meses.</w:t>
      </w:r>
    </w:p>
    <w:p>
      <w:pPr>
        <w:pStyle w:val="ListBullet"/>
      </w:pPr>
      <w:r>
        <w:rPr>
          <w:rFonts w:ascii="Helvetica" w:hAnsi="Helvetica"/>
          <w:sz w:val="21"/>
        </w:rPr>
        <w:t>Valores bajo discusion preliminar o exploratoria.</w:t>
      </w:r>
    </w:p>
    <w:p>
      <w:pPr>
        <w:spacing w:after="80"/>
      </w:pPr>
      <w:r>
        <w:rPr>
          <w:rFonts w:ascii="Helvetica" w:hAnsi="Helvetica"/>
          <w:sz w:val="21"/>
        </w:rPr>
        <w:t>Cualquier violacion implica sancion grave y puede dar lugar a terminacion inmediata.</w:t>
      </w:r>
    </w:p>
    <w:p>
      <w:pPr>
        <w:spacing w:before="160" w:after="80"/>
      </w:pPr>
      <w:r>
        <w:rPr>
          <w:rFonts w:ascii="Helvetica" w:hAnsi="Helvetica"/>
          <w:b/>
          <w:sz w:val="24"/>
        </w:rPr>
        <w:t>4.6  Reglas operativas obligatorias</w:t>
      </w:r>
    </w:p>
    <w:p>
      <w:pPr>
        <w:spacing w:after="80"/>
      </w:pPr>
      <w:r>
        <w:rPr>
          <w:rFonts w:ascii="Helvetica" w:hAnsi="Helvetica"/>
          <w:sz w:val="21"/>
        </w:rPr>
        <w:t>Ninguna operacion podra ejecutarse sin Investment Memo aprobado y firmado, y sin su decision BUY correspondiente registrada en el Decision Journal. Toda documentacion debe mantenerse actualizada, ordenada y verificable. Todo analisis debera incluir supuestos explicitos, fuentes y sensibilidad. Toda interaccion relevante con contrapartes debera quedar registrada. Todo entregable debera ubicarse correctamente en el Data Room institucional.</w:t>
      </w:r>
    </w:p>
    <w:p>
      <w:pPr>
        <w:spacing w:before="160" w:after="80"/>
      </w:pPr>
      <w:r>
        <w:rPr>
          <w:rFonts w:ascii="Helvetica" w:hAnsi="Helvetica"/>
          <w:b/>
          <w:sz w:val="24"/>
        </w:rPr>
        <w:t>4.7  Proveedores externos y auditoria</w:t>
      </w:r>
    </w:p>
    <w:p>
      <w:pPr>
        <w:spacing w:after="80"/>
      </w:pPr>
      <w:r>
        <w:rPr>
          <w:rFonts w:ascii="Helvetica" w:hAnsi="Helvetica"/>
          <w:sz w:val="21"/>
        </w:rPr>
        <w:t>DCE Holdings solo trabajara con proveedores reputados, auditables y tecnicamente competentes, con politicas de seguridad compatibles y sin conflictos de interes. Se realizara una auditoria externa anual del sistema documental, procesos y seguridad.</w:t>
      </w:r>
    </w:p>
    <w:p>
      <w:pPr>
        <w:spacing w:before="160" w:after="80"/>
      </w:pPr>
      <w:r>
        <w:rPr>
          <w:rFonts w:ascii="Helvetica" w:hAnsi="Helvetica"/>
          <w:b/>
          <w:sz w:val="24"/>
        </w:rPr>
        <w:t>4.8  Whistleblower policy</w:t>
      </w:r>
    </w:p>
    <w:p>
      <w:pPr>
        <w:spacing w:after="80"/>
      </w:pPr>
      <w:r>
        <w:rPr>
          <w:rFonts w:ascii="Helvetica" w:hAnsi="Helvetica"/>
          <w:sz w:val="21"/>
        </w:rPr>
        <w:t>Cualquier miembro del equipo podra reportar violaciones de forma anonima y confidencial al Executive Chairman &amp; CIO o, en su ausencia, a cualquier miembro del Comite de Inversiones. DCE Holdings garantiza proteccion completa contra represalias.</w:t>
      </w:r>
    </w:p>
    <w:p>
      <w:pPr>
        <w:spacing w:before="160" w:after="80"/>
      </w:pPr>
      <w:r>
        <w:rPr>
          <w:rFonts w:ascii="Helvetica" w:hAnsi="Helvetica"/>
          <w:b/>
          <w:sz w:val="24"/>
        </w:rPr>
        <w:t>4.9  Seguridad operativa</w:t>
      </w:r>
    </w:p>
    <w:p>
      <w:pPr>
        <w:spacing w:before="120" w:after="40"/>
      </w:pPr>
      <w:r>
        <w:rPr>
          <w:rFonts w:ascii="Helvetica" w:hAnsi="Helvetica"/>
          <w:b/>
          <w:i w:val="0"/>
          <w:sz w:val="22"/>
        </w:rPr>
        <w:t>Accesos digitales</w:t>
      </w:r>
    </w:p>
    <w:p>
      <w:pPr>
        <w:spacing w:after="80"/>
      </w:pPr>
      <w:r>
        <w:rPr>
          <w:rFonts w:ascii="Helvetica" w:hAnsi="Helvetica"/>
          <w:sz w:val="21"/>
        </w:rPr>
        <w:t>Todas las plataformas requieren autenticacion de dos factores (2FA). El acceso se otorga con base en roles bajo el principio de privilegio minimo. Las contrasenas se rotan periodicamente y esta prohibido compartirlas. El administrador unico de accesos es el Executive Chairman &amp; CIO.</w:t>
      </w:r>
    </w:p>
    <w:p>
      <w:pPr>
        <w:spacing w:before="120" w:after="40"/>
      </w:pPr>
      <w:r>
        <w:rPr>
          <w:rFonts w:ascii="Helvetica" w:hAnsi="Helvetica"/>
          <w:b/>
          <w:i w:val="0"/>
          <w:sz w:val="22"/>
        </w:rPr>
        <w:t>Seguridad de cuentas financieras</w:t>
      </w:r>
    </w:p>
    <w:p>
      <w:pPr>
        <w:spacing w:after="80"/>
      </w:pPr>
      <w:r>
        <w:rPr>
          <w:rFonts w:ascii="Helvetica" w:hAnsi="Helvetica"/>
          <w:sz w:val="21"/>
        </w:rPr>
        <w:t>Los custodios y brokers operan con autenticacion reforzada y control estricto de movimientos. Las cuentas bancarias mantienen separacion entre cuentas operativas y de inversion. Los activos digitales se custodian exclusivamente en cold storage.</w:t>
      </w:r>
    </w:p>
    <w:p>
      <w:pPr>
        <w:spacing w:before="120" w:after="40"/>
      </w:pPr>
      <w:r>
        <w:rPr>
          <w:rFonts w:ascii="Helvetica" w:hAnsi="Helvetica"/>
          <w:b/>
          <w:i w:val="0"/>
          <w:sz w:val="22"/>
        </w:rPr>
        <w:t>Seguridad de dispositivos</w:t>
      </w:r>
    </w:p>
    <w:p>
      <w:pPr>
        <w:spacing w:after="80"/>
      </w:pPr>
      <w:r>
        <w:rPr>
          <w:rFonts w:ascii="Helvetica" w:hAnsi="Helvetica"/>
          <w:sz w:val="21"/>
        </w:rPr>
        <w:t>Todos los equipos deben estar cifrados y protegidos con contrasena segura. Se requiere red WiFi verificada y segura, backup institucional automatico en la nube, y esta prohibido almacenar datos sensibles en dispositivos no autorizados.</w:t>
      </w:r>
    </w:p>
    <w:p>
      <w:pPr>
        <w:spacing w:before="120" w:after="40"/>
      </w:pPr>
      <w:r>
        <w:rPr>
          <w:rFonts w:ascii="Helvetica" w:hAnsi="Helvetica"/>
          <w:b/>
          <w:i w:val="0"/>
          <w:sz w:val="22"/>
        </w:rPr>
        <w:t>Incident Response Plan</w:t>
      </w:r>
    </w:p>
    <w:p>
      <w:pPr>
        <w:spacing w:after="80"/>
      </w:pPr>
      <w:r>
        <w:rPr>
          <w:rFonts w:ascii="Helvetica" w:hAnsi="Helvetica"/>
          <w:sz w:val="21"/>
        </w:rPr>
        <w:t>En caso de incidente de seguridad, el protocolo es el siguiente: primero, bloquear los accesos comprometidos; segundo, notificar de inmediato al CIO; tercero, documentar el incidente (fecha, causa, impacto, correccion); cuarto, cambiar claves y revalidar accesos; quinto, verificar la integridad del Data Room y archivos criticos. Todo incidente debe registrarse formalmente.</w:t>
      </w:r>
    </w:p>
    <w:p>
      <w:pPr>
        <w:spacing w:before="240" w:after="120"/>
      </w:pPr>
      <w:r>
        <w:rPr>
          <w:rFonts w:ascii="Helvetica" w:hAnsi="Helvetica"/>
          <w:b/>
          <w:sz w:val="28"/>
        </w:rPr>
        <w:t>V  Marco institucional</w:t>
      </w:r>
    </w:p>
    <w:p>
      <w:pPr>
        <w:spacing w:before="160" w:after="80"/>
      </w:pPr>
      <w:r>
        <w:rPr>
          <w:rFonts w:ascii="Helvetica" w:hAnsi="Helvetica"/>
          <w:b/>
          <w:sz w:val="24"/>
        </w:rPr>
        <w:t>5.1  Relacion con otros documentos</w:t>
      </w:r>
    </w:p>
    <w:p>
      <w:pPr>
        <w:spacing w:after="80"/>
      </w:pPr>
      <w:r>
        <w:rPr>
          <w:rFonts w:ascii="Helvetica" w:hAnsi="Helvetica"/>
          <w:sz w:val="21"/>
        </w:rPr>
        <w:t>Este Operations Manual opera subordinado al siguiente marco normativo del proceso de inversion:</w:t>
      </w:r>
    </w:p>
    <w:p>
      <w:pPr>
        <w:spacing w:after="80"/>
      </w:pPr>
      <w:r>
        <w:rPr>
          <w:rFonts w:ascii="Helvetica" w:hAnsi="Helvetica"/>
          <w:sz w:val="21"/>
        </w:rPr>
        <w:t>Investment Charter &gt; Investment Policy Statement &gt; Operations Manual.</w:t>
      </w:r>
    </w:p>
    <w:p>
      <w:pPr>
        <w:spacing w:after="80"/>
      </w:pPr>
      <w:r>
        <w:rPr>
          <w:rFonts w:ascii="Helvetica" w:hAnsi="Helvetica"/>
          <w:sz w:val="21"/>
        </w:rPr>
        <w:t>Adicionalmente, el Governance &amp; Succession Framework regula la gobernanza, sucesion y continuidad del holding en su propio dominio. Las metricas, limites, bandas y criterios provienen exclusivamente del IPS. Este manual define la ejecucion operativa.</w:t>
      </w:r>
    </w:p>
    <w:p>
      <w:pPr>
        <w:spacing w:before="160" w:after="80"/>
      </w:pPr>
      <w:r>
        <w:rPr>
          <w:rFonts w:ascii="Helvetica" w:hAnsi="Helvetica"/>
          <w:b/>
          <w:sz w:val="24"/>
        </w:rPr>
        <w:t>5.2  Modificacion del Operations Manual</w:t>
      </w:r>
    </w:p>
    <w:p>
      <w:pPr>
        <w:spacing w:after="80"/>
      </w:pPr>
      <w:r>
        <w:rPr>
          <w:rFonts w:ascii="Helvetica" w:hAnsi="Helvetica"/>
          <w:sz w:val="21"/>
        </w:rPr>
        <w:t>Este manual solo podra ser actualizado por el Executive Chairman &amp; CIO. Toda version debera archivarse en el Data Room con numero de version y fecha.</w:t>
      </w:r>
    </w:p>
    <w:p>
      <w:pPr>
        <w:spacing w:before="120" w:after="40"/>
      </w:pPr>
      <w:r>
        <w:rPr>
          <w:rFonts w:ascii="Helvetica" w:hAnsi="Helvetica"/>
          <w:b/>
          <w:i w:val="0"/>
          <w:sz w:val="22"/>
        </w:rPr>
        <w:t>Registro de enmiendas</w:t>
      </w:r>
    </w:p>
    <w:p>
      <w:pPr>
        <w:spacing w:after="80"/>
      </w:pPr>
      <w:r>
        <w:rPr>
          <w:rFonts w:ascii="Helvetica" w:hAnsi="Helvetica"/>
          <w:sz w:val="21"/>
        </w:rPr>
        <w:t>v1.0 — Febrero 2026: Documento inaugural. Consolida los manuales operativos en un unico documento.</w:t>
      </w:r>
    </w:p>
    <w:p>
      <w:pPr>
        <w:spacing w:after="80"/>
      </w:pPr>
      <w:r>
        <w:rPr>
          <w:rFonts w:ascii="Helvetica" w:hAnsi="Helvetica"/>
          <w:sz w:val="21"/>
        </w:rPr>
        <w:t>v2.0 — Febrero 2026: Reorganizacion: cadencia operativa precede a roles (primero el proceso, despues quien lo ejecuta). Referencias actualizadas al IPS v6. Banco actualizado a Bancolombia Panama. SharePoint reemplazado por Data Room. Redundancias con Charter eliminadas. Mejora de redaccion institucional. Seccion introductoria de proposito y alcance incorporada.</w:t>
      </w:r>
    </w:p>
    <w:p>
      <w:pPr>
        <w:spacing w:after="80"/>
      </w:pPr>
      <w:r>
        <w:rPr>
          <w:rFonts w:ascii="Helvetica" w:hAnsi="Helvetica"/>
          <w:sz w:val="21"/>
        </w:rPr>
        <w:t>v3.0 — Febrero 2026: Flujo de tesis ampliado de 9 a 11 pasos: incorporacion de ajustes de posicion (Position Adjustment Memo) y cierre de posicion (Position Close Memo). Seccion 3.3: Position Close Memos y Position Adjustment Memos incorporados como documentos obligatorios bajo control. Seccion 3.4: naming convention actualizada con ejemplos para ambos memos. Referencias actualizadas al IPS v7.</w:t>
      </w:r>
    </w:p>
    <w:p>
      <w:pPr>
        <w:spacing w:after="80"/>
      </w:pPr>
      <w:r>
        <w:rPr>
          <w:rFonts w:ascii="Helvetica" w:hAnsi="Helvetica"/>
          <w:sz w:val="21"/>
        </w:rPr>
        <w:t>v3.1 — Mayo 2026: Alineacion del manual con la Fase 1 del DCE Operations System. Cambios: (1) §1.5 amplia el flujo de tesis de 11 a 13 pasos incorporando Thesis Breaker y Munger Digital como obligatorios entre memo v0 y revision CIO; (2) §2.4 explicita que el Munger Digital opera como filtro de conviccion ANTES del comite y que produce decision_inputs.json como puente al journal; (3) §3.3 incorpora Columbia Model, Thesis Breaker y Munger Digital a la lista de documentos materiales bajo control institucional; (4) §3.4 amplia los ejemplos de naming convention con 7 tipos nuevos.</w:t>
      </w:r>
    </w:p>
    <w:p>
      <w:pPr>
        <w:spacing w:after="80"/>
      </w:pPr>
      <w:r>
        <w:rPr>
          <w:rFonts w:ascii="Helvetica" w:hAnsi="Helvetica"/>
          <w:sz w:val="21"/>
        </w:rPr>
        <w:t>v3.2 — Mayo 2026: Consolidacion del proceso de inversion en la Fase 2 del DCE Operations System. Cambios: (1) §1.3 reemplaza Scorecard + IFS + Desconfirmacion por un unico Quarterly Re-Underwriting de 8 secciones por posicion, alineado al ciclo de 10-K/10-Q; (2) §1.4 absorbe el Pre-Mortem dentro del Investment Memo §10 y elimina el ejercicio independiente de pre-mortem; (3) §1.5 simplifica el flujo de tesis de 13 a 11 pasos; (4) §2.3 redefine el entregable trimestral del Analyst como borrador del Re-Underwriting; (5) §2.4 distingue obligatoriedad de Thesis Breaker y Munger Digital: obligatorios en primer analisis, a demanda en trimestrales; (6) §3.3 agrega Re-Underwriting y deprecia Scorecard/IFS/Desconfirmacion; (7) §3.4 reescribe la naming convention: '2026-Q1 - Re-Underwriting - Ticker (Nombre)'.</w:t>
      </w:r>
    </w:p>
    <w:p>
      <w:pPr>
        <w:spacing w:after="80"/>
      </w:pPr>
      <w:r>
        <w:rPr>
          <w:rFonts w:ascii="Helvetica" w:hAnsi="Helvetica"/>
          <w:sz w:val="21"/>
        </w:rPr>
        <w:t>v3.3 — Mayo 2026: Formalizacion del Decision Journal y de la decision FOLLOW como parte explicita del marco operativo. Cambios: (1) §1.5 explicita las cuatro decisiones del Comite de Inversiones (BUY / FOLLOW / PASS / SELL) con identico estandar documental, y describe la diferencia material entre PASS (descarte razonado) y FOLLOW (tesis valida pero sin ejecucion, en seguimiento activo); (2) §2.1 incorpora FOLLOW y PASS a las decisiones que el CIO toma en el comite, y agrega al Decision Journal como entregable obligatorio; (3) §2.4 formaliza la estructura de las cuatro decisiones del comite y la regla de no edicion del Journal (las enmiendas crean entradas vinculadas); (4) §3.1 y §3.3 incorporan el Decision Journal como proceso bajo control y como documento obligatorio bajo control institucional; (5) §3.4 introduce la subseccion Decision Journal con su definicion operativa, contenido minimo de cada entrada, source of truth en dceholdings.app/journal.html y regla de no edicion; (6) §4.5 amplia la prohibicion de trading personal para incluir explicitamente valores en FOLLOW; (7) §4.6 exige la decision BUY registrada en el Decision Journal como precondicion de ejecucion, junto al Investment Memo firmado.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