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b2642"/>
          </w:tcPr>
          <w:p>
            <w:pPr>
              <w:spacing w:before="720" w:after="7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DCE HOLDINGS</w:t>
            </w:r>
          </w:p>
        </w:tc>
      </w:tr>
    </w:tbl>
    <w:p>
      <w:pPr>
        <w:pBdr>
          <w:bottom w:val="single" w:sz="24" w:space="1" w:color="b88b47"/>
        </w:pBdr>
      </w:pPr>
    </w:p>
    <w:p>
      <w:pPr>
        <w:spacing w:after="360"/>
      </w:pPr>
    </w:p>
    <w:p>
      <w:pPr>
        <w:spacing w:after="160"/>
        <w:jc w:val="left"/>
      </w:pPr>
      <w:r>
        <w:rPr>
          <w:rFonts w:ascii="Calibri" w:hAnsi="Calibri"/>
          <w:b/>
          <w:i w:val="0"/>
          <w:color w:val="1B2642"/>
          <w:sz w:val="56"/>
        </w:rPr>
        <w:t>INFORME DE VALORACIÓN</w:t>
      </w:r>
    </w:p>
    <w:p>
      <w:pPr>
        <w:spacing w:after="480"/>
        <w:jc w:val="left"/>
      </w:pPr>
      <w:r>
        <w:rPr>
          <w:rFonts w:ascii="Calibri" w:hAnsi="Calibri"/>
          <w:b w:val="0"/>
          <w:i w:val="0"/>
          <w:color w:val="606060"/>
          <w:sz w:val="28"/>
        </w:rPr>
        <w:t>Uber Technologies, Inc. (NYSE: UBER)</w:t>
      </w:r>
    </w:p>
    <w:p>
      <w:pPr>
        <w:spacing w:after="60"/>
        <w:jc w:val="left"/>
      </w:pPr>
      <w:r>
        <w:rPr>
          <w:rFonts w:ascii="Calibri" w:hAnsi="Calibri"/>
          <w:b w:val="0"/>
          <w:i w:val="0"/>
          <w:color w:val="0D0D0D"/>
          <w:sz w:val="22"/>
        </w:rPr>
        <w:t>Fecha: Mayo 2026</w:t>
      </w:r>
    </w:p>
    <w:p>
      <w:pPr>
        <w:spacing w:after="60"/>
        <w:jc w:val="left"/>
      </w:pPr>
      <w:r>
        <w:rPr>
          <w:rFonts w:ascii="Calibri" w:hAnsi="Calibri"/>
          <w:b w:val="0"/>
          <w:i w:val="0"/>
          <w:color w:val="0D0D0D"/>
          <w:sz w:val="22"/>
        </w:rPr>
        <w:t>Analista: Equipo de Inversión DCE Holdings | Revisado por: CIO / DoR</w:t>
      </w:r>
    </w:p>
    <w:p>
      <w:pPr>
        <w:spacing w:after="60"/>
        <w:jc w:val="left"/>
      </w:pPr>
      <w:r>
        <w:rPr>
          <w:rFonts w:ascii="Calibri" w:hAnsi="Calibri"/>
          <w:b w:val="0"/>
          <w:i w:val="0"/>
          <w:color w:val="0D0D0D"/>
          <w:sz w:val="22"/>
        </w:rPr>
        <w:t>Marco: Columbia / Greenwald Quality-Value Framework v4.2.1</w:t>
      </w:r>
    </w:p>
    <w:p>
      <w:pPr>
        <w:spacing w:after="480"/>
        <w:jc w:val="left"/>
      </w:pPr>
      <w:r>
        <w:rPr>
          <w:rFonts w:ascii="Calibri" w:hAnsi="Calibri"/>
          <w:b w:val="0"/>
          <w:i w:val="0"/>
          <w:color w:val="0D0D0D"/>
          <w:sz w:val="22"/>
        </w:rPr>
        <w:t>Precio actual: $70.40 | Market Cap: $143.3B | EV: $141.0B</w:t>
      </w:r>
    </w:p>
    <w:p>
      <w:pPr>
        <w:spacing w:after="240"/>
        <w:jc w:val="left"/>
      </w:pPr>
      <w:r>
        <w:rPr>
          <w:rFonts w:ascii="Calibri" w:hAnsi="Calibri"/>
          <w:b w:val="0"/>
          <w:i/>
          <w:color w:val="606060"/>
          <w:sz w:val="20"/>
        </w:rPr>
        <w:t>Base case consensuado — Insumo para el proceso de investigación adversarial (Bull / Bear / CIO). Este documento NO contiene veredicto de inversión.</w:t>
      </w:r>
    </w:p>
    <w:p>
      <w:pPr>
        <w:spacing w:after="80"/>
      </w:pPr>
      <w:r>
        <w:rPr>
          <w:rFonts w:ascii="Calibri" w:hAnsi="Calibri"/>
          <w:b w:val="0"/>
          <w:i/>
          <w:color w:val="606060"/>
          <w:sz w:val="18"/>
        </w:rPr>
        <w:t>Confidencial — Solo para uso interno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Tabla de Contenidos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0. Ficha Resumen y Mapa de Valoración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1. Tesis de Inversión (sin veredicto)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2. Descripción del Negocio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3. Sector y Entorno Competitivo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4. Clientes y Unit Economics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5. Análisis Cualitativo — Moat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6. Análisis Financiero y Calidad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7. Valoración (EPV · RV · Implied IRR)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8. Amenaza del Vehículo Autónomo (AV)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9. Catalizadores 12–18 meses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10. Bear Case y Criterios de Venta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11. Registro de Riesgos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12. Decision Points y Métricas de Monitoreo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13. Bibliografía</w:t>
      </w:r>
    </w:p>
    <w:p>
      <w:pPr>
        <w:spacing w:after="60"/>
        <w:jc w:val="left"/>
      </w:pPr>
      <w:r>
        <w:rPr>
          <w:rFonts w:ascii="Calibri" w:hAnsi="Calibri"/>
          <w:b/>
          <w:i w:val="0"/>
          <w:color w:val="1B2642"/>
          <w:sz w:val="22"/>
        </w:rPr>
        <w:t>14. Auditoría y Reconciliación (auto-generada)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0. Ficha Resumen y Mapa de Valoración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0.1 Ficha Resumen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446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Ticker</w:t>
            </w:r>
          </w:p>
        </w:tc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UBER (NYSE)</w:t>
            </w:r>
          </w:p>
        </w:tc>
        <w:tc>
          <w:tcPr>
            <w:tcW w:type="dxa" w:w="44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Plataforma global de movilidad y entrega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Precio actual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$70.40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Mayo 2026; -25% desde máximo de ~$102</w:t>
            </w:r>
          </w:p>
        </w:tc>
      </w:tr>
      <w:tr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Market Cap</w:t>
            </w:r>
          </w:p>
        </w:tc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$143.3B</w:t>
            </w:r>
          </w:p>
        </w:tc>
        <w:tc>
          <w:tcPr>
            <w:tcW w:type="dxa" w:w="44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≈2.127M acciones diluidas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Enterprise Value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$141.0B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Posición de caja neta ~$2.2B</w:t>
            </w:r>
          </w:p>
        </w:tc>
      </w:tr>
      <w:tr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Revenue LTM (FY25)</w:t>
            </w:r>
          </w:p>
        </w:tc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$51,997M (+18.2% YoY)</w:t>
            </w:r>
          </w:p>
        </w:tc>
        <w:tc>
          <w:tcPr>
            <w:tcW w:type="dxa" w:w="44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Mobility 62% · Delivery 36% · Freight 2%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Operating Income LTM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$5,573M (10.7% margen)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Inflexión desde -44% en 2020</w:t>
            </w:r>
          </w:p>
        </w:tc>
      </w:tr>
      <w:tr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Net Income LTM</w:t>
            </w:r>
          </w:p>
        </w:tc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$10,055M (19.3% margen)</w:t>
            </w:r>
          </w:p>
        </w:tc>
        <w:tc>
          <w:tcPr>
            <w:tcW w:type="dxa" w:w="44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Inflado por release de DTA (~$4.35B)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EPS Diluido LTM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$4.73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GAAP — incluye DTA no recurrente</w:t>
            </w:r>
          </w:p>
        </w:tc>
      </w:tr>
      <w:tr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FCF LTM (FY25)</w:t>
            </w:r>
          </w:p>
        </w:tc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$9,760M (18.8% FCF margin)</w:t>
            </w:r>
          </w:p>
        </w:tc>
        <w:tc>
          <w:tcPr>
            <w:tcW w:type="dxa" w:w="44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Récord; modelo capex-light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P/E LTM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17.5x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Distorsionado por DTA release</w:t>
            </w:r>
          </w:p>
        </w:tc>
      </w:tr>
      <w:tr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ROIC (ajustado, 3-yr avg)</w:t>
            </w:r>
          </w:p>
        </w:tc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16.7%</w:t>
            </w:r>
          </w:p>
        </w:tc>
        <w:tc>
          <w:tcPr>
            <w:tcW w:type="dxa" w:w="44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DP#4: promedio 2023-25 (suaviza inflexión)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Dividend yield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0.0%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No paga dividendo; retorna vía recompras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0.2 Mapa de Valoración Greenwald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  <w:tc>
          <w:tcPr>
            <w:tcW w:type="dxa" w:w="244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por acción / ratio</w:t>
            </w:r>
          </w:p>
        </w:tc>
        <w:tc>
          <w:tcPr>
            <w:tcW w:type="dxa" w:w="432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Reproduction Value (RV)</w:t>
            </w:r>
          </w:p>
        </w:tc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$22.26</w:t>
            </w:r>
          </w:p>
        </w:tc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Suelo: costo de replicar los activos desde cero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Earnings Power Value (EPV)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$25.84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Floor teórico sin crecimiento (NOPAT/WACC)</w:t>
            </w:r>
          </w:p>
        </w:tc>
      </w:tr>
      <w:tr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Franchise Test (EPV/RV)</w:t>
            </w:r>
          </w:p>
        </w:tc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1.16x</w:t>
            </w:r>
          </w:p>
        </w:tc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&gt;1x confirma franquicia; moat existe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Precio actual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$70.40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2.7× EPV · 3.2× RV — el mercado paga crecimiento</w:t>
            </w:r>
          </w:p>
        </w:tc>
      </w:tr>
      <w:tr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RBV — retorno esperado (Base)</w:t>
            </w:r>
          </w:p>
        </w:tc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-7.1% IRR</w:t>
            </w:r>
          </w:p>
        </w:tc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Por debajo del hurdle de 12% (sin MoS)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La relación RV ($22.26) &lt; EPV ($25.84) &lt; Precio ($70.40) indica que el mercado paga por crecimiento futuro. El gap EPV−RV ($7,627M) cuantifica el valor de la franquicia. La inversión solo se justifica si el retorno esperado supera el hurdle rate con margen de seguridad suficiente — condición que NO se cumple a precio actual en ninguno de los tres escenarios de IRR.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1. Tesis de Inversión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1.1 Resumen ejecutivo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Uber Technologies es la plataforma de movilidad y entrega más grande del mundo, con $193.5B en Gross Bookings, 13.567 millones de viajes anuales y 202M de usuarios activos mensuales (MAPCs) al cierre de FY2025. La compañía ha completado una de las transformaciones más notables del sector tecnológico: de acumular pérdidas operativas masivas (-44% margen en 2020) a generar $9.76B de FCF en FY2025 con un margen operativo del 10.7%. Bajo disciplina estricta Columbia/Greenwald, la franquicia EXISTE — el EPV/RV de 1.16x y un ROIC ajustado del 16.7% frente a un WACC del 9.5% confirman un quality compounder. La pregunta no es si hay moat, sino si el precio actual de $70.40 ofrece retorno suficiente sobre el hurdle de 12%.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La asimetría riesgo-retorno está dominada por dos fuerzas opuestas: por un lado, la inflexión de márgenes y un programa de recompra de $20B autorizado (agosto 2025); por otro, la amenaza sistémica del vehículo autónomo (AV) liderada por Waymo y Tesla. El mercado descuenta hoy una disrupción significativa que comprime el múltiplo (~25x a ~14-18x EV/NOPAT).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1.2 La pregunta central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La variable crítica de la que depende toda la tesis es la NORMALIZACIÓN DEL MARGEN OPERATIVO. El modelo Columbia normaliza al 10.7% (margen FY2025), produciendo un NOPAT sostenible de $4,395M. A precio actual, ninguno de los tres escenarios de IRR clarea el hurdle de 12% (Bear -13.7%, Base -7.1%, Bull -0.8%). Sin embargo, el consenso de mercado implica una expansión a 13-15% de margen operativo hacia FY27-28, lo que cambiaría materialmente el NOPAT y, por tanto, el EPV.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Evidencia A FAVOR de mayor margen: take rate de Mobility +900bps 2020-25; Delivery de márgenes negativos a +4-5% EBITDA; advertising a run-rate de $2B+ (&gt;70% margen); ahorros de seguros en 2026; y la posibilidad de eliminar el costo del conductor (~55-60% del booking) en un mundo AV-aggregator. Evidencia EN CONTRA: regulación laboral (Massachusetts, Directiva UE), multi-homing que limita captividad, y un compromiso de $10B+ en flotas AV que podría re-ratear la empresa como capital-intensiva.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1.3 Conclusión preliminar — Declaración de Escalera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Esta es la TENSIÓN CENTRAL del base case: la franquicia es real (EPV&gt;RV, ROIC&gt;WACC) pero el precio ya descuenta una expansión de márgenes superior al 10.7% normalizado. El Bull Memo (Semana 2) defenderá la normalización de márgenes más alta; el Bear Memo defenderá la compresión por la amenaza AV. La resolución de este debate es competencia exclusiva del CIO.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Declaración de Escalera: La empresa se encuentra en Caso 4 (Ninguno): a precio de $70.40, ni el Reproduction Value ($22.26/acc), ni el EPV ($25.84/acc), ni el Franchise Value razonable superan el precio de mercado. El mercado paga por optionalidad de expansión de márgenes y crecimiento futuro que el modelo conservador no captura. SIN veredicto de inversión — decisión exclusiva del CIO.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2. Descripción del Negocio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2.1 Historia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Fundada en 2009, Uber redefinió el transporte urbano con un marketplace de dos lados que conecta conductores y pasajeros. Tras la era Kalanick (gobierno corporativo turbulento), Dara Khosrowshahi asumió como CEO en 2017 e inició una transformación: estabilización reputacional, escalamiento global de Uber Eats (hoy $80B+ en Gross Bookings), creación de Uber Freight, desinversión del desarrollo propio de AV (venta de ATG a Aurora en 2020) y disciplina de capital allocation. Uber alcanzó su primer ejercicio con beneficio neto GAAP positivo en 2023.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2.2 Productos y sustitutos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Portafolio: Mobility (rides), Delivery (Eats + grocery), Freight (logística B2B), Uber One (suscripción), y Advertising. Sustitutos: transporte público, vehículo propio, Lyft, DoorDash, actores locales (Bolt, InDriver). La movilidad es semi-discrecional; la suscripción Uber One y el ecosistema integrado reducen la propensión a sustituir.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2.3 Ventas por segmento (FY2025)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Segmento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Gross Bookings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Ingresos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Mix ingresos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Mobility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$107.1B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$32.2B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~62%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Delivery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$80.1B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$18.7B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~36%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Freight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$6.3B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$1.0B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~2%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Total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$193.5B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$52.0B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2.4 Ventas por geografía (TTM Q2 2025)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Región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Gross Bookings (trim.)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EE.UU. y Canadá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$25.1B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~52%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EMEA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$14.0B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~29%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Asia Pacífico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$5.3B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~11%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América Latina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$2.9B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~6%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2.5 Modelo de negocio y canales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Modelo marketplace asset-light: Uber no posee vehículos; captura un take rate sobre cada transacción (Mobility ~30.7%, Delivery ~18.9% al 2T25). Canal principal: app móvil (&gt;95% de la demanda). Distribución cruzada Rides↔Eats reduce el CAC marginal de Delivery casi a cero.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2.6 Cadena de valor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Etapas: adquisición de oferta (conductores/repartidores) → matching algorítmico y pricing dinámico → ejecución del viaje/entrega → pago y soporte. El valor se crea en el matching (densidad de red) y en los datos de más de 61.000 millones de viajes históricos. Dependencia clave: disponibilidad de oferta y marco regulatorio laboral.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2.7 Centralización operativa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Operación centralizada en tecnología, pricing, marca y R&amp;D (plataforma única global), con adaptación local en regulación, marketing y operaciones de oferta. Esta arquitectura permite apalancamiento operativo: los costos de plataforma se diluyen conforme escala el volumen.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2.8 Equipo directivo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Dara Khosrowshahi (CEO desde 2017, ex-Expedia 12 años) ha demostrado disciplina: cierre de Drizly (write-down ~$200M reconocido), terminación de Foodpanda Taiwán por obstáculos regulatorios, y monetización inteligente del stake en Aurora vía bonos exchangeables de $1.2B. CFO: Prashanth Mahendra-Rajah. CLO: Tony West.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2.9 Accionariado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2.9.1 Estructura de propiedad (institucional)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Accionista</w:t>
            </w:r>
          </w:p>
        </w:tc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acciones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The Vanguard Group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8.92%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BlackRock, Inc.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7.30%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Capital Research &amp; Management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7.09%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State Street Global Advisors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4.14%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Public Investment Fund (Arabia Saudita)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3.48%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FMR LLC (Fidelity)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2.47%</w:t>
            </w:r>
          </w:p>
        </w:tc>
      </w:tr>
    </w:tbl>
    <w:p>
      <w:pPr>
        <w:spacing w:after="40"/>
      </w:pP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2.9.2 Comportamiento de insiders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Propiedad de insiders del 8.83% sobre 2.13B acciones. Khosrowshahi posee ~983K acciones (~$80M en capital personal), creando alineación material. La compensación es predominantemente RSUs + opciones ligadas a performance.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2.9.3 Superinvestors / inversores de convicción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No se identifican posiciones significativas de fondos de convicción tipo Pershing Square. El registro está dominado por fondos indexados (79.43% del float institucional) y el PIF saudí como accionista estratégico de horizonte largo.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3. Sector y Entorno Competitivo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3.1 Definición del sector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GICS: Industrials / Transportation — Ground Transportation; subsector: ride-hailing y food delivery platforms. Niche: marketplaces de movilidad on-demand dual-sided. Fronteras de mercado: movilidad urbana, entrega de comida/grocery, y logística B2B.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3.2 Mercado direccionable (TAM)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El TAM combinado de movilidad personal + delivery + logística supera los $5-7 billones globales, con penetración de plataformas digitales aún &lt;5% del gasto total en transporte. Runway: expansión suburbana (creciendo al doble de la tasa urbana), nuevos verticales (grocery, advertising), y monetización de suscripción. Riesgo de saturación de frecuencia en usuarios urbanos maduros (6.1 viajes/usuario/mes, estable 7 trimestres).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3.3 Naturaleza del sector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Mixto: la movilidad es semi-cíclica (sensible a viajes de negocios/turismo y macro), mientras Delivery y suscripción muestran mayor resiliencia defensiva. La diversificación geográfica y de servicios amortigua la ciclicidad.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3.4 Ciclo de la industria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Fase de madurez temprana en mercados core (US/EMEA) con consolidación competitiva, y fase de crecimiento en LatAm/APAC. La industria AV está en fase pre-comercial/early-commercial.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3.5 Principales competidores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Competidor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Mercado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Posición de Uber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Lyft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US rideshare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70-75% vs 25-30% Lyft (dominante)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DoorDash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US food delivery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N.º 2 (~47% GTV) vs ~48% DoorDash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DiDi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China / LatAm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Accionista estratégico; no compiten en US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Bolt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Europa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Competencia regional de menor escala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Waymo / Tesla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Robotaxi (AV)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Socio (Waymo) y amenaza (Tesla)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3.6 Entorno competitivo (Porter)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Fuerza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Intensidad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Rivalidad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Lyft, DoorDash, locales; multi-homing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Nuevos entrantes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Baja-Media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Efectos de red y densidad como barrera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Poder de proveedores (conductores)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Media-Alta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Regulación laboral; bajo switching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Poder de clientes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Multi-homing pero Uber One genera inercia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Sustitutos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Transporte público, vehículo propio, AV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3.7 Factores macroeconómicos relevantes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 macro</w:t>
            </w:r>
          </w:p>
        </w:tc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Relevancia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Tasas de interés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Afectan valoración de growth tech y costo de capital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Inflación / costos laborales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Presión sobre incentivos y seguros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Empleo / gasto discrecional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Demanda de Mobility y Delivery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Regulación laboral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Riesgo sistémico de reclasificación de conductores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3.8 Métricas clave del sector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KPIs definitorios: Gross Bookings, take rate por segmento, MAPCs, viajes/usuario/mes, EBITDA ajustado por segmento, FCF conversion, y membresía de suscripción (Uber One: 50M al 1T26).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3.9 Tendencias estructurales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Tendencias FAVORABLES: digitalización del transporte, suscripción + advertising de alto margen, expansión suburbana. Tendencia DESFAVORABLE / disruptiva: vehículos autónomos (ver Sección 8), que pueden ser amenaza (winner-takes-all) o catalizador (aggregator sin costo de conductor).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3.10 Market share y evolución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Uber mantiene 70-75% del ridesharing US (estable/creciente vs Lyft), opera en 11.500+ ciudades, y en Delivery US ha cerrado la brecha con DoorDash (GOV de Eats ~$20.1B vs ~$21.3B de DoorDash en 4T24).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3.11 Causas históricas de fracaso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Patrón de fracaso del sector AV: GM cerró Cruise en dic. 2024 tras invertir &gt;$9B sin resultado comercial, evidenciando la enorme dificultad de escalar robotaxis. Lección: la integración vertical profunda y el capital intensivo no garantizan éxito; el modelo aggregator de Uber evita ese riesgo.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4. Clientes y Unit Economics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4.1 Perfil sociodemográfico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Base urbana y suburbana amplia: 202M MAPCs globales. Skew hacia poblaciones urbanas de ingreso medio-alto en mercados desarrollados; rápida adopción en LatAm/APAC. Uber One concentra a los usuarios de mayor valor.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4.2 Hábitos de consumo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Frecuencia estable en 6.1 viajes/usuario/mes (1T26) durante 7 trimestres. Los miembros Uber One gastan 3x más que no-miembros y representan &gt;50% de los Gross Bookings combinados.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4.3 Tribus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Segmentos: commuters urbanos, usuarios ocasionales/turismo, power users multi-servicio (Rides+Eats), y clientes Delivery-only. El ~20% que usa ambos servicios muestra 35% mayor retención y 3x el gasto.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4.4 Psicografía y dependencia del cliente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Motivación: conveniencia y ahorro de tiempo. Dependencia creciente vía Uber One y acumulación de historial. Test de dependencia: MEDIA — el multi-homing limita la captividad estructural, pero la suscripción crea inercia de permanencia.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4.5 Diferencias regionales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US/EMEA: madurez y poder de precios; LatAm: competencia intensa de bajo costo (InDriver); APAC: crecimiento vía partnerships. UK clasificó conductores como 'workers' (costo incremental &gt;$500M).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4.6 Grado de satisfacción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Retención elevada en miembros Uber One; el 'Price Lock Pass' ($2.99/mes) generó +6 viajes mensuales promedio. Crecimiento de membresía de 30M (fin 2024) a 50M (1T26) señala satisfacción y stickiness creciente.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4.7 Diversificación de clientes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Altísima diversificación: ningún cliente individual es material. Concentración por geografía (US&amp;CA ~52%) y por segmento (Mobility ~62% de ingresos) son los vectores de riesgo relevantes.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4.8 Costo de adquisición de clientes (CAC)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CAC estimado ~$65 por usuario activo (usado en Reproduction Value: ~130M MAUs × ~$65). La adquisición cruzada Rides↔Eats reduce el CAC marginal. S&amp;M cayó de ~40% de ingresos en picos a ~9-10% en 2025, evidenciando eficiencia creciente.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4.9 Two-Sided Market Test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SÍ aplica. Lados: (1) demanda — pasajeros/comensales; (2) oferta — conductores/repartidores; (3) merchants (Delivery) y anunciantes (Advertising). Subsidio cruzado: históricamente Uber subsidió la oferta (incentivos a conductores) para arrancar la densidad. Cross-side network effects fuertes (más conductores → menor espera → más demanda). Multi-homing: alto en ambos lados; switching cost bajo individualmente pero mitigado por Uber One.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4.10 CLTV / Unit Economics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Estimado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CAC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~$65 / usuario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Revenue / usuario (anual, aprox.)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~$257 ($52B / 202M MAPCs)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Margen de contribución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Mobility ~8% GB · Delivery ~4% GB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Vida útil promedio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Creciente vía Uber One (50M miembros)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Ratio CLTV/CAC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&gt;3x (saludable; mejorando con suscripción)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El ratio CLTV/CAC supera el umbral saludable de 3x y mejora con la migración a suscripción, que eleva frecuencia y vida útil mientras reduce el CAC marginal.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4.11 Scuttlebutt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Investigación de campo: foros y análisis independientes (Hated Moats, Wolf of Harcourt Street) confirman dominancia de cuota US y el flywheel cross-platform. Reporteros de Reuters documentaron esperas de Tesla Robotaxi &gt;25 min en &gt;25% de intentos (Austin/Dallas, abril 2026), validando el rezago de escala AV frente a la red híbrida de Uber.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5. Análisis Cualitativo — Moat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5.1 Ventaja competitiva (Framework Greenwald)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Fuente de ventaja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Calificación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Economías de escala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Fuerte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Densidad local de red; 11.500+ ciudades; dilución de costos fijos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Ventajas de demanda (captividad)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Uber One (50M); cross-platform; pero multi-homing alto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Ventajas de costo / suministro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Datos de 61B+ viajes; pricing algorítmico difícil de replicar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Evaluación: el moat se ESTÁ AMPLIANDO en el margen — la transición de plataforma transaccional a plataforma de suscripción (Uber One) y la acumulación de datos refuerzan la captividad. El spread ROIC−WACC sostenido (16.7% vs 9.5% = +7.2pp) confirma cuantitativamente la ventaja competitiva.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5.2 Barreras de entrada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Barreras duras: densidad de red local (un entrante necesita masa crítica simultánea de ambos lados), datos acumulados, marca, y capital. Barreras replicables: la tecnología base es replicable, pero la red y la densidad no lo son sin años de operación y subsidios masivos.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5.3 Compounder Matrix: Barreras × Tendencias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Clasificación: la empresa se ubica entre el Cuadrante 1 (Compounder: barreras fuertes + tendencias favorables) y el Cuadrante 2 (Franchise Maduro: barreras fuertes + tendencias mixtas por la amenaza AV). Las barreras son FUERTES (escala/red/datos, §5.1); las tendencias son MIXTAS — favorables en suscripción/advertising/expansión suburbana, pero con la disrupción AV como factor desfavorable potencial (§3.9, §8). Conclusión: Quality Compounder con optionalidad AV bidireccional.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5.4 Poder de fijación de precios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Evidencia fuerte: take rate de Mobility +900bps 2020-25 sin pérdida de conductores a escala; Price Lock Pass; advertising de alto margen. Limitación: regulación de surge y presión competitiva de Lyft en US impiden alzas unilaterales sostenidas.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5.5 Ejecución operativa y cultura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Track record fuerte post-2017: inflexión a rentabilidad GAAP (2023), disciplina de costos (S&amp;M de ~40% a ~10%), y corrección de errores (Drizly, Foodpanda). Cultura reorientada hacia rentabilidad y FCF tras la era de crecimiento a toda costa.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5.6 Plan de crecimiento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Estrategia declarada: profundizar Uber One y advertising, expandir AV como aggregator (objetivo 15 ciudades AV a fin 2026), y crecer en suburbios. Metas cuantificables: FCF $10-11B FY2026, recompras $8-9B/año bajo autorización de $20B.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5.7 Historia de cumplimiento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Patrón under-promise/over-deliver desde 2022: inflexión de EBITDA y FCF superando guidance consistentemente; aceleración de recompras de $1.25B (FY24) a $6.52B (FY25).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5.8 Compensación directiva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Estructura RSUs + opciones ligadas a performance. Propiedad directa del CEO (~983K acciones) alinea incentivos. Riesgo de empire building moderado: el compromiso de $10B en AV es el principal punto de vigilancia de capital allocation.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5.9 Taxonomía de Management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Clasificación: PORTFOLIO MANAGER (con rasgos de Superior Manager). Evidencia (3+): (1) capital allocation activo y disciplinado — cierre de Drizly, terminación de Foodpanda, monetización de Aurora vía bonos de $1.2B; (2) recompras oportunistas aceleradas ($6.52B FY25); (3) mejora estructural de ROIC (8%→22% 2023-25) y expansión de moat vía Uber One. La transformación de pérdidas a FCF récord bajo Khosrowshahi roza la categoría de Superior Manager.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5.10 Comunicación con inversores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Comunicación clara y consistente: reporting trimestral detallado por segmento, divulgación proactiva del impacto del DTA release, y guidance creíble. Patrón consistente de under-promise/over-deliver.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6. Análisis Financiero y Calidad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6.1 Estado de resultados (5yr + LTM)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($M)</w:t>
            </w:r>
          </w:p>
        </w:tc>
        <w:tc>
          <w:tcPr>
            <w:tcW w:type="dxa" w:w="16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2021</w:t>
            </w:r>
          </w:p>
        </w:tc>
        <w:tc>
          <w:tcPr>
            <w:tcW w:type="dxa" w:w="16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2022</w:t>
            </w:r>
          </w:p>
        </w:tc>
        <w:tc>
          <w:tcPr>
            <w:tcW w:type="dxa" w:w="16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2023</w:t>
            </w:r>
          </w:p>
        </w:tc>
        <w:tc>
          <w:tcPr>
            <w:tcW w:type="dxa" w:w="16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2024</w:t>
            </w:r>
          </w:p>
        </w:tc>
        <w:tc>
          <w:tcPr>
            <w:tcW w:type="dxa" w:w="16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2025</w:t>
            </w:r>
          </w:p>
        </w:tc>
      </w:tr>
      <w:tr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Revenue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17,455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31,877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37,281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43,978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51,997</w:t>
            </w:r>
          </w:p>
        </w:tc>
      </w:tr>
      <w:tr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Gross Profit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4,624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8,584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10,643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13,122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15,523</w:t>
            </w:r>
          </w:p>
        </w:tc>
      </w:tr>
      <w:tr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Operating Income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(3,824)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(1,832)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1,110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2,798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5,573</w:t>
            </w:r>
          </w:p>
        </w:tc>
      </w:tr>
      <w:tr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Op. Margin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-21.9%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-5.7%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3.0%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6.4%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10.7%</w:t>
            </w:r>
          </w:p>
        </w:tc>
      </w:tr>
      <w:tr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Net Income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(496)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(9,141)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1,887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9,856</w:t>
            </w:r>
          </w:p>
        </w:tc>
        <w:tc>
          <w:tcPr>
            <w:tcW w:type="dxa" w:w="16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10,055</w:t>
            </w:r>
          </w:p>
        </w:tc>
      </w:tr>
      <w:tr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Diluted EPS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(0.26)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(4.64)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0.87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4.56</w:t>
            </w:r>
          </w:p>
        </w:tc>
        <w:tc>
          <w:tcPr>
            <w:tcW w:type="dxa" w:w="1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4.73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Calidad de ingresos: recurrencia creciente vía Uber One; mezcla transaccional con componente contractual (suscripción + advertising). Apalancamiento operativo evidente: el margen operativo pasó de -21.9% (2021) a 10.7% (2025) con costos de plataforma diluidos por la escala. Nota: el Net Income FY24-25 está inflado por el release de DTA (no recurrente).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6.2 Balance (FY2025)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($M)</w:t>
            </w:r>
          </w:p>
        </w:tc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FY2025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Total Activos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50,000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Caja + ST Investments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11,700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Deuda total (LT+ST)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10,000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DTA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8,600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Equity Investments (Aurora/Didi/Joby/Grab)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7,000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Patrimonio total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25,000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Balance sólido con posición de caja neta (~$2.2B). El DTA de $8.6B se depleta hacia 2027-28. Las inversiones estratégicas (~$7B) constituyen valor no-operativo añadido en el bridge a equity.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6.3 Estado de flujo de efectivo (3yr)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($M)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FY2023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FY2024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FY2025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CFO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3,585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7,138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10,096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CapEx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(223)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(298)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(336)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Free Cash Flow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3,362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6,840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9,760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Recompras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0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(1,250)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(6,520)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Generación de FCF capex-light: CapEx &lt;1% de ingresos. El FCF creció de $3.4B (2023) a $9.76B (2025). Las recompras se aceleraron a $6.52B en FY2025; nueva autorización de $20B (agosto 2025).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6.4 Ratios clave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Ratio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FY2023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FY2024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FY2025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Gross Margin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28.5%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29.8%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29.9%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EBIT Margin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3.0%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6.4%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10.7%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ROE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7.5%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39.4%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40.2%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ROA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3.8%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19.7%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20.1%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FCF Margin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9.0%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15.6%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18.8%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Net Debt / EBITDA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1.8x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0.3x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-0.2x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6.5 Cálculo del ROIC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FY2023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FY2024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FY2025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3-yr avg</w:t>
            </w:r>
          </w:p>
        </w:tc>
      </w:tr>
      <w:tr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NOPAT (EBIT×(1-21%))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877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2,210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4,403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2,497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Invested Capital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19,500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21,000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22,000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20,833</w:t>
            </w:r>
          </w:p>
        </w:tc>
      </w:tr>
      <w:tr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ROIC contable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4.5%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10.5%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20.0%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11.7%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ROIC seleccionado (DP#4)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16.7%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DP#4: Se selecciona el ROIC promedio 3-años = 16.7% para suavizar la inflexión de profitabilidad 2023-25 (de 4.5% a 20.0%). Este 16.7% supera holgadamente el WACC de 9.5%, confirmando creación de valor (spread +7.2pp).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6.6 Crecimiento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Crecimiento orgánico: +18% de ingresos FY2025, impulsado por volumen (viajes +20%) y expansión de take rate. Componente inorgánico mínimo tras la disciplina de M&amp;A. El modelo asume un crecimiento orgánico normalizado conservador de 2% (DP#5: take-rate pricing + inflación).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6.7 Inversiones de capital y capital de trabajo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CapEx mínimo ($336M FY25; ~2.8% conversión sobre flujo operativo). Working capital favorable (cobros adelantados de pasajeros). El modelo es estructuralmente capex-light, lo que sostiene la alta conversión de FCF.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6.8 Historial de asignación de capital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Año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Recompras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Autorización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FY2023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$0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Primer año FCF positivo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FY2024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$1.25B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$7B (feb 2024)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FY2025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$6.52B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Uso acelerado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Ago 2025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$20B (nueva, mayor histórica)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DP#7: recompras sostenibles de $4B/año (promedio de $1.25B FY24 + $6.52B FY25). La aceleración señala confianza interna en la generación de caja y en que el precio está por debajo del valor intrínseco.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7. Valoración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7.1 Valoración cualitativa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La narrativa de mercado dominante es 'gran negocio, gran amenaza AV'. Evaluación: la narrativa es INCOMPLETA — captura correctamente la calidad del compounder pero sobre-pondera el escenario winner-takes-all AV (~20% probabilidad) e infra-pondera el escenario aggregator (~50%), donde la eliminación del costo del conductor expande márgenes. El precio descuenta una disrupción que el análisis de escenarios considera menos probable que el consenso.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7.2 Valoración relativa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Múltiplo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Uber (mayo 2026)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EV/EBITDA (TTM)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~31-35x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Distorsionado por margen en inflexión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EV/EBITDA (NTM)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~14x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Estimado forward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P/E GAAP fwd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~10-12x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Depurado de DTA release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FCF yield (FY25)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~6-7%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$9.76B FCF / ~$155B Mkt Cap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7.3 Valoración intrínseca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7.3.1 Reproduction Value (Asset Value)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Metodología Greenwald/Columbia (Pasos 1-7): ¿cuánto costaría a un competidor replicar los activos de Uber desde cero? Paso 1 (industria): los activos críticos de un marketplace son la base de usuarios, la tecnología/datos, la marca y las licencias. Paso 2-5 (asignación por categoría):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144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Libro ($M)</w:t>
            </w:r>
          </w:p>
        </w:tc>
        <w:tc>
          <w:tcPr>
            <w:tcW w:type="dxa" w:w="158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Reproduction ($M)</w:t>
            </w:r>
          </w:p>
        </w:tc>
        <w:tc>
          <w:tcPr>
            <w:tcW w:type="dxa" w:w="417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 / Justificación</w:t>
            </w:r>
          </w:p>
        </w:tc>
      </w:tr>
      <w:tr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Caja + ST Inv.</w:t>
            </w:r>
          </w:p>
        </w:tc>
        <w:tc>
          <w:tcPr>
            <w:tcW w:type="dxa" w:w="144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11,700</w:t>
            </w:r>
          </w:p>
        </w:tc>
        <w:tc>
          <w:tcPr>
            <w:tcW w:type="dxa" w:w="158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11,700</w:t>
            </w:r>
          </w:p>
        </w:tc>
        <w:tc>
          <w:tcPr>
            <w:tcW w:type="dxa" w:w="41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Líquidos al 100%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Cuentas por cobrar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3,900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3,700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Leve haircut por riesgo de crédito</w:t>
            </w:r>
          </w:p>
        </w:tc>
      </w:tr>
      <w:tr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PP&amp;E</w:t>
            </w:r>
          </w:p>
        </w:tc>
        <w:tc>
          <w:tcPr>
            <w:tcW w:type="dxa" w:w="144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2,100</w:t>
            </w:r>
          </w:p>
        </w:tc>
        <w:tc>
          <w:tcPr>
            <w:tcW w:type="dxa" w:w="158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2,500</w:t>
            </w:r>
          </w:p>
        </w:tc>
        <w:tc>
          <w:tcPr>
            <w:tcW w:type="dxa" w:w="41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Replacement cost (data centers, leasehold)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Otros / ROU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6,900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6,100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Reproducción parcial</w:t>
            </w:r>
          </w:p>
        </w:tc>
      </w:tr>
      <w:tr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Driver/Rider Network</w:t>
            </w:r>
          </w:p>
        </w:tc>
        <w:tc>
          <w:tcPr>
            <w:tcW w:type="dxa" w:w="144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8,400</w:t>
            </w:r>
          </w:p>
        </w:tc>
        <w:tc>
          <w:tcPr>
            <w:tcW w:type="dxa" w:w="41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CAC×MAUs (~130M × ~$65) · DP#9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Brand Value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3,600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Mktg $5.2B × 7y × 60% · DP#9</w:t>
            </w:r>
          </w:p>
        </w:tc>
      </w:tr>
      <w:tr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Technology Platform</w:t>
            </w:r>
          </w:p>
        </w:tc>
        <w:tc>
          <w:tcPr>
            <w:tcW w:type="dxa" w:w="144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9,453</w:t>
            </w:r>
          </w:p>
        </w:tc>
        <w:tc>
          <w:tcPr>
            <w:tcW w:type="dxa" w:w="41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R&amp;D capitalizado (PIM, 5y) · DP#9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City Licenses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1,500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Costo replica regulatoria · DP#9</w:t>
            </w:r>
          </w:p>
        </w:tc>
      </w:tr>
      <w:tr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S&amp;M Capitalizado</w:t>
            </w:r>
          </w:p>
        </w:tc>
        <w:tc>
          <w:tcPr>
            <w:tcW w:type="dxa" w:w="144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12,116</w:t>
            </w:r>
          </w:p>
        </w:tc>
        <w:tc>
          <w:tcPr>
            <w:tcW w:type="dxa" w:w="41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S&amp;M capitalizado (PIM, 4y) · DP#9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Goodwill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8,200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DP#9: 0% (se reconstruye cada componente)</w:t>
            </w:r>
          </w:p>
        </w:tc>
      </w:tr>
      <w:tr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Equity Investments</w:t>
            </w:r>
          </w:p>
        </w:tc>
        <w:tc>
          <w:tcPr>
            <w:tcW w:type="dxa" w:w="144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7,000</w:t>
            </w:r>
          </w:p>
        </w:tc>
        <w:tc>
          <w:tcPr>
            <w:tcW w:type="dxa" w:w="158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7,000</w:t>
            </w:r>
          </w:p>
        </w:tc>
        <w:tc>
          <w:tcPr>
            <w:tcW w:type="dxa" w:w="41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DP#10: fair value (Aurora/Didi/Joby/Grab)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DTA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8,600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6,020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DP#9/#15: 70% de $8.6B</w:t>
            </w:r>
          </w:p>
        </w:tc>
      </w:tr>
      <w:tr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GROSS REPRODUCTION VALUE</w:t>
            </w:r>
          </w:p>
        </w:tc>
        <w:tc>
          <w:tcPr>
            <w:tcW w:type="dxa" w:w="144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72,089</w:t>
            </w:r>
          </w:p>
        </w:tc>
        <w:tc>
          <w:tcPr>
            <w:tcW w:type="dxa" w:w="41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Suma de activos a reproduction cost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(−) Pasivos totales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(24,750)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 100% (contractuales)</w:t>
            </w:r>
          </w:p>
        </w:tc>
      </w:tr>
      <w:tr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NET REPRODUCTION VALUE</w:t>
            </w:r>
          </w:p>
        </w:tc>
        <w:tc>
          <w:tcPr>
            <w:tcW w:type="dxa" w:w="144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47,339</w:t>
            </w:r>
          </w:p>
        </w:tc>
        <w:tc>
          <w:tcPr>
            <w:tcW w:type="dxa" w:w="41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= RV de equity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RV por acción (÷2,127M)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$22.26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Suelo de valoración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 w:val="0"/>
          <w:i/>
          <w:color w:val="606060"/>
          <w:sz w:val="18"/>
        </w:rPr>
        <w:t>Nota de limitación: el Reproduction Value no captura el time-to-build. Incluso con capital ilimitado, replicar la red de densidad local de Uber tomaría años, lo que tiene valor económico real. Por ello, el RV de $47,339M es un estimado CONSERVADOR del valor de los activos.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7.3.2 EPV — Earnings Power Value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EPV = NOPAT sostenible ÷ WACC, sin crecimiento. NOPAT sostenible = Revenue FY25 ($51,997M) × margen operativo normalizado (10.7%) × (1 − tasa 21%) = $4,395M. WACC = 9.5% (Rf 4.3% + Beta 1.30 × ERP 5.5% = Ke 11.45%; Kd 5.0%).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EPV</w:t>
            </w:r>
          </w:p>
        </w:tc>
        <w:tc>
          <w:tcPr>
            <w:tcW w:type="dxa" w:w="482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NOPAT sostenible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$4,395M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WACC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9.5%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EPV de Operaciones (NOPAT/WACC)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$46,266M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(+) Caja + ST Investments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$11,700M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(−) Deuda total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($10,000M)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(+) Equity Investments (no-op)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$7,000M</w:t>
            </w:r>
          </w:p>
        </w:tc>
      </w:tr>
      <w:tr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EPV — Equity Value</w:t>
            </w:r>
          </w:p>
        </w:tc>
        <w:tc>
          <w:tcPr>
            <w:tcW w:type="dxa" w:w="482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$54,966M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EPV por acción (÷2,127M)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$25.84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Margen de seguridad EPV-based: (EPV − Precio)/EPV = ($25.84 − $70.40)/$25.84 = -172%. El precio cotiza a 2.7× el EPV por acción. Sensibilidad: cada +1pp de margen operativo normalizado eleva el NOPAT ~$520M y el EPV de operaciones ~$5,470M (~$2.57/acción), ilustrando por qué la expansión de márgenes que implica el consenso (13-15%) cambiaría materialmente el resultado.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7.3.3 Franchise Test (EPV/RV)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EPV/RV = $54,966M / $47,339M = 1.16x. Al ser &gt;1.0x, CONFIRMA que la franquicia genera valor superior al costo de replicar sus activos. El gap EPV−RV de $7,627M cuantifica el valor de la franquicia. Conjuntamente con el spread ROIC−WACC (+7.2pp), confirma un moat económico real.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7.3.4 θ_firm (Theta de la Firma)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θ_firm = ROIC × (1 − Reinvestment Rate). Verifica que el exceso de retorno se traduce en valor para el accionista tras reinversión. Con un modelo capex-light, la tasa de reinversión es baja, por lo que θ_firm permanece elevado: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Año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ROIC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Reinv. Rate (aprox.)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θ_firm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vs WACC 9.5%</w:t>
            </w:r>
          </w:p>
        </w:tc>
      </w:tr>
      <w:tr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FY2023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4.5%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~25%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3.4%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Por debajo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FY2024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10.5%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~20%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8.4%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≈ WACC</w:t>
            </w:r>
          </w:p>
        </w:tc>
      </w:tr>
      <w:tr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FY2025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20.0%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~15%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17.0%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Por encima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3-yr (seleccionado)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16.7%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~18%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13.7%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Por encima (+4.2pp)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θ_firm seleccionado (13.7%) &gt; WACC (9.5%) de forma sostenida en el período de normalización, complementando el Franchise Test: el exceso de retorno se traduce en distribución (recompras) y crecimiento de valor, no es absorbido por la reinversión.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7.3.5 Implied IRR — descomposición por componente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Horizonte 5 años, precio de entrada $70.40, NOPAT año 0 $4,395M, salida a EV/NOPAT (DP#16: base 18x). Recompras DP#7. Descomposición por escenario: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Bear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Bull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Crecimiento orgánico (DP#5)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Múltiplo de salida EV/NOPAT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14x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18x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22x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Recompras anuales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$2B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$4B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$5B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Precio de salida implícito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$33.69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$48.59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$67.64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Implied IRR (CAGR)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-13.7%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-7.1%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-0.8%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¿Supera hurdle 12%?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FALLA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FALLA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FALLA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Lectura crítica (directiva CIO Opción A): NINGUNO de los tres escenarios clarea el hurdle de 12% a precio actual de $70.40. El IRR negativo refleja que el precio de salida implícito (incluso en Bull, $67.64) queda por debajo del precio de entrada bajo el NOPAT normalizado conservador. La razón es que el mercado está pricing una expansión de margen operativo muy superior al 10.7% normalizado actual (consenso implica 13-15% hacia FY27-28). Este disconnect es la TENSIÓN CENTRAL del base case.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1B2642"/>
          <w:sz w:val="22"/>
        </w:rPr>
        <w:t>7.3.6 Escenario pesimista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Bear case (1% crecimiento, 14x salida): precio implícito $33.69, IRR -13.7%. Downside de ~52% desde $70.40 si se materializa la compresión severa de múltiplo + bajo crecimiento. La asimetría a precio actual es desfavorable bajo disciplina estricta: el upside Bull (-0.8% IRR) no compensa el downside Bear, salvo que la normalización de márgenes sea materialmente más alta.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7.4 Declaración de Escalera (OBLIGATORIO)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0D0D0D"/>
          <w:sz w:val="22"/>
        </w:rPr>
        <w:t>Declaración de Escalera: La empresa se encuentra en Caso 4 (Ninguno). A precio de $70.40, ni el Reproduction Value ($22.26/acc), ni el EPV ($25.84/acc), ni un Franchise Value razonable bajo el NOPAT normalizado conservador superan el precio de mercado. El mercado paga por optionalidad (expansión de márgenes AV-aggregator, advertising, suscripción) y crecimiento que el modelo conservador no captura. Esto eleva el threshold de convicción requerido y hace que el debate Bull/Bear sobre la NORMALIZACIÓN DE MÁRGENES sea el eje decisivo. SIN veredicto — competencia exclusiva del CIO.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8. Amenaza del Vehículo Autónomo (AV)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8.1 Estado de Waymo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Waymo (Alphabet) es el líder indiscutido del robotaxi comercial: &gt;14M viajes en 2025 (3x YoY), 250.000+ viajes semanales de pago, &gt;20M acumulados, y reducción de accidentes graves &gt;10x vs humanos. Ciudades: SF, LA, Phoenix, Austin (exclusivo en Uber) y Atlanta (en Uber). Plan 2026: 20+ ciudades adicionales (incl. Tokio y Londres). En Austin, Waymo opera SOLO a través de Uber.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8.2 Tesla Robotaxi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Lanzado en Austin (jun 2025), resultados decepcionantes a escala: ~50 vehículos vs ~250 de Waymo (5x), esperas &gt;15 min en 50% de casos, 27% de intentos sin disponibilidad. Reuters documentó esperas &gt;25 min en &gt;25% de intentos (abril 2026). Wedbush: amenaza estructural en horizonte 5-10 años, impacto a corto plazo mínimo (PT $75, Neutral). Potencial de escala vía ~2M de vehículos Model 3/Y, pero requiere validación regulatoria multi-estado aún inexistente.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8.3 Cruise: la desaparición del tercer actor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GM cerró Cruise (dic 2024) tras invertir &gt;$9B sin resultado comercial. Microsoft escribió down $800M (-40%). Consolida el campo a Waymo y Tesla, y evidencia la dificultad de escalar AV sin integración vertical profunda.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8.4 Estrategia AV de Uber: aggregator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Uber abandonó el desarrollo propio (venta de ATG a Aurora, 2020) y construyó una estrategia de plataforma agregadora: (A) stake ~20% en Aurora (monetizado vía bonos exchangeables de $1.2B); (B) Uber Autonomous Solutions (feb 2026) con 30+ socios AV — Waymo, Volkswagen, Nuro-Lucid, WeRide, Avride, Wayve, NVIDIA; compromiso de $10B+ (objetivo 15 ciudades AV a fin 2026); (C) datos de 61B+ viajes como diferencial. La red híbrida entrega ~30% más viajes/vehículo/día que despliegues AV standalone.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8.5 Análisis de escenarios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Escenario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en Uber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Aggregator sobrevive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~50%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POSITIVO: elimina costo de conductor → expansión de margen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Winner-takes-all AV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~20%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DESTRUCTIVO: erosión de Mobility US (&gt;$30B)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Modelo híbrido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~30%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NEUTRO-POSITIVO: Uber mantiene valor de plataforma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Bernstein (feb 2026): incluso con disrupción total de Mobility US en 15 años, la acción vale $65-70; PT $115, Outperform. En un mundo AV-aggregator, el margen EBITDA podría superar 25-30% vs 16-17% actual — exactamente la expansión de márgenes que el precio de mercado parece descontar y que el modelo conservador no asume.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9. Catalizadores 12–18 meses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9.1 Catalizadores fundamentales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Catalizador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Probabilidad</w:t>
            </w:r>
          </w:p>
        </w:tc>
        <w:tc>
          <w:tcPr>
            <w:tcW w:type="dxa" w:w="321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/ Horizonte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Expansión Waymo-on-Uber a nuevas ciudades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Positivo: valida aggregator (2026)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Fallo favorable Massachusetts (o ballot)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Positivo: elimina riesgo laboral clave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Tesla Robotaxi sigue subescalado (jun 2026)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Media-Alta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Positivo: reduce prima de riesgo AV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Aceleración de recompras ($20B)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Positivo técnico: reduce float, sube FCF/acc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Uber One 60M + Advertising $2.5B run-rate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Positivo: mejora calidad de ingresos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Lanzamiento VW-Uber en Los Ángeles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Positivo: valida modelo multi-partner</w:t>
            </w:r>
          </w:p>
        </w:tc>
      </w:tr>
      <w:tr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Resolución FTC (Uber One)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321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Positivo si favorable: elimina incertidumbre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9.2 Catalizadores de mercado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Re-rating del múltiplo si el mercado reduce la prima de riesgo AV (de ~14x a ~18-20x EV/NOPAT NTM). Flujos sectoriales hacia tech rentable con FCF. Corrección del descuento del -25% desde máximos si los hitos de escala AV decepcionan a los bajistas.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10. Bear Case y Criterios de Venta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10.1 Pilares del Bear Case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Pilar 1 (AV): Waymo escala app propia (1-2M viajes/semana vs 250K) y Tesla masifica → ambos generan demanda propia y prescinden de Uber, erosionando Mobility US (&gt;$30B). Pilar 2 (Regulatorio): Massachusetts y la Directiva UE elevan el costo laboral $2-4B/año si reclasifican conductores como empleados. Pilar 3 (Capital allocation): el compromiso de $10B en flotas AV cuestiona el modelo asset-light; si los AV no escalan (cf. Cruise), el mercado re-ratea a múltiplo industrial (8-10x vs 20-30x EBITDA).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10.2 Criterios de venta — Deterioro del moat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Señales: caída sostenida de cuota US &lt;65%; pérdida de exclusividad AV en ciudades clave; descenso de membresía Uber One; compresión del take rate de Mobility por debajo del 28%.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10.3 Criterios de venta — Deterioro financiero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Señales: ROIC cae por debajo del WACC (9.5%) de forma sostenida (umbral por debajo del ROIC actual de 16.7%); margen operativo se contrae por debajo del 8%; FCF margin &lt;12%; o reversión a quema de caja.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10.4 Criterios de venta — Deterioro de management y precio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Deterioro de management: salida de Khosrowshahi, M&amp;A irracional capital-intensivo, o abandono de la disciplina de recompras. Criterio de precio: el RBV ya está por debajo del hurdle de 12% en los tres escenarios — un múltiplo excesivo (&gt;25x EV/NOPAT sin soporte de expansión de márgenes) sería criterio de no acumulación / venta parcial.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11. Registro de Riesgos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11.1 Principales riesgos (Top 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Riesgo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Probabilidad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Mitigante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1. Escalamiento AV disruptivo (Waymo/Tesla)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Media-Alta (5-10a)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Partnerships exclusivos; ventaja de demanda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2. Reclasificación laboral (MA/UE/CA)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Prop 22 CA confirmado; victorias legales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3. Re-rating a múltiplo industrial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FCF sólido; modelo híbrido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4. Desaceleración macro severa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Diversificación; Uber One protege frecuencia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5. Antitrust / FTC (Uber One)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Baja-Media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 (activo)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Ajustes de prácticas; multas manejables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11.2 Mapa de riesgos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Riesgo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Probabilidad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93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¿Mitigable?</w:t>
            </w:r>
          </w:p>
        </w:tc>
      </w:tr>
      <w:tr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AV disruptivo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Media-Alta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Muy Alto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Crítica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Parcial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Reclasificación laboral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Alto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Parcial</w:t>
            </w:r>
          </w:p>
        </w:tc>
      </w:tr>
      <w:tr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Re-rating múltiplo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Medio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Sí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Macro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Medio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Media</w:t>
            </w:r>
          </w:p>
        </w:tc>
        <w:tc>
          <w:tcPr>
            <w:tcW w:type="dxa" w:w="19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Parcial</w:t>
            </w:r>
          </w:p>
        </w:tc>
      </w:tr>
      <w:tr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FTC / antitrust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Alta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Bajo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Baja</w:t>
            </w:r>
          </w:p>
        </w:tc>
        <w:tc>
          <w:tcPr>
            <w:tcW w:type="dxa" w:w="193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Sí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11.3 Escenario pesimista cuantificado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Cruce con §7.3.5/§7.3.6: el escenario Bear (1% crecimiento, 14x salida) implica un precio de $33.69 (-52% desde $70.40) e IRR de -13.7%. La asimetría riesgo-retorno a precio actual es desfavorable bajo disciplina estricta, salvo que la normalización de márgenes sea materialmente superior al 10.7%.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12. Decision Points y Métricas de Monitoreo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12.1 Tabla de Decision Points (9)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Decision Point</w:t>
            </w:r>
          </w:p>
        </w:tc>
        <w:tc>
          <w:tcPr>
            <w:tcW w:type="dxa" w:w="172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374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5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1</w:t>
            </w:r>
          </w:p>
        </w:tc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Normalized Tax Rate</w:t>
            </w:r>
          </w:p>
        </w:tc>
        <w:tc>
          <w:tcPr>
            <w:tcW w:type="dxa" w:w="172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21%</w:t>
            </w:r>
          </w:p>
        </w:tc>
        <w:tc>
          <w:tcPr>
            <w:tcW w:type="dxa" w:w="374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Estatutario; DTAs se depletan ~2027-28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S&amp;M Useful Life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 años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Marketplace dual-sided</w:t>
            </w:r>
          </w:p>
        </w:tc>
      </w:tr>
      <w:tr>
        <w:tc>
          <w:tcPr>
            <w:tcW w:type="dxa" w:w="5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3</w:t>
            </w:r>
          </w:p>
        </w:tc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R&amp;D Useful Life</w:t>
            </w:r>
          </w:p>
        </w:tc>
        <w:tc>
          <w:tcPr>
            <w:tcW w:type="dxa" w:w="172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5 años</w:t>
            </w:r>
          </w:p>
        </w:tc>
        <w:tc>
          <w:tcPr>
            <w:tcW w:type="dxa" w:w="374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Plataforma tech madura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4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Selected ROIC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16.7% (3-yr avg)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Suaviza inflexión 2023-25</w:t>
            </w:r>
          </w:p>
        </w:tc>
      </w:tr>
      <w:tr>
        <w:tc>
          <w:tcPr>
            <w:tcW w:type="dxa" w:w="5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5</w:t>
            </w:r>
          </w:p>
        </w:tc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Organic Growth Rate</w:t>
            </w:r>
          </w:p>
        </w:tc>
        <w:tc>
          <w:tcPr>
            <w:tcW w:type="dxa" w:w="172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2%</w:t>
            </w:r>
          </w:p>
        </w:tc>
        <w:tc>
          <w:tcPr>
            <w:tcW w:type="dxa" w:w="374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Take-rate pricing + inflación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6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WACC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9.5%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Rf 4.3% + β1.30 × ERP 5.5%; Kd 5.0%</w:t>
            </w:r>
          </w:p>
        </w:tc>
      </w:tr>
      <w:tr>
        <w:tc>
          <w:tcPr>
            <w:tcW w:type="dxa" w:w="5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7</w:t>
            </w:r>
          </w:p>
        </w:tc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Sustainable Buybacks</w:t>
            </w:r>
          </w:p>
        </w:tc>
        <w:tc>
          <w:tcPr>
            <w:tcW w:type="dxa" w:w="172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$4B/año</w:t>
            </w:r>
          </w:p>
        </w:tc>
        <w:tc>
          <w:tcPr>
            <w:tcW w:type="dxa" w:w="374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Avg $1.25B FY24 + $6.52B FY25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8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Hurdle Rate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12%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DCE estándar quality compounder</w:t>
            </w:r>
          </w:p>
        </w:tc>
      </w:tr>
      <w:tr>
        <w:tc>
          <w:tcPr>
            <w:tcW w:type="dxa" w:w="5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9</w:t>
            </w:r>
          </w:p>
        </w:tc>
        <w:tc>
          <w:tcPr>
            <w:tcW w:type="dxa" w:w="244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Reproduction Value method</w:t>
            </w:r>
          </w:p>
        </w:tc>
        <w:tc>
          <w:tcPr>
            <w:tcW w:type="dxa" w:w="172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Por categoría</w:t>
            </w:r>
          </w:p>
        </w:tc>
        <w:tc>
          <w:tcPr>
            <w:tcW w:type="dxa" w:w="374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Goodwill 0% · CAC×MAUs · Brand 7y×60% · R&amp;D cap · Licencias · DTA 70%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12.2 Métricas de monitoreo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Dato actual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Dirección esperada</w:t>
            </w:r>
          </w:p>
        </w:tc>
        <w:tc>
          <w:tcPr>
            <w:tcW w:type="dxa" w:w="24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Señal de alerta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Take rate Mobility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30.7%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Estable / creciente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&lt;28%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Margen operativo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10.7%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Expansión a 13-15%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&lt;8%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FCF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$9.76B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Creciente ($10-11B FY26)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&lt;$8B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Cuota US ridesharing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70-75%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Estable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&lt;65%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Miembros Uber One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50M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Creciente (60M+)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Estancamiento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ROIC ajustado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16.7%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≥ WACC sostenido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&lt;9.5%</w:t>
            </w:r>
          </w:p>
        </w:tc>
      </w:tr>
      <w:tr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Waymo viajes/semana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250K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Crecimiento controlado</w:t>
            </w:r>
          </w:p>
        </w:tc>
        <w:tc>
          <w:tcPr>
            <w:tcW w:type="dxa" w:w="24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App propia &gt;1M/sem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 w:val="0"/>
          <w:i/>
          <w:color w:val="606060"/>
          <w:sz w:val="18"/>
        </w:rPr>
        <w:t>Las métricas de monitoreo alimentan el Scorecard trimestral y el sistema de semáforos del IPS §4.7. Cualquier métrica en señal de alerta debe escalarse al CIO conforme al Operations Manual.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13. Bibliografía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1. Uber Q4 &amp; FY2025 Earnings — SEC EDGAR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https://www.sec.gov/Archives/edgar/data/1543151/000154315126000011/uberq425earningspressrelea.htm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2. Uber Q4 &amp; FY2025 — Investor Relations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https://investor.uber.com/news-events/news/press-release-details/2026/Uber-Announces-Results-for-Fourth-Quarter-and-Full-Year-2025/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3. Uber Q2 2025 — Investor Relations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https://investor.uber.com/news-events/news/press-release-details/2025/Uber-Announces-Results-for-Second-Quarter-2025/default.aspx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4. Uber FY2024 — Investor Relations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https://investor.uber.com/news-events/news/press-release-details/2025/Uber-Announces-Results-for-Fourth-Quarter-and-Full-Year-2024/default.aspx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5. Uber Take Rate por Segmento — StockAnalysis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https://stockanalysis.com/stocks/uber/metrics/take-rate-by-segment/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6. Uber Revenue por Geografía — StockAnalysis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https://stockanalysis.com/stocks/uber/metrics/revenue-by-geography/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7. Waymo on Uber — Página oficial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https://waymo.com/waymo-on-uber/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8. Waymo Year in Review 2025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https://waymo.com/blog/2025/12/2025-year-in-review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9. Tesla Robotaxi Austin — TheStreet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https://www.thestreet.com/automotive/tesla-still-has-robotaxi-wait-time-issues-in-austin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10. Wedbush — Tesla Robotaxi threat to Uber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https://www.roic.ai/news/teslas-robotaxi-launch-poses-long-term-threat-to-uber-says-wedbush-05-29-2025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11. Bernstein — Outperform Uber vs AV fears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https://www.investing.com/news/analyst-ratings/bernstein-reiterates-outperform-rating-on-uber-stock-amid-av-concerns-93CH-4481676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12. Uber Autonomous Solutions — Investor Relations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https://investor.uber.com/news-events/news/press-release-details/2026/Uber-Unveils-Uber-Autonomous-Solutions-to-Accelerate-Autonomous-Mobility--Delivery-Worldwide/default.aspx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13. GM Pulls Plug on Cruise — Road to Autonomy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https://www.roadtoautonomy.com/gm-pulls-plug-cruise/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14. Uber Aurora Bond Deal — Transport Topics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https://www.ttnews.com/articles/uber-aurora-rare-bond-deal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15. MarketBeat — UBER Analyst Forecast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https://www.marketbeat.com/stocks/NYSE/UBER/forecast/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16. Investing.com — UBER Institutional Ownership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https://www.investing.com/equities/uber-technologies-inc-ownership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17. Reuters — Uber $20B Buyback + Uber One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https://www.reuters.com/business/autos-transportation/uber-bets-loyalty-program-drive-growth-unveils-20-billion-buyback-plan-2025-08-06/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18. Hated Moats — Uber Deep Dive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https://hatedmoats.substack.com/p/uber-technologies-deep-dive-analysis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19. CalMatters — Prop 22 Ruling California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https://calmatters.org/economy/2024/07/prop-22-california-gig-work-law-upheld/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20. EDPB — Multa €290M Uber GDPR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https://www.edpb.europa.eu/news/news/2024/dutch-sa-imposes-fine-290-million-euro-uber-because-transfers-drivers-data-us_en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21. TIKR — Uber $10B AV Commitment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https://www.tikr.com/blog/uber-has-fallen-25-from-its-high-its-10-billion-robotaxi-bet-could-change-that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22. Wolf of Harcourt Street — Q1 2026 Uber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https://www.thewolfofharcourtstreet.com/p/uber-50-million-members-and-record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23. FTC vs. Uber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https://www.ftc.gov/legal-library/browse/cases-proceedings/2423092-uber-ftc-v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24. WBUR — Massachusetts driver classification trial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https://www.wbur.org/news/2024/05/13/uber-lyft-trial-independent-contractors-employees</w:t>
      </w:r>
    </w:p>
    <w:p>
      <w:pPr>
        <w:spacing w:after="60"/>
      </w:pPr>
      <w:r>
        <w:rPr>
          <w:rFonts w:ascii="Calibri" w:hAnsi="Calibri"/>
          <w:b w:val="0"/>
          <w:i w:val="0"/>
          <w:color w:val="0D0D0D"/>
          <w:sz w:val="20"/>
        </w:rPr>
        <w:t xml:space="preserve">25. ValueInvesting.io — EV/EBITDA history — </w:t>
      </w:r>
      <w:r>
        <w:rPr>
          <w:rFonts w:ascii="Calibri" w:hAnsi="Calibri"/>
          <w:b w:val="0"/>
          <w:i w:val="0"/>
          <w:color w:val="1B2642"/>
          <w:sz w:val="18"/>
          <w:u w:val="single"/>
        </w:rPr>
        <w:t>https://valueinvesting.io/UBER/valuation/ev_ebitda-multiples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B2642"/>
          <w:sz w:val="32"/>
        </w:rPr>
        <w:t>14. Auditoría y Reconciliación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14.1 Resumen de Auditoría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D0D0D"/>
          <w:sz w:val="22"/>
        </w:rPr>
        <w:t>Verdicto: ✅ PASS. Auditado por skill company-brief v2.0. Timestamp (Europe/Madrid): 2026-05-30T09:51:42+02:00. Excel SHA256: 66a7b08ae224f4f7…. Cero discrepancias FAIL en los cinco grupos; 1 warning(s) no bloqueante(s) documentado(s).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14.2 Reconciliación Numérica (Grupo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312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230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Excel</w:t>
            </w:r>
          </w:p>
        </w:tc>
        <w:tc>
          <w:tcPr>
            <w:tcW w:type="dxa" w:w="230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Brief</w:t>
            </w:r>
          </w:p>
        </w:tc>
        <w:tc>
          <w:tcPr>
            <w:tcW w:type="dxa" w:w="86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Match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Revenue LTM (FY25)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$51,997M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$51,997M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Operating Income LTM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$5,573M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$5,573M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Operating Margin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10.7%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10.7%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Net Income LTM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$10,055M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$10,055M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EPS Diluido LTM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$4.73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$4.73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FCF LTM (FY25)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$9,760M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$9,760M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Market Cap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$143.3B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$143.3B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Enterprise Value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$141.0B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$141.0B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ROIC seleccionado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16.7%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16.7%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WACC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9.5%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9.5%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Reproduction Value / acción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$22.26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$22.26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EPV / acción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$25.84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$25.84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Franchise Test EPV/RV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1.16x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1.16x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Implied IRR Base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-7.1%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-7.1%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Implied IRR Bear / downside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-13.7% / $33.69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-13.7% / $33.69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Current Price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$70.40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$70.40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NOPAT sostenible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$4,395M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$4,395M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EPV de Operaciones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$46,266M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$46,266M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EPV Equity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$54,966M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$54,966M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Net Reproduction Value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$47,339M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$47,339M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312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Implied IRR Bull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-0.8% / $67.64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-0.8% / $67.64</w:t>
            </w:r>
          </w:p>
        </w:tc>
        <w:tc>
          <w:tcPr>
            <w:tcW w:type="dxa" w:w="86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14.3 Decision Points Verificados (Grupo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(Excel = Brief)</w:t>
            </w:r>
          </w:p>
        </w:tc>
        <w:tc>
          <w:tcPr>
            <w:tcW w:type="dxa" w:w="10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Coincide</w:t>
            </w:r>
          </w:p>
        </w:tc>
      </w:tr>
      <w:tr>
        <w:tc>
          <w:tcPr>
            <w:tcW w:type="dxa" w:w="345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DP#1 Normalized Tax Rate</w:t>
            </w:r>
          </w:p>
        </w:tc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21%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DP#2 S&amp;M Useful Life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4 años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45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DP#3 R&amp;D Useful Life</w:t>
            </w:r>
          </w:p>
        </w:tc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5 años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DP#4 Selected ROIC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16.7%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45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DP#5 Organic Growth Rate</w:t>
            </w:r>
          </w:p>
        </w:tc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2%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DP#6 WACC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9.5%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45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DP#7 Sustainable Buybacks</w:t>
            </w:r>
          </w:p>
        </w:tc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$4B/año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DP#8 Hurdle Rate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12%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345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DP#9 RV methodology</w:t>
            </w:r>
          </w:p>
        </w:tc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por categoría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14.4 Estructura del Documento (Grupo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77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10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0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1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2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3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4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5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6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7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8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9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10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11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12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13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14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§0.2 Mapa de Valoración Greenwald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§2.9 Accionariado (3 sub-partes)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§5.1 Greenwald 3-source table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§5.3 Compounder Matrix 2x2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§5.9 Taxonomía de Management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§7.3.1 Reproduction Value method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§7.3.4 θ_firm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§7.4 Declaración de Escalera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§12 Monitoring metrics table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§4.9 Two-Sided Market Test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§4.10 CLTV / Unit Economics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§7.3.5 Implied IRR descomposición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Sección 14 (placeholder)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14.5 Coherencia Narrativa-Cifras (Grupo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896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 de coherencia</w:t>
            </w:r>
          </w:p>
        </w:tc>
        <w:tc>
          <w:tcPr>
            <w:tcW w:type="dxa" w:w="2304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0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89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ROIC 16.7% &gt; WACC 9.5% (spread +7.2pp)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coherente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WACC citado = 9.5% (Excel 9.5%)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9.5%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489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Escalera Caso 4 coherente (RV&lt;P y EPV&lt;P)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coherente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Moat Fuerte (2+ fuentes) ↔ spread &gt;5pp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WARN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⚠</w:t>
            </w:r>
          </w:p>
        </w:tc>
      </w:tr>
      <w:tr>
        <w:tc>
          <w:tcPr>
            <w:tcW w:type="dxa" w:w="489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IRRs &lt; hurdle 12% (los 3 FALLAN)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coherente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Cadena moat→margen→IRR (tensión central documentada)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coherente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4896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Sin veredicto de inversión</w:t>
            </w:r>
          </w:p>
        </w:tc>
        <w:tc>
          <w:tcPr>
            <w:tcW w:type="dxa" w:w="2304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OK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14.6 Verificación de Fuentes (Grupo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Verificación</w:t>
            </w:r>
          </w:p>
        </w:tc>
        <w:tc>
          <w:tcPr>
            <w:tcW w:type="dxa" w:w="2880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008"/>
            <w:shd w:val="clear" w:color="auto" w:fill="1b264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≥20 fuentes distintas con URL</w:t>
            </w:r>
          </w:p>
        </w:tc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25 URLs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Annual filing (SEC) presente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presente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432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Quarterly / IR presente</w:t>
            </w:r>
          </w:p>
        </w:tc>
        <w:tc>
          <w:tcPr>
            <w:tcW w:type="dxa" w:w="2880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presente</w:t>
            </w:r>
          </w:p>
        </w:tc>
        <w:tc>
          <w:tcPr>
            <w:tcW w:type="dxa" w:w="1008"/>
            <w:shd w:val="clear" w:color="auto" w:fill="e6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/>
                <w:i w:val="0"/>
                <w:color w:val="0D0D0D"/>
                <w:sz w:val="20"/>
              </w:rPr>
              <w:t>≥5 fuentes web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25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✅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14.7 Warnings No Bloqueantes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606060"/>
          <w:sz w:val="20"/>
        </w:rPr>
        <w:t>⚠ [Grupo 4] Moat Fuerte (2+ fuentes) ↔ spread &gt;5pp: spread 7.2pp — no bloqueante (spread ROIC−WACC = 7.2pp ≥ 5pp confirma moat fuerte; el conteo textual exacto de 'Fuerte' no alcanza el umbral mecánico, pero la sustancia es coherente).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1B2642"/>
          <w:sz w:val="26"/>
        </w:rPr>
        <w:t>14.8 Firma del Audit Layer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606060"/>
          <w:sz w:val="20"/>
        </w:rPr>
        <w:t>Auditado por skill company-brief v2.0 — 2026-05-30T09:51:42+02:00 — Verdict: ✅ PASS — Excel SHA256: 66a7b08ae224f4f7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b w:val="0"/>
        <w:i w:val="0"/>
        <w:color w:val="606060"/>
        <w:sz w:val="16"/>
      </w:rPr>
      <w:t>DCE Holdings Company Brief v2.0 | UBER | Mayo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 w:val="0"/>
        <w:i w:val="0"/>
        <w:color w:val="1B2642"/>
        <w:sz w:val="16"/>
      </w:rPr>
      <w:t>DCE Holdings — Informe de Valoración</w:t>
    </w:r>
    <w:r>
      <w:rPr>
        <w:rFonts w:ascii="Calibri" w:hAnsi="Calibri"/>
        <w:b w:val="0"/>
        <w:i w:val="0"/>
        <w:color w:val="1B2642"/>
        <w:sz w:val="16"/>
      </w:rPr>
      <w:tab/>
      <w:t>UBER (UBER) | Mayo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D0D0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