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2"/>
        </w:rPr>
        <w:t>OPERATIONS MANUAL</w:t>
      </w:r>
    </w:p>
    <w:p>
      <w:pPr>
        <w:jc w:val="center"/>
      </w:pPr>
      <w:r>
        <w:rPr>
          <w:rFonts w:ascii="Helvetica" w:hAnsi="Helvetica"/>
          <w:b w:val="0"/>
          <w:sz w:val="22"/>
        </w:rPr>
        <w:t>Version 3.6 — Mayo 2026</w:t>
      </w:r>
    </w:p>
    <w:p/>
    <w:p>
      <w:pPr>
        <w:spacing w:before="240" w:after="120"/>
      </w:pPr>
      <w:r>
        <w:rPr>
          <w:rFonts w:ascii="Helvetica" w:hAnsi="Helvetica"/>
          <w:b/>
          <w:sz w:val="28"/>
        </w:rPr>
        <w:t>0  Proposito y alcance</w:t>
      </w:r>
    </w:p>
    <w:p>
      <w:pPr>
        <w:spacing w:after="80"/>
      </w:pPr>
      <w:r>
        <w:rPr>
          <w:rFonts w:ascii="Helvetica" w:hAnsi="Helvetica"/>
          <w:sz w:val="21"/>
        </w:rPr>
        <w:t>Este manual define la ejecucion operativa del marco de inversion de DCE Holdings. Traduce los principios del Investment Charter y los parametros del Investment Policy Statement en roles, cadencias, controles y estandares de conducta concretos.</w:t>
      </w:r>
    </w:p>
    <w:p>
      <w:pPr>
        <w:spacing w:after="80"/>
      </w:pPr>
      <w:r>
        <w:rPr>
          <w:rFonts w:ascii="Helvetica" w:hAnsi="Helvetica"/>
          <w:sz w:val="21"/>
        </w:rPr>
        <w:t>El manual no establece politicas de inversion ni reglas de gobernanza; esas viven en el IPS y en el Governance &amp; Succession Framework respectivamente. Lo que este documento define es quien hace que, cuando lo hace, como lo documenta y bajo que estandares de calidad y conducta opera.</w:t>
      </w:r>
    </w:p>
    <w:p>
      <w:pPr>
        <w:spacing w:after="80"/>
      </w:pPr>
      <w:r>
        <w:rPr>
          <w:rFonts w:ascii="Helvetica" w:hAnsi="Helvetica"/>
          <w:sz w:val="21"/>
        </w:rPr>
        <w:t>Es un documento de referencia operativa, no un documento constitucional. Debe leerse como guia practica para el equipo del holding en su operacion diaria, semanal, mensual, trimestral y anual.</w:t>
      </w:r>
    </w:p>
    <w:p>
      <w:pPr>
        <w:spacing w:before="120" w:after="40"/>
      </w:pPr>
      <w:r>
        <w:rPr>
          <w:rFonts w:ascii="Helvetica" w:hAnsi="Helvetica"/>
          <w:b/>
          <w:i w:val="0"/>
          <w:sz w:val="22"/>
        </w:rPr>
        <w:t>Nota sobre la estructura organizacional (2026)</w:t>
      </w:r>
    </w:p>
    <w:p>
      <w:pPr>
        <w:spacing w:after="80"/>
      </w:pPr>
      <w:r>
        <w:rPr>
          <w:rFonts w:ascii="Helvetica" w:hAnsi="Helvetica"/>
          <w:sz w:val="21"/>
        </w:rPr>
        <w:t>Durante 2026 el holding opera con una estructura transitoria de dos personas: Executive Chairman &amp; CIO e Investment Associate unico. El Investment Associate absorbe las responsabilidades que en versiones futuras seran distribuidas entre un Director of Research y un Investment Analyst. Este manual describe la operacion real del holding bajo esta estructura.</w:t>
      </w:r>
    </w:p>
    <w:p>
      <w:pPr>
        <w:spacing w:after="80"/>
      </w:pPr>
      <w:r>
        <w:rPr>
          <w:rFonts w:ascii="Helvetica" w:hAnsi="Helvetica"/>
          <w:sz w:val="21"/>
        </w:rPr>
        <w:t>Cuando el equipo crezca y se incorpore un segundo perfil analitico, el Investment Associate evolucionara a Director of Investment Research y la estructura regresara a los tres roles (CIO, DoR, Analyst). En ese momento el Operations Manual sera actualizado para reflejar la separacion de responsabilidades.</w:t>
      </w:r>
    </w:p>
    <w:p>
      <w:pPr>
        <w:spacing w:before="240" w:after="120"/>
      </w:pPr>
      <w:r>
        <w:rPr>
          <w:rFonts w:ascii="Helvetica" w:hAnsi="Helvetica"/>
          <w:b/>
          <w:sz w:val="28"/>
        </w:rPr>
        <w:t>I  Cadencia operativa</w:t>
      </w:r>
    </w:p>
    <w:p>
      <w:pPr>
        <w:spacing w:before="160" w:after="80"/>
      </w:pPr>
      <w:r>
        <w:rPr>
          <w:rFonts w:ascii="Helvetica" w:hAnsi="Helvetica"/>
          <w:b/>
          <w:sz w:val="24"/>
        </w:rPr>
        <w:t>1.1  Cadencia semanal</w:t>
      </w:r>
    </w:p>
    <w:p>
      <w:pPr>
        <w:spacing w:after="80"/>
      </w:pPr>
      <w:r>
        <w:rPr>
          <w:rFonts w:ascii="Helvetica" w:hAnsi="Helvetica"/>
          <w:sz w:val="21"/>
        </w:rPr>
        <w:t>Bajo la estructura transitoria 2026, la cadencia semanal se ejecuta con dos reuniones formales entre el CIO y el Investment Associate. Las interacciones menores (preguntas puntuales, revisiones rapidas de modelo, validaciones de datos) ocurren de forma continua fuera de reuniones formales.</w:t>
      </w:r>
    </w:p>
    <w:p>
      <w:pPr>
        <w:spacing w:before="120" w:after="40"/>
      </w:pPr>
      <w:r>
        <w:rPr>
          <w:rFonts w:ascii="Helvetica" w:hAnsi="Helvetica"/>
          <w:b/>
          <w:i w:val="0"/>
          <w:sz w:val="22"/>
        </w:rPr>
        <w:t>a) Reunion Semanal de Direccion (inicio de semana)</w:t>
      </w:r>
    </w:p>
    <w:p>
      <w:pPr>
        <w:spacing w:after="80"/>
      </w:pPr>
      <w:r>
        <w:rPr>
          <w:rFonts w:ascii="Helvetica" w:hAnsi="Helvetica"/>
          <w:sz w:val="21"/>
        </w:rPr>
        <w:t>Asistentes: CIO e Investment Associate. Duracion estimada: 20-30 minutos.</w:t>
      </w:r>
    </w:p>
    <w:p>
      <w:pPr>
        <w:pStyle w:val="ListBullet"/>
      </w:pPr>
      <w:r>
        <w:rPr>
          <w:rFonts w:ascii="Helvetica" w:hAnsi="Helvetica"/>
          <w:sz w:val="21"/>
        </w:rPr>
        <w:t>Revision del pipeline y prioridades de la semana.</w:t>
      </w:r>
    </w:p>
    <w:p>
      <w:pPr>
        <w:pStyle w:val="ListBullet"/>
      </w:pPr>
      <w:r>
        <w:rPr>
          <w:rFonts w:ascii="Helvetica" w:hAnsi="Helvetica"/>
          <w:sz w:val="21"/>
        </w:rPr>
        <w:t>Avances del Associate y asignacion de tareas.</w:t>
      </w:r>
    </w:p>
    <w:p>
      <w:pPr>
        <w:pStyle w:val="ListBullet"/>
      </w:pPr>
      <w:r>
        <w:rPr>
          <w:rFonts w:ascii="Helvetica" w:hAnsi="Helvetica"/>
          <w:sz w:val="21"/>
        </w:rPr>
        <w:t>Senales tempranas y riesgos detectados en posiciones activas.</w:t>
      </w:r>
    </w:p>
    <w:p>
      <w:pPr>
        <w:pStyle w:val="ListBullet"/>
      </w:pPr>
      <w:r>
        <w:rPr>
          <w:rFonts w:ascii="Helvetica" w:hAnsi="Helvetica"/>
          <w:sz w:val="21"/>
        </w:rPr>
        <w:t>Revision tactica del Dashboard Maestro (liquidez, bandas, riesgos).</w:t>
      </w:r>
    </w:p>
    <w:p>
      <w:pPr>
        <w:pStyle w:val="ListBullet"/>
      </w:pPr>
      <w:r>
        <w:rPr>
          <w:rFonts w:ascii="Helvetica" w:hAnsi="Helvetica"/>
          <w:sz w:val="21"/>
        </w:rPr>
        <w:t>Coordinacion de entregables y dependencias de la semana.</w:t>
      </w:r>
    </w:p>
    <w:p>
      <w:pPr>
        <w:spacing w:before="120" w:after="40"/>
      </w:pPr>
      <w:r>
        <w:rPr>
          <w:rFonts w:ascii="Helvetica" w:hAnsi="Helvetica"/>
          <w:b/>
          <w:i w:val="0"/>
          <w:sz w:val="22"/>
        </w:rPr>
        <w:t>b) Reunion Tecnica-Tactica (mitad o cierre de semana)</w:t>
      </w:r>
    </w:p>
    <w:p>
      <w:pPr>
        <w:spacing w:after="80"/>
      </w:pPr>
      <w:r>
        <w:rPr>
          <w:rFonts w:ascii="Helvetica" w:hAnsi="Helvetica"/>
          <w:sz w:val="21"/>
        </w:rPr>
        <w:t>Asistentes: CIO e Investment Associate. Duracion estimada: 30-45 minutos. La reunion combina la revision tecnica profunda del trabajo analitico con la decision tactica sobre el avance de cada tesis del pipeline.</w:t>
      </w:r>
    </w:p>
    <w:p>
      <w:pPr>
        <w:pStyle w:val="ListBullet"/>
      </w:pPr>
      <w:r>
        <w:rPr>
          <w:rFonts w:ascii="Helvetica" w:hAnsi="Helvetica"/>
          <w:sz w:val="21"/>
        </w:rPr>
        <w:t>Avances de modelaje y validacion de supuestos clave.</w:t>
      </w:r>
    </w:p>
    <w:p>
      <w:pPr>
        <w:pStyle w:val="ListBullet"/>
      </w:pPr>
      <w:r>
        <w:rPr>
          <w:rFonts w:ascii="Helvetica" w:hAnsi="Helvetica"/>
          <w:sz w:val="21"/>
        </w:rPr>
        <w:t>Investigacion cualitativa y discusion de drivers fundamentales.</w:t>
      </w:r>
    </w:p>
    <w:p>
      <w:pPr>
        <w:pStyle w:val="ListBullet"/>
      </w:pPr>
      <w:r>
        <w:rPr>
          <w:rFonts w:ascii="Helvetica" w:hAnsi="Helvetica"/>
          <w:sz w:val="21"/>
        </w:rPr>
        <w:t>Decision sobre acelerar, pausar o descartar tesis del pipeline.</w:t>
      </w:r>
    </w:p>
    <w:p>
      <w:pPr>
        <w:pStyle w:val="ListBullet"/>
      </w:pPr>
      <w:r>
        <w:rPr>
          <w:rFonts w:ascii="Helvetica" w:hAnsi="Helvetica"/>
          <w:sz w:val="21"/>
        </w:rPr>
        <w:t>Solicitud de sensibilidades o analisis adicionales.</w:t>
      </w:r>
    </w:p>
    <w:p>
      <w:pPr>
        <w:pStyle w:val="ListBullet"/>
      </w:pPr>
      <w:r>
        <w:rPr>
          <w:rFonts w:ascii="Helvetica" w:hAnsi="Helvetica"/>
          <w:sz w:val="21"/>
        </w:rPr>
        <w:t>Preparacion de pre-memos cuando aplique.</w:t>
      </w:r>
    </w:p>
    <w:p>
      <w:pPr>
        <w:pStyle w:val="ListBullet"/>
      </w:pPr>
      <w:r>
        <w:rPr>
          <w:rFonts w:ascii="Helvetica" w:hAnsi="Helvetica"/>
          <w:sz w:val="21"/>
        </w:rPr>
        <w:t>Alineacion de prioridades analiticas de la semana siguiente.</w:t>
      </w:r>
    </w:p>
    <w:p>
      <w:pPr>
        <w:spacing w:after="80"/>
      </w:pPr>
      <w:r>
        <w:rPr>
          <w:rFonts w:ascii="Helvetica" w:hAnsi="Helvetica"/>
          <w:sz w:val="21"/>
        </w:rPr>
        <w:t>Esta reunion es la instancia regular donde el CIO valida la calidad tecnica del trabajo del Associate y donde se toman las microdecisiones tacticas sobre el pipeline. Es tambien la sesion natural de revision del CIO con el Associate sobre tesis maduras: cuando una tesis llega al punto de decision, el CIO ratifica BUY / FOLLOW / PASS sobre la base del Investment Memo, el Columbia Model, el Thesis Breaker y el Munger Digital (con su decision_inputs.json) producidos por el Associate.</w:t>
      </w:r>
    </w:p>
    <w:p>
      <w:pPr>
        <w:spacing w:before="120" w:after="40"/>
      </w:pPr>
      <w:r>
        <w:rPr>
          <w:rFonts w:ascii="Helvetica" w:hAnsi="Helvetica"/>
          <w:b/>
          <w:i w:val="0"/>
          <w:sz w:val="22"/>
        </w:rPr>
        <w:t>c) Interacciones continuas CIO-Associate</w:t>
      </w:r>
    </w:p>
    <w:p>
      <w:pPr>
        <w:spacing w:after="80"/>
      </w:pPr>
      <w:r>
        <w:rPr>
          <w:rFonts w:ascii="Helvetica" w:hAnsi="Helvetica"/>
          <w:sz w:val="21"/>
        </w:rPr>
        <w:t>Fuera de las dos reuniones formales, el CIO y el Investment Associate mantienen comunicacion continua por canales asincronicos (Slack, comentarios en documentos, review de modelos) y micro-check-ins cuando alguno de los dos lo solicita. Estas interacciones son parte del ritmo analitico continuo del holding bajo el regimen CIO-led de gobernanza simplificada.</w:t>
      </w:r>
    </w:p>
    <w:p>
      <w:pPr>
        <w:spacing w:before="120" w:after="40"/>
      </w:pPr>
      <w:r>
        <w:rPr>
          <w:rFonts w:ascii="Helvetica" w:hAnsi="Helvetica"/>
          <w:b/>
          <w:i w:val="0"/>
          <w:sz w:val="22"/>
        </w:rPr>
        <w:t>d) Revision del portafolio (proceso continuo)</w:t>
      </w:r>
    </w:p>
    <w:p>
      <w:pPr>
        <w:spacing w:after="80"/>
      </w:pPr>
      <w:r>
        <w:rPr>
          <w:rFonts w:ascii="Helvetica" w:hAnsi="Helvetica"/>
          <w:sz w:val="21"/>
        </w:rPr>
        <w:t>La supervision del portafolio ocurre de forma continua mediante el Dashboard Maestro. A inicio de semana se realiza una revision tactica que cubre liquidez, bandas, exposicion y senales rapidas de riesgo. A mitad de semana se realiza una revision estructural que cubre concentracion, iliquidos, drawdowns y riesgos emergentes.</w:t>
      </w:r>
    </w:p>
    <w:p>
      <w:pPr>
        <w:spacing w:before="160" w:after="80"/>
      </w:pPr>
      <w:r>
        <w:rPr>
          <w:rFonts w:ascii="Helvetica" w:hAnsi="Helvetica"/>
          <w:b/>
          <w:sz w:val="24"/>
        </w:rPr>
        <w:t>1.2  Cadencia mensual</w:t>
      </w:r>
    </w:p>
    <w:p>
      <w:pPr>
        <w:spacing w:before="120" w:after="40"/>
      </w:pPr>
      <w:r>
        <w:rPr>
          <w:rFonts w:ascii="Helvetica" w:hAnsi="Helvetica"/>
          <w:b/>
          <w:i w:val="0"/>
          <w:sz w:val="22"/>
        </w:rPr>
        <w:t>Monthly Close (entregable formal)</w:t>
      </w:r>
    </w:p>
    <w:p>
      <w:pPr>
        <w:spacing w:after="80"/>
      </w:pPr>
      <w:r>
        <w:rPr>
          <w:rFonts w:ascii="Helvetica" w:hAnsi="Helvetica"/>
          <w:sz w:val="21"/>
        </w:rPr>
        <w:t>Cada mes se produce el Monthly Close, que incluye: NAV, retorno mensual y YTD, liquidez, FX exposure, movimientos del mes, riesgos emergentes, actualizacion de tesis activas y outlook de corto plazo.</w:t>
      </w:r>
    </w:p>
    <w:p>
      <w:pPr>
        <w:spacing w:after="80"/>
      </w:pPr>
      <w:r>
        <w:rPr>
          <w:rFonts w:ascii="Helvetica" w:hAnsi="Helvetica"/>
          <w:sz w:val="21"/>
        </w:rPr>
        <w:t>El Monthly Close se archiva en el Data Room. El Investment Associate produce y firma el Monthly Close bajo su responsabilidad tecnica. El CIO revisa el contenido sustantivo (lectura de la realidad del portafolio, riesgos emergentes, outlook), no audita el detalle numerico ni el cuadre operativo, que se asumen correctos al ser firmados por el Associate.</w:t>
      </w:r>
    </w:p>
    <w:p>
      <w:pPr>
        <w:spacing w:before="160" w:after="80"/>
      </w:pPr>
      <w:r>
        <w:rPr>
          <w:rFonts w:ascii="Helvetica" w:hAnsi="Helvetica"/>
          <w:b/>
          <w:sz w:val="24"/>
        </w:rPr>
        <w:t>1.3  Cadencia trimestral</w:t>
      </w:r>
    </w:p>
    <w:p>
      <w:pPr>
        <w:spacing w:before="120" w:after="40"/>
      </w:pPr>
      <w:r>
        <w:rPr>
          <w:rFonts w:ascii="Helvetica" w:hAnsi="Helvetica"/>
          <w:b/>
          <w:i w:val="0"/>
          <w:sz w:val="22"/>
        </w:rPr>
        <w:t>Sesion trimestral de revision CIO-Associate</w:t>
      </w:r>
    </w:p>
    <w:p>
      <w:pPr>
        <w:spacing w:after="80"/>
      </w:pPr>
      <w:r>
        <w:rPr>
          <w:rFonts w:ascii="Helvetica" w:hAnsi="Helvetica"/>
          <w:sz w:val="21"/>
        </w:rPr>
        <w:t>Cada trimestre, el CIO y el Investment Associate sostienen una sesion ampliada de revision dedicada al cierre del trimestre. Recibe previamente el Investment Decision Pack, compuesto por: performance trimestral, riesgos estructurales, liquidez, bandas, tesis deterioradas, pipeline estrategico y preguntas clave de la revision. La sesion no es un cuerpo colegiado: es la instancia formal en que el CIO revisa el material consolidado por el Associate, ratifica los outcomes del trimestre y registra las decisiones en el Decision Journal.</w:t>
      </w:r>
    </w:p>
    <w:p>
      <w:pPr>
        <w:spacing w:after="80"/>
      </w:pPr>
      <w:r>
        <w:rPr>
          <w:rFonts w:ascii="Helvetica" w:hAnsi="Helvetica"/>
          <w:sz w:val="21"/>
        </w:rPr>
        <w:t>La revision estructural profunda del portafolio no se hace semanalmente; ocurre en la preparacion del Investment Decision Pack. Las revisiones semanales descritas en la seccion 1.1 son verificaciones tacticas sobre el Dashboard Maestro, no analisis estructurales completos.</w:t>
      </w:r>
    </w:p>
    <w:p>
      <w:pPr>
        <w:spacing w:before="120" w:after="40"/>
      </w:pPr>
      <w:r>
        <w:rPr>
          <w:rFonts w:ascii="Helvetica" w:hAnsi="Helvetica"/>
          <w:b/>
          <w:i w:val="0"/>
          <w:sz w:val="22"/>
        </w:rPr>
        <w:t>Re-Underwriting trimestral por posicion (reemplaza Scorecard + IFS + Desconfirmacion)</w:t>
      </w:r>
    </w:p>
    <w:p>
      <w:pPr>
        <w:spacing w:after="80"/>
      </w:pPr>
      <w:r>
        <w:rPr>
          <w:rFonts w:ascii="Helvetica" w:hAnsi="Helvetica"/>
          <w:sz w:val="21"/>
        </w:rPr>
        <w:t>A partir de la version 3.2 del manual, el monitoreo trimestral de cada posicion del portafolio se consolida en un unico documento institucional: el Quarterly Re-Underwriting. Este documento Word reemplaza completamente al Scorecard, al Investment Fact Sheet (IFS) y a la Desconfirmacion como entregables trimestrales.</w:t>
      </w:r>
    </w:p>
    <w:p>
      <w:pPr>
        <w:spacing w:after="80"/>
      </w:pPr>
      <w:r>
        <w:rPr>
          <w:rFonts w:ascii="Helvetica" w:hAnsi="Helvetica"/>
          <w:sz w:val="21"/>
        </w:rPr>
        <w:t>Cada Re-Underwriting trimestral debe contener las siguientes ocho secciones obligatorias:</w:t>
      </w:r>
    </w:p>
    <w:p>
      <w:pPr>
        <w:pStyle w:val="ListBullet"/>
      </w:pPr>
      <w:r>
        <w:rPr>
          <w:rFonts w:ascii="Helvetica" w:hAnsi="Helvetica"/>
          <w:sz w:val="21"/>
        </w:rPr>
        <w:t>Investment Snapshot — datos basicos de la posicion al cierre del trimestre.</w:t>
      </w:r>
    </w:p>
    <w:p>
      <w:pPr>
        <w:pStyle w:val="ListBullet"/>
      </w:pPr>
      <w:r>
        <w:rPr>
          <w:rFonts w:ascii="Helvetica" w:hAnsi="Helvetica"/>
          <w:sz w:val="21"/>
        </w:rPr>
        <w:t>Executive Summary — sintesis ejecutiva de la salud de la tesis trimestre vs trimestre.</w:t>
      </w:r>
    </w:p>
    <w:p>
      <w:pPr>
        <w:pStyle w:val="ListBullet"/>
      </w:pPr>
      <w:r>
        <w:rPr>
          <w:rFonts w:ascii="Helvetica" w:hAnsi="Helvetica"/>
          <w:sz w:val="21"/>
        </w:rPr>
        <w:t>What Changed Since Last Quarter — eventos materiales, datos nuevos del 10-Q/10-K, decisiones tomadas.</w:t>
      </w:r>
    </w:p>
    <w:p>
      <w:pPr>
        <w:pStyle w:val="ListBullet"/>
      </w:pPr>
      <w:r>
        <w:rPr>
          <w:rFonts w:ascii="Helvetica" w:hAnsi="Helvetica"/>
          <w:sz w:val="21"/>
        </w:rPr>
        <w:t>Thesis Tracking — estado de cada bullet de la tesis original (validado / parcial / debilitado / roto).</w:t>
      </w:r>
    </w:p>
    <w:p>
      <w:pPr>
        <w:pStyle w:val="ListBullet"/>
      </w:pPr>
      <w:r>
        <w:rPr>
          <w:rFonts w:ascii="Helvetica" w:hAnsi="Helvetica"/>
          <w:sz w:val="21"/>
        </w:rPr>
        <w:t>Premortem Tracking — estado de cada failure mode definido en el Memo §10 con evidencia trimestral.</w:t>
      </w:r>
    </w:p>
    <w:p>
      <w:pPr>
        <w:pStyle w:val="ListBullet"/>
      </w:pPr>
      <w:r>
        <w:rPr>
          <w:rFonts w:ascii="Helvetica" w:hAnsi="Helvetica"/>
          <w:sz w:val="21"/>
        </w:rPr>
        <w:t>KPI Dashboard — los 5-7 KPIs definidos en el Memo §6 con dato actual vs target y semaforo.</w:t>
      </w:r>
    </w:p>
    <w:p>
      <w:pPr>
        <w:pStyle w:val="ListBullet"/>
      </w:pPr>
      <w:r>
        <w:rPr>
          <w:rFonts w:ascii="Helvetica" w:hAnsi="Helvetica"/>
          <w:sz w:val="21"/>
        </w:rPr>
        <w:t>Valuation Update — Implied IRR refrescado desde el Columbia Model actualizado del trimestre.</w:t>
      </w:r>
    </w:p>
    <w:p>
      <w:pPr>
        <w:pStyle w:val="ListBullet"/>
      </w:pPr>
      <w:r>
        <w:rPr>
          <w:rFonts w:ascii="Helvetica" w:hAnsi="Helvetica"/>
          <w:sz w:val="21"/>
        </w:rPr>
        <w:t>Final Re-Underwriting Conclusion — uno de los cuatro outcomes: Thesis Intact, Thresholds Recalibrated, Thesis Evolved, Thesis Broken. Justificacion + accion (continuar / ajustar / salir).</w:t>
      </w:r>
    </w:p>
    <w:p>
      <w:pPr>
        <w:spacing w:after="80"/>
      </w:pPr>
      <w:r>
        <w:rPr>
          <w:rFonts w:ascii="Helvetica" w:hAnsi="Helvetica"/>
          <w:sz w:val="21"/>
        </w:rPr>
        <w:t>El Re-Underwriting es producido por el Investment Associate, quien asume responsabilidad propia sobre la exactitud tecnica del documento: cuadre de KPIs, consistencia con el Columbia Model actualizado del trimestre, trazabilidad del Pre-Mortem y citacion de fuentes. El CIO firma el Re-Underwriting trimestral ratificando la tesis: si los outcomes propuestos (Thesis Intact, Thresholds Recalibrated, Thesis Evolved, Thesis Broken) son los correctos a la luz de la evidencia presentada. El CIO no audita el modelo linea por linea; esa responsabilidad es del Associate. El documento firmado por el CIO es el registro institucional de la decision trimestral por posicion.</w:t>
      </w:r>
    </w:p>
    <w:p>
      <w:pPr>
        <w:spacing w:after="80"/>
      </w:pPr>
      <w:r>
        <w:rPr>
          <w:rFonts w:ascii="Helvetica" w:hAnsi="Helvetica"/>
          <w:sz w:val="21"/>
        </w:rPr>
        <w:t>Thesis Breaker y Munger Digital NO son obligatorios en el flujo trimestral. Se producen a demanda cuando el CIO lo solicita ante un cambio material en la tesis o en el set narrativo de la inversion (ver §2.3). En el primer analisis de cualquier compania nueva, ambos analisis siguen siendo obligatorios.</w:t>
      </w:r>
    </w:p>
    <w:p>
      <w:pPr>
        <w:spacing w:before="120" w:after="40"/>
      </w:pPr>
      <w:r>
        <w:rPr>
          <w:rFonts w:ascii="Helvetica" w:hAnsi="Helvetica"/>
          <w:b/>
          <w:i w:val="0"/>
          <w:sz w:val="22"/>
        </w:rPr>
        <w:t>Investment Decision Pack — composicion trimestral</w:t>
      </w:r>
    </w:p>
    <w:p>
      <w:pPr>
        <w:spacing w:after="80"/>
      </w:pPr>
      <w:r>
        <w:rPr>
          <w:rFonts w:ascii="Helvetica" w:hAnsi="Helvetica"/>
          <w:sz w:val="21"/>
        </w:rPr>
        <w:t>El Investment Decision Pack se produce trimestralmente y consolida el insumo de decision del CIO conforme a los criterios del IPS seccion 4.7. Incluye:</w:t>
      </w:r>
    </w:p>
    <w:p>
      <w:pPr>
        <w:pStyle w:val="ListBullet"/>
      </w:pPr>
      <w:r>
        <w:rPr>
          <w:rFonts w:ascii="Helvetica" w:hAnsi="Helvetica"/>
          <w:sz w:val="21"/>
        </w:rPr>
        <w:t>Quarterly Re-Underwriting por cada posicion activa (Word, 8 secciones).</w:t>
      </w:r>
    </w:p>
    <w:p>
      <w:pPr>
        <w:pStyle w:val="ListBullet"/>
      </w:pPr>
      <w:r>
        <w:rPr>
          <w:rFonts w:ascii="Helvetica" w:hAnsi="Helvetica"/>
          <w:sz w:val="21"/>
        </w:rPr>
        <w:t>Dashboard agregado del portafolio.</w:t>
      </w:r>
    </w:p>
    <w:p>
      <w:pPr>
        <w:pStyle w:val="ListBullet"/>
      </w:pPr>
      <w:r>
        <w:rPr>
          <w:rFonts w:ascii="Helvetica" w:hAnsi="Helvetica"/>
          <w:sz w:val="21"/>
        </w:rPr>
        <w:t>Resumen de outcomes por posicion (Intact / Recalibrated / Evolved / Broken).</w:t>
      </w:r>
    </w:p>
    <w:p>
      <w:pPr>
        <w:pStyle w:val="ListBullet"/>
      </w:pPr>
      <w:r>
        <w:rPr>
          <w:rFonts w:ascii="Helvetica" w:hAnsi="Helvetica"/>
          <w:sz w:val="21"/>
        </w:rPr>
        <w:t>Pipeline estrategico actualizado.</w:t>
      </w:r>
    </w:p>
    <w:p>
      <w:pPr>
        <w:spacing w:after="80"/>
      </w:pPr>
      <w:r>
        <w:rPr>
          <w:rFonts w:ascii="Helvetica" w:hAnsi="Helvetica"/>
          <w:sz w:val="21"/>
        </w:rPr>
        <w:t>Los Re-Underwritings forman parte del Investment Decision Pack y son el insumo central para evaluar el cumplimiento de los mecanismos de disciplina conductual (Charter 3.1 y 2.4). El CIO ratifica el Pack en la sesion trimestral de revision CIO-Associate; sus decisiones quedan registradas en el Decision Journal.</w:t>
      </w:r>
    </w:p>
    <w:p>
      <w:pPr>
        <w:spacing w:before="160" w:after="80"/>
      </w:pPr>
      <w:r>
        <w:rPr>
          <w:rFonts w:ascii="Helvetica" w:hAnsi="Helvetica"/>
          <w:b/>
          <w:sz w:val="24"/>
        </w:rPr>
        <w:t>1.4  Cadencia anual</w:t>
      </w:r>
    </w:p>
    <w:p>
      <w:pPr>
        <w:spacing w:before="120" w:after="40"/>
      </w:pPr>
      <w:r>
        <w:rPr>
          <w:rFonts w:ascii="Helvetica" w:hAnsi="Helvetica"/>
          <w:b/>
          <w:i w:val="0"/>
          <w:sz w:val="22"/>
        </w:rPr>
        <w:t>Annual Close</w:t>
      </w:r>
    </w:p>
    <w:p>
      <w:pPr>
        <w:spacing w:after="80"/>
      </w:pPr>
      <w:r>
        <w:rPr>
          <w:rFonts w:ascii="Helvetica" w:hAnsi="Helvetica"/>
          <w:sz w:val="21"/>
        </w:rPr>
        <w:t>El cierre anual incluye: performance anual consolidado, contribucion por holding, cambios estructurales del portafolio, evaluacion de tesis del ano, riesgos y principales lecciones, y outlook estrategico siguiente. Se archiva en el Data Room.</w:t>
      </w:r>
    </w:p>
    <w:p>
      <w:pPr>
        <w:spacing w:before="120" w:after="40"/>
      </w:pPr>
      <w:r>
        <w:rPr>
          <w:rFonts w:ascii="Helvetica" w:hAnsi="Helvetica"/>
          <w:b/>
          <w:i w:val="0"/>
          <w:sz w:val="22"/>
        </w:rPr>
        <w:t>Carta anual institucional</w:t>
      </w:r>
    </w:p>
    <w:p>
      <w:pPr>
        <w:spacing w:after="80"/>
      </w:pPr>
      <w:r>
        <w:rPr>
          <w:rFonts w:ascii="Helvetica" w:hAnsi="Helvetica"/>
          <w:sz w:val="21"/>
        </w:rPr>
        <w:t>El CIO producira anualmente una carta institucional dirigida al registro historico del holding. La carta debera incluir como minimo:</w:t>
      </w:r>
    </w:p>
    <w:p>
      <w:pPr>
        <w:pStyle w:val="ListBullet"/>
      </w:pPr>
      <w:r>
        <w:rPr>
          <w:rFonts w:ascii="Helvetica" w:hAnsi="Helvetica"/>
          <w:sz w:val="21"/>
        </w:rPr>
        <w:t>Retorno del ano vs benchmark, con atribucion por posicion.</w:t>
      </w:r>
    </w:p>
    <w:p>
      <w:pPr>
        <w:pStyle w:val="ListBullet"/>
      </w:pPr>
      <w:r>
        <w:rPr>
          <w:rFonts w:ascii="Helvetica" w:hAnsi="Helvetica"/>
          <w:sz w:val="21"/>
        </w:rPr>
        <w:t>Errores cometidos y lecciones aprendidas.</w:t>
      </w:r>
    </w:p>
    <w:p>
      <w:pPr>
        <w:pStyle w:val="ListBullet"/>
      </w:pPr>
      <w:r>
        <w:rPr>
          <w:rFonts w:ascii="Helvetica" w:hAnsi="Helvetica"/>
          <w:sz w:val="21"/>
        </w:rPr>
        <w:t>Tesis que cambiaron, se fortalecieron o se deterioraron durante el ano.</w:t>
      </w:r>
    </w:p>
    <w:p>
      <w:pPr>
        <w:pStyle w:val="ListBullet"/>
      </w:pPr>
      <w:r>
        <w:rPr>
          <w:rFonts w:ascii="Helvetica" w:hAnsi="Helvetica"/>
          <w:sz w:val="21"/>
        </w:rPr>
        <w:t>Estado de cada posicion activa (resumen ejecutivo).</w:t>
      </w:r>
    </w:p>
    <w:p>
      <w:pPr>
        <w:pStyle w:val="ListBullet"/>
      </w:pPr>
      <w:r>
        <w:rPr>
          <w:rFonts w:ascii="Helvetica" w:hAnsi="Helvetica"/>
          <w:sz w:val="21"/>
        </w:rPr>
        <w:t>Outlook honesto para el siguiente periodo, incluyendo riesgos identificados.</w:t>
      </w:r>
    </w:p>
    <w:p>
      <w:pPr>
        <w:pStyle w:val="ListBullet"/>
      </w:pPr>
      <w:r>
        <w:rPr>
          <w:rFonts w:ascii="Helvetica" w:hAnsi="Helvetica"/>
          <w:sz w:val="21"/>
        </w:rPr>
        <w:t>Reflexion sobre la calidad del proceso de inversion y la disciplina conductual.</w:t>
      </w:r>
    </w:p>
    <w:p>
      <w:pPr>
        <w:spacing w:after="80"/>
      </w:pPr>
      <w:r>
        <w:rPr>
          <w:rFonts w:ascii="Helvetica" w:hAnsi="Helvetica"/>
          <w:sz w:val="21"/>
        </w:rPr>
        <w:t>La carta es un ejercicio de accountability y humildad intelectual. Su valor radica en la honestidad, no en la extension.</w:t>
      </w:r>
    </w:p>
    <w:p>
      <w:pPr>
        <w:spacing w:before="120" w:after="40"/>
      </w:pPr>
      <w:r>
        <w:rPr>
          <w:rFonts w:ascii="Helvetica" w:hAnsi="Helvetica"/>
          <w:b/>
          <w:i w:val="0"/>
          <w:sz w:val="22"/>
        </w:rPr>
        <w:t>Revision profunda de tesis (anual)</w:t>
      </w:r>
    </w:p>
    <w:p>
      <w:pPr>
        <w:spacing w:after="80"/>
      </w:pPr>
      <w:r>
        <w:rPr>
          <w:rFonts w:ascii="Helvetica" w:hAnsi="Helvetica"/>
          <w:sz w:val="21"/>
        </w:rPr>
        <w:t>Se realizara una revision profunda para posiciones seleccionadas, incluyendo:</w:t>
      </w:r>
    </w:p>
    <w:p>
      <w:pPr>
        <w:pStyle w:val="ListBullet"/>
      </w:pPr>
      <w:r>
        <w:rPr>
          <w:rFonts w:ascii="Helvetica" w:hAnsi="Helvetica"/>
          <w:sz w:val="21"/>
        </w:rPr>
        <w:t>Actualizacion completa del analisis cualitativo (sector, competencia, clientes, management).</w:t>
      </w:r>
    </w:p>
    <w:p>
      <w:pPr>
        <w:pStyle w:val="ListBullet"/>
      </w:pPr>
      <w:r>
        <w:rPr>
          <w:rFonts w:ascii="Helvetica" w:hAnsi="Helvetica"/>
          <w:sz w:val="21"/>
        </w:rPr>
        <w:t>Actualizacion del modelo de valoracion (NAV, EPV, RBV).</w:t>
      </w:r>
    </w:p>
    <w:p>
      <w:pPr>
        <w:pStyle w:val="ListBullet"/>
      </w:pPr>
      <w:r>
        <w:rPr>
          <w:rFonts w:ascii="Helvetica" w:hAnsi="Helvetica"/>
          <w:sz w:val="21"/>
        </w:rPr>
        <w:t>Revision del Pre-Mortem capturado dentro del Investment Memo §10 (failure modes, indicadores de monitoreo).</w:t>
      </w:r>
    </w:p>
    <w:p>
      <w:pPr>
        <w:pStyle w:val="ListBullet"/>
      </w:pPr>
      <w:r>
        <w:rPr>
          <w:rFonts w:ascii="Helvetica" w:hAnsi="Helvetica"/>
          <w:sz w:val="21"/>
        </w:rPr>
        <w:t>Revision de criterios de venta predefinidos (Memo §11) y calibracion de umbrales si las condiciones han cambiado materialmente.</w:t>
      </w:r>
    </w:p>
    <w:p>
      <w:pPr>
        <w:spacing w:after="80"/>
      </w:pPr>
      <w:r>
        <w:rPr>
          <w:rFonts w:ascii="Helvetica" w:hAnsi="Helvetica"/>
          <w:sz w:val="21"/>
        </w:rPr>
        <w:t>La seleccion de posiciones sera acordada entre el CIO y el Investment Associate en la reunion tecnica-tactica previa al cierre anual. A diferencia de versiones anteriores de este manual, el Pre-Mortem no es un ejercicio independiente: vive como seccion 10 del Investment Memo, lo firma el CIO con el apoyo tecnico del Associate, y se trackea trimestralmente en la §5 del Re-Underwriting.</w:t>
      </w:r>
    </w:p>
    <w:p>
      <w:pPr>
        <w:spacing w:before="160" w:after="80"/>
      </w:pPr>
      <w:r>
        <w:rPr>
          <w:rFonts w:ascii="Helvetica" w:hAnsi="Helvetica"/>
          <w:b/>
          <w:sz w:val="24"/>
        </w:rPr>
        <w:t>1.5  Flujo de una tesis</w:t>
      </w:r>
    </w:p>
    <w:p>
      <w:pPr>
        <w:spacing w:after="80"/>
      </w:pPr>
      <w:r>
        <w:rPr>
          <w:rFonts w:ascii="Helvetica" w:hAnsi="Helvetica"/>
          <w:sz w:val="21"/>
        </w:rPr>
        <w:t>El ciclo completo de una tesis sigue diez pasos: screening, pre-analisis, modelaje base (Columbia Model), Thesis Breaker (stress test cuantitativo), Munger Digital (filtro de conviccion conductual y narrativa que produce decision_inputs.json como puente directo a la ratificacion del CIO), Investment Memo de doce secciones (incluye Pre-Mortem como §10, firmado por el CIO con apoyo del Associate, y Thesis Kill Criteria como §11), ratificacion del CIO (BUY / FOLLOW / PASS), ejecucion, monitoreo trimestral via Re-Underwriting firmado por el CIO, y cierre cuando corresponda mediante Position Adjustment Memo o Position Close Memo.</w:t>
      </w:r>
    </w:p>
    <w:p>
      <w:pPr>
        <w:spacing w:after="80"/>
      </w:pPr>
      <w:r>
        <w:rPr>
          <w:rFonts w:ascii="Helvetica" w:hAnsi="Helvetica"/>
          <w:sz w:val="21"/>
        </w:rPr>
        <w:t>El Thesis Breaker y el Munger Digital son obligatorios en el primer analisis de cualquier compania nueva, antes de la ratificacion del CIO; ninguna tesis llega a decision sin haber pasado por ambos filtros en su evaluacion inicial. En el flujo trimestral posterior, ambos analisis se ejecutan a demanda solo cuando el CIO lo solicita por cambio material en la tesis o en el set narrativo.</w:t>
      </w:r>
    </w:p>
    <w:p>
      <w:pPr>
        <w:spacing w:after="80"/>
      </w:pPr>
      <w:r>
        <w:rPr>
          <w:rFonts w:ascii="Helvetica" w:hAnsi="Helvetica"/>
          <w:sz w:val="21"/>
        </w:rPr>
        <w:t>La decision del CIO sobre una tesis presentada se registra formalmente como uno de cuatro tipos, todos con identico estandar documental y archivado en el Decision Journal del holding:</w:t>
      </w:r>
    </w:p>
    <w:p>
      <w:pPr>
        <w:pStyle w:val="ListBullet"/>
      </w:pPr>
      <w:r>
        <w:rPr>
          <w:rFonts w:ascii="Helvetica" w:hAnsi="Helvetica"/>
          <w:sz w:val="21"/>
        </w:rPr>
        <w:t>BUY — el CIO ratifica la tesis y aprueba la apertura de posicion. Dispara ejecucion en cuenta y registro del trade legacy.</w:t>
      </w:r>
    </w:p>
    <w:p>
      <w:pPr>
        <w:pStyle w:val="ListBullet"/>
      </w:pPr>
      <w:r>
        <w:rPr>
          <w:rFonts w:ascii="Helvetica" w:hAnsi="Helvetica"/>
          <w:sz w:val="21"/>
        </w:rPr>
        <w:t>FOLLOW — el CIO considera la tesis valida pero decide no invertir aun (esperar mejor precio, esperar confirmacion de un catalizador, o limitar exposicion). La tesis se mantiene en seguimiento activo; cualquier cambio material en precio o fundamentales reabre la conversacion sin re-research desde cero.</w:t>
      </w:r>
    </w:p>
    <w:p>
      <w:pPr>
        <w:pStyle w:val="ListBullet"/>
      </w:pPr>
      <w:r>
        <w:rPr>
          <w:rFonts w:ascii="Helvetica" w:hAnsi="Helvetica"/>
          <w:sz w:val="21"/>
        </w:rPr>
        <w:t>PASS — el CIO descarta la tesis tras research completo. Distinta del descarte temprano en pipeline: aqui se documenta el razonamiento para que la tesis sea revisable si las condiciones cambian materialmente.</w:t>
      </w:r>
    </w:p>
    <w:p>
      <w:pPr>
        <w:pStyle w:val="ListBullet"/>
      </w:pPr>
      <w:r>
        <w:rPr>
          <w:rFonts w:ascii="Helvetica" w:hAnsi="Helvetica"/>
          <w:sz w:val="21"/>
        </w:rPr>
        <w:t>SELL — aplica sobre posiciones existentes y cierra la posicion (parcial o total). Requiere post-mortem completo con thesis_outcome (played_out / partially / failed), leccion aprendida y, si aplica, failure mode activado vinculado al Pre-Mortem original.</w:t>
      </w:r>
    </w:p>
    <w:p>
      <w:pPr>
        <w:spacing w:after="80"/>
      </w:pPr>
      <w:r>
        <w:rPr>
          <w:rFonts w:ascii="Helvetica" w:hAnsi="Helvetica"/>
          <w:sz w:val="21"/>
        </w:rPr>
        <w:t>Toda inversion requiere un Investment Memo aprobado y firmado por el CIO. Todo ajuste parcial requiere un Position Adjustment Memo. Todo cierre total requiere un Position Close Memo. Cada trimestre, cada posicion activa requiere un Re-Underwriting producido por el Investment Associate (responsable de exactitud tecnica) y firmado por el CIO (responsable de la tesis y el outcome). Cada decision del CIO (BUY / FOLLOW / PASS / SELL) queda registrada en el Decision Journal del holding.</w:t>
      </w:r>
    </w:p>
    <w:p>
      <w:pPr>
        <w:spacing w:before="240" w:after="120"/>
      </w:pPr>
      <w:r>
        <w:rPr>
          <w:rFonts w:ascii="Helvetica" w:hAnsi="Helvetica"/>
          <w:b/>
          <w:sz w:val="28"/>
        </w:rPr>
        <w:t>II  Roles y autoridad</w:t>
      </w:r>
    </w:p>
    <w:p>
      <w:pPr>
        <w:spacing w:before="120" w:after="40"/>
      </w:pPr>
      <w:r>
        <w:rPr>
          <w:rFonts w:ascii="Helvetica" w:hAnsi="Helvetica"/>
          <w:b/>
          <w:i w:val="0"/>
          <w:sz w:val="22"/>
        </w:rPr>
        <w:t>Principio de delegacion analitica</w:t>
      </w:r>
    </w:p>
    <w:p>
      <w:pPr>
        <w:spacing w:after="80"/>
      </w:pPr>
      <w:r>
        <w:rPr>
          <w:rFonts w:ascii="Helvetica" w:hAnsi="Helvetica"/>
          <w:sz w:val="21"/>
        </w:rPr>
        <w:t>Bajo la estructura transitoria 2026, el holding opera con una division explicita de responsabilidades entre el CIO y el Investment Associate sobre todos los entregables del proceso de inversion. Esta division es deliberada y debe entenderse sin ambiguedad antes de leer los roles individuales.</w:t>
      </w:r>
    </w:p>
    <w:p>
      <w:pPr>
        <w:spacing w:after="80"/>
      </w:pPr>
      <w:r>
        <w:rPr>
          <w:rFonts w:ascii="Helvetica" w:hAnsi="Helvetica"/>
          <w:sz w:val="21"/>
        </w:rPr>
        <w:t>El Investment Associate es responsable de la exactitud tecnica y numerica de los entregables: que los modelos cuadren, que las consistencias internas se sostengan (IS/BS/CF, KPIs, multiples), que las fuentes esten correctamente citadas, que los supuestos esten declarados y que la documentacion cumpla los estandares del manual. Al firmar un entregable, el Associate asume estas dimensiones como propias.</w:t>
      </w:r>
    </w:p>
    <w:p>
      <w:pPr>
        <w:spacing w:after="80"/>
      </w:pPr>
      <w:r>
        <w:rPr>
          <w:rFonts w:ascii="Helvetica" w:hAnsi="Helvetica"/>
          <w:sz w:val="21"/>
        </w:rPr>
        <w:t>El CIO es responsable de la calidad de la tesis y de la decision: si la logica del analisis se sostiene, si las conclusiones son coherentes con la evidencia presentada, si la decision propuesta (BUY / FOLLOW / PASS / SELL u outcome del Re-Underwriting) es la correcta. El CIO no audita modelos linea por linea ni verifica cuadres numericos; esa responsabilidad ya fue asumida por el Associate al firmar.</w:t>
      </w:r>
    </w:p>
    <w:p>
      <w:pPr>
        <w:spacing w:after="80"/>
      </w:pPr>
      <w:r>
        <w:rPr>
          <w:rFonts w:ascii="Helvetica" w:hAnsi="Helvetica"/>
          <w:sz w:val="21"/>
        </w:rPr>
        <w:t>En resumen operativo: el CIO valida la tesis, no audita los numeros. Esta regla aplica a todos los entregables del proceso (Investment Memo, Columbia Model, Thesis Breaker, Munger Digital, Quarterly Re-Underwriting, Monthly Close, Investment Decision Pack, Annual Close). Cuando el CIO detecte un error tecnico durante su revision, escala al Associate como excepcion, no como rutina; el patron de errores tecnicos es un KPI explicito del desempeno del Associate.</w:t>
      </w:r>
    </w:p>
    <w:p>
      <w:pPr>
        <w:spacing w:before="120" w:after="40"/>
      </w:pPr>
      <w:r>
        <w:rPr>
          <w:rFonts w:ascii="Helvetica" w:hAnsi="Helvetica"/>
          <w:b/>
          <w:i w:val="0"/>
          <w:sz w:val="22"/>
        </w:rPr>
        <w:t>Cadena de decision (regimen CIO-led)</w:t>
      </w:r>
    </w:p>
    <w:p>
      <w:pPr>
        <w:spacing w:after="80"/>
      </w:pPr>
      <w:r>
        <w:rPr>
          <w:rFonts w:ascii="Helvetica" w:hAnsi="Helvetica"/>
          <w:sz w:val="21"/>
        </w:rPr>
        <w:t>La cadena de decision del holding termina en el CIO, sin paso colegiado. El Investment Associate produce el research package (Columbia Model + Thesis Breaker + Munger Digital con decision_inputs.json + Investment Memo de 12 secciones) y firma la exactitud tecnica. El CIO revisa el paquete en la sesion de revision CIO-Associate (semanal para tesis maduras, trimestral para portafolio) y ratifica la decision BUY / FOLLOW / PASS / SELL. La decision queda registrada en el Decision Journal antes del cierre del dia.</w:t>
      </w:r>
    </w:p>
    <w:p>
      <w:pPr>
        <w:spacing w:after="80"/>
      </w:pPr>
      <w:r>
        <w:rPr>
          <w:rFonts w:ascii="Helvetica" w:hAnsi="Helvetica"/>
          <w:sz w:val="21"/>
        </w:rPr>
        <w:t>Esta arquitectura es deliberada para el regimen actual de AUM bajo. No existe un cuerpo colegiado intermedio entre el research package y la ratificacion del CIO. La condicion bajo la cual esto cambia se detalla en la subseccion "Governance Recalibration Trigger" del capitulo III.</w:t>
      </w:r>
    </w:p>
    <w:p>
      <w:pPr>
        <w:spacing w:before="160" w:after="80"/>
      </w:pPr>
      <w:r>
        <w:rPr>
          <w:rFonts w:ascii="Helvetica" w:hAnsi="Helvetica"/>
          <w:b/>
          <w:sz w:val="24"/>
        </w:rPr>
        <w:t>2.1  Executive Chairman &amp; CIO</w:t>
      </w:r>
    </w:p>
    <w:p>
      <w:pPr>
        <w:spacing w:after="80"/>
      </w:pPr>
      <w:r>
        <w:rPr>
          <w:rFonts w:ascii="Helvetica" w:hAnsi="Helvetica"/>
          <w:sz w:val="21"/>
        </w:rPr>
        <w:t>El CIO es la autoridad maxima en materia de decisiones de inversion del holding, sujeta unicamente a las restricciones establecidas en el Governance &amp; Succession Framework. Es responsable de definir la direccion estrategica del holding, ratificar las decisiones de capital y asegurar el cumplimiento integral del marco normativo.</w:t>
      </w:r>
    </w:p>
    <w:p>
      <w:pPr>
        <w:spacing w:before="120" w:after="40"/>
      </w:pPr>
      <w:r>
        <w:rPr>
          <w:rFonts w:ascii="Helvetica" w:hAnsi="Helvetica"/>
          <w:b/>
          <w:i w:val="0"/>
          <w:sz w:val="22"/>
        </w:rPr>
        <w:t>Responsabilidades principales</w:t>
      </w:r>
    </w:p>
    <w:p>
      <w:pPr>
        <w:spacing w:after="80"/>
      </w:pPr>
      <w:r>
        <w:rPr>
          <w:rFonts w:ascii="Helvetica" w:hAnsi="Helvetica"/>
          <w:sz w:val="21"/>
        </w:rPr>
        <w:t>El CIO dirige la estrategia de inversion y la asignacion de capital del holding. Toma las decisiones finales sobre inversiones, desinversiones, FOLLOW y descartes, conforme al IPS. Participa en la Reunion Semanal de Direccion y en la Reunion Tecnica-Tactica semanal con el Investment Associate, proporcionando orientacion al trabajo analitico.</w:t>
      </w:r>
    </w:p>
    <w:p>
      <w:pPr>
        <w:spacing w:after="80"/>
      </w:pPr>
      <w:r>
        <w:rPr>
          <w:rFonts w:ascii="Helvetica" w:hAnsi="Helvetica"/>
          <w:sz w:val="21"/>
        </w:rPr>
        <w:t>Ratifica el Investment Decision Pack trimestral y firma el Re-Underwriting de cada posicion activa cada trimestre. Es responsable de la calidad de la tesis y de la decision en los Investment Memos, en los Pre-Mortems (Memo §10) y en los Quarterly Re-Underwritings; la exactitud tecnica y numerica de esos documentos es responsabilidad del Investment Associate conforme al principio de delegacion analitica de este capitulo. Evalua el desempeno del area de analisis. Aprueba modificaciones a los templates institucionales y al Operations Manual.</w:t>
      </w:r>
    </w:p>
    <w:p>
      <w:pPr>
        <w:spacing w:before="120" w:after="40"/>
      </w:pPr>
      <w:r>
        <w:rPr>
          <w:rFonts w:ascii="Helvetica" w:hAnsi="Helvetica"/>
          <w:b/>
          <w:i w:val="0"/>
          <w:sz w:val="22"/>
        </w:rPr>
        <w:t>Entregables obligatorios</w:t>
      </w:r>
    </w:p>
    <w:p>
      <w:pPr>
        <w:pStyle w:val="ListBullet"/>
      </w:pPr>
      <w:r>
        <w:rPr>
          <w:rFonts w:ascii="Helvetica" w:hAnsi="Helvetica"/>
          <w:sz w:val="21"/>
        </w:rPr>
        <w:t>Decisiones de inversion (Investment Memo firmado, BUY / FOLLOW / PASS / SELL).</w:t>
      </w:r>
    </w:p>
    <w:p>
      <w:pPr>
        <w:pStyle w:val="ListBullet"/>
      </w:pPr>
      <w:r>
        <w:rPr>
          <w:rFonts w:ascii="Helvetica" w:hAnsi="Helvetica"/>
          <w:sz w:val="21"/>
        </w:rPr>
        <w:t>Decisiones registradas en el Decision Journal (una entrada por decision, antes del cierre del dia).</w:t>
      </w:r>
    </w:p>
    <w:p>
      <w:pPr>
        <w:pStyle w:val="ListBullet"/>
      </w:pPr>
      <w:r>
        <w:rPr>
          <w:rFonts w:ascii="Helvetica" w:hAnsi="Helvetica"/>
          <w:sz w:val="21"/>
        </w:rPr>
        <w:t>Pre-Mortem firmado dentro del Investment Memo §10 (con apoyo tecnico del Associate).</w:t>
      </w:r>
    </w:p>
    <w:p>
      <w:pPr>
        <w:pStyle w:val="ListBullet"/>
      </w:pPr>
      <w:r>
        <w:rPr>
          <w:rFonts w:ascii="Helvetica" w:hAnsi="Helvetica"/>
          <w:sz w:val="21"/>
        </w:rPr>
        <w:t>Quarterly Re-Underwriting firmado por posicion (trimestral, con produccion tecnica del Associate).</w:t>
      </w:r>
    </w:p>
    <w:p>
      <w:pPr>
        <w:pStyle w:val="ListBullet"/>
      </w:pPr>
      <w:r>
        <w:rPr>
          <w:rFonts w:ascii="Helvetica" w:hAnsi="Helvetica"/>
          <w:sz w:val="21"/>
        </w:rPr>
        <w:t>Ratificacion del Investment Decision Pack trimestral.</w:t>
      </w:r>
    </w:p>
    <w:p>
      <w:pPr>
        <w:pStyle w:val="ListBullet"/>
      </w:pPr>
      <w:r>
        <w:rPr>
          <w:rFonts w:ascii="Helvetica" w:hAnsi="Helvetica"/>
          <w:sz w:val="21"/>
        </w:rPr>
        <w:t>Annual Strategy &amp; Performance Review.</w:t>
      </w:r>
    </w:p>
    <w:p>
      <w:pPr>
        <w:pStyle w:val="ListBullet"/>
      </w:pPr>
      <w:r>
        <w:rPr>
          <w:rFonts w:ascii="Helvetica" w:hAnsi="Helvetica"/>
          <w:sz w:val="21"/>
        </w:rPr>
        <w:t>Carta anual institucional.</w:t>
      </w:r>
    </w:p>
    <w:p>
      <w:pPr>
        <w:pStyle w:val="ListBullet"/>
      </w:pPr>
      <w:r>
        <w:rPr>
          <w:rFonts w:ascii="Helvetica" w:hAnsi="Helvetica"/>
          <w:sz w:val="21"/>
        </w:rPr>
        <w:t>Actualizaciones al IPS cuando corresponda.</w:t>
      </w:r>
    </w:p>
    <w:p>
      <w:pPr>
        <w:spacing w:before="120" w:after="40"/>
      </w:pPr>
      <w:r>
        <w:rPr>
          <w:rFonts w:ascii="Helvetica" w:hAnsi="Helvetica"/>
          <w:b/>
          <w:i w:val="0"/>
          <w:sz w:val="22"/>
        </w:rPr>
        <w:t>KPIs</w:t>
      </w:r>
    </w:p>
    <w:p>
      <w:pPr>
        <w:pStyle w:val="ListBullet"/>
      </w:pPr>
      <w:r>
        <w:rPr>
          <w:rFonts w:ascii="Helvetica" w:hAnsi="Helvetica"/>
          <w:sz w:val="21"/>
        </w:rPr>
        <w:t>Performance relativo ajustado por riesgo.</w:t>
      </w:r>
    </w:p>
    <w:p>
      <w:pPr>
        <w:pStyle w:val="ListBullet"/>
      </w:pPr>
      <w:r>
        <w:rPr>
          <w:rFonts w:ascii="Helvetica" w:hAnsi="Helvetica"/>
          <w:sz w:val="21"/>
        </w:rPr>
        <w:t>Disciplina en la aplicacion de politicas.</w:t>
      </w:r>
    </w:p>
    <w:p>
      <w:pPr>
        <w:pStyle w:val="ListBullet"/>
      </w:pPr>
      <w:r>
        <w:rPr>
          <w:rFonts w:ascii="Helvetica" w:hAnsi="Helvetica"/>
          <w:sz w:val="21"/>
        </w:rPr>
        <w:t>Calidad y puntualidad del proceso de inversion.</w:t>
      </w:r>
    </w:p>
    <w:p>
      <w:pPr>
        <w:pStyle w:val="ListBullet"/>
      </w:pPr>
      <w:r>
        <w:rPr>
          <w:rFonts w:ascii="Helvetica" w:hAnsi="Helvetica"/>
          <w:sz w:val="21"/>
        </w:rPr>
        <w:t>Cumplimiento del Charter y Governance.</w:t>
      </w:r>
    </w:p>
    <w:p>
      <w:pPr>
        <w:spacing w:before="120" w:after="40"/>
      </w:pPr>
      <w:r>
        <w:rPr>
          <w:rFonts w:ascii="Helvetica" w:hAnsi="Helvetica"/>
          <w:b/>
          <w:i w:val="0"/>
          <w:sz w:val="22"/>
        </w:rPr>
        <w:t>Limites de autoridad</w:t>
      </w:r>
    </w:p>
    <w:p>
      <w:pPr>
        <w:spacing w:after="80"/>
      </w:pPr>
      <w:r>
        <w:rPr>
          <w:rFonts w:ascii="Helvetica" w:hAnsi="Helvetica"/>
          <w:sz w:val="21"/>
        </w:rPr>
        <w:t>El CIO puede modificar el Operations Manual directamente. La modificacion del IPS es de su autoridad, sujeta al marco del Charter y del Governance &amp; Succession Framework. No puede modificar unilateralmente el Governance &amp; Succession Framework.</w:t>
      </w:r>
    </w:p>
    <w:p>
      <w:pPr>
        <w:spacing w:before="160" w:after="80"/>
      </w:pPr>
      <w:r>
        <w:rPr>
          <w:rFonts w:ascii="Helvetica" w:hAnsi="Helvetica"/>
          <w:b/>
          <w:sz w:val="24"/>
        </w:rPr>
        <w:t>2.2  Investment Associate</w:t>
      </w:r>
    </w:p>
    <w:p>
      <w:pPr>
        <w:spacing w:after="80"/>
      </w:pPr>
      <w:r>
        <w:rPr>
          <w:rFonts w:ascii="Helvetica" w:hAnsi="Helvetica"/>
          <w:sz w:val="21"/>
        </w:rPr>
        <w:t>El Investment Associate es el unico rol analitico del holding bajo la estructura transitoria 2026. Reporta directamente al CIO y absorbe las responsabilidades que en versiones futuras del manual seran distribuidas entre un Director of Research y un Investment Analyst. Es responsable tecnico del proceso de inversion: produce el analisis fundamental, los modelos de valoracion, los entregables institucionales y firma la exactitud tecnica de los documentos sobre cartera.</w:t>
      </w:r>
    </w:p>
    <w:p>
      <w:pPr>
        <w:spacing w:before="120" w:after="40"/>
      </w:pPr>
      <w:r>
        <w:rPr>
          <w:rFonts w:ascii="Helvetica" w:hAnsi="Helvetica"/>
          <w:b/>
          <w:i w:val="0"/>
          <w:sz w:val="22"/>
        </w:rPr>
        <w:t>Responsabilidades principales</w:t>
      </w:r>
    </w:p>
    <w:p>
      <w:pPr>
        <w:spacing w:after="80"/>
      </w:pPr>
      <w:r>
        <w:rPr>
          <w:rFonts w:ascii="Helvetica" w:hAnsi="Helvetica"/>
          <w:sz w:val="21"/>
        </w:rPr>
        <w:t>Ejecuta el ciclo analitico completo descrito en §1.5: screening, pre-analisis, Columbia Model, Thesis Breaker, Munger Digital, Investment Memo de 12 secciones y soporte al CIO en la ratificacion de la decision. Mantiene el ritmo de 20 a 25 deep dives por ano definido como meta operativa del holding.</w:t>
      </w:r>
    </w:p>
    <w:p>
      <w:pPr>
        <w:spacing w:after="80"/>
      </w:pPr>
      <w:r>
        <w:rPr>
          <w:rFonts w:ascii="Helvetica" w:hAnsi="Helvetica"/>
          <w:sz w:val="21"/>
        </w:rPr>
        <w:t>Produce los entregables institucionales: Monthly Close, Investment Decision Pack trimestral, Annual Close, Investment Memos, Pre-Mortems (con firma final del CIO) y Quarterly Re-Underwritings (con firma final del CIO). Al firmar la exactitud tecnica, el Associate asume responsabilidad propia sobre cada documento conforme al principio de delegacion analitica del §II. Cada documento se somete despues a la ratificacion de tesis y decision por parte del CIO antes de ser archivado en el Data Room.</w:t>
      </w:r>
    </w:p>
    <w:p>
      <w:pPr>
        <w:spacing w:after="80"/>
      </w:pPr>
      <w:r>
        <w:rPr>
          <w:rFonts w:ascii="Helvetica" w:hAnsi="Helvetica"/>
          <w:sz w:val="21"/>
        </w:rPr>
        <w:t>Para cada posicion en cartera, produce el Quarterly Re-Underwriting con las ocho secciones obligatorias, actualiza los KPIs contra el target del Memo §6 y mantiene la trazabilidad del Pre-Mortem en la §5 del Re-Underwriting. Escala al CIO de forma inmediata cualquier KPI o failure mode que alcance umbral de alerta o accion, conforme al IPS 4.7.</w:t>
      </w:r>
    </w:p>
    <w:p>
      <w:pPr>
        <w:spacing w:after="80"/>
      </w:pPr>
      <w:r>
        <w:rPr>
          <w:rFonts w:ascii="Helvetica" w:hAnsi="Helvetica"/>
          <w:sz w:val="21"/>
        </w:rPr>
        <w:t>Participa en la Reunion Semanal de Direccion (inicio de semana) y en la Reunion Tecnica-Tactica (mitad o cierre de semana) descritas en §1.1. Mantiene comunicacion continua con el CIO fuera de reuniones formales.</w:t>
      </w:r>
    </w:p>
    <w:p>
      <w:pPr>
        <w:spacing w:before="120" w:after="40"/>
      </w:pPr>
      <w:r>
        <w:rPr>
          <w:rFonts w:ascii="Helvetica" w:hAnsi="Helvetica"/>
          <w:b/>
          <w:i w:val="0"/>
          <w:sz w:val="22"/>
        </w:rPr>
        <w:t>Entregables obligatorios</w:t>
      </w:r>
    </w:p>
    <w:p>
      <w:pPr>
        <w:pStyle w:val="ListBullet"/>
      </w:pPr>
      <w:r>
        <w:rPr>
          <w:rFonts w:ascii="Helvetica" w:hAnsi="Helvetica"/>
          <w:sz w:val="21"/>
        </w:rPr>
        <w:t>Monthly Close (mensual).</w:t>
      </w:r>
    </w:p>
    <w:p>
      <w:pPr>
        <w:pStyle w:val="ListBullet"/>
      </w:pPr>
      <w:r>
        <w:rPr>
          <w:rFonts w:ascii="Helvetica" w:hAnsi="Helvetica"/>
          <w:sz w:val="21"/>
        </w:rPr>
        <w:t>Investment Memos completos (12 secciones, incluye Pre-Mortem §10 y Kill Criteria §11) — el Associate produce y firma exactitud tecnica; el CIO firma la decision.</w:t>
      </w:r>
    </w:p>
    <w:p>
      <w:pPr>
        <w:pStyle w:val="ListBullet"/>
      </w:pPr>
      <w:r>
        <w:rPr>
          <w:rFonts w:ascii="Helvetica" w:hAnsi="Helvetica"/>
          <w:sz w:val="21"/>
        </w:rPr>
        <w:t>Columbia Model, Thesis Breaker y Munger Digital para cada compania nueva analizada.</w:t>
      </w:r>
    </w:p>
    <w:p>
      <w:pPr>
        <w:pStyle w:val="ListBullet"/>
      </w:pPr>
      <w:r>
        <w:rPr>
          <w:rFonts w:ascii="Helvetica" w:hAnsi="Helvetica"/>
          <w:sz w:val="21"/>
        </w:rPr>
        <w:t>Quarterly Re-Underwritings producidos por posicion (trimestral) — firma tecnica del Associate, firma final del CIO.</w:t>
      </w:r>
    </w:p>
    <w:p>
      <w:pPr>
        <w:pStyle w:val="ListBullet"/>
      </w:pPr>
      <w:r>
        <w:rPr>
          <w:rFonts w:ascii="Helvetica" w:hAnsi="Helvetica"/>
          <w:sz w:val="21"/>
        </w:rPr>
        <w:t>Investment Decision Pack trimestral consolidado.</w:t>
      </w:r>
    </w:p>
    <w:p>
      <w:pPr>
        <w:pStyle w:val="ListBullet"/>
      </w:pPr>
      <w:r>
        <w:rPr>
          <w:rFonts w:ascii="Helvetica" w:hAnsi="Helvetica"/>
          <w:sz w:val="21"/>
        </w:rPr>
        <w:t>Dashboard agregado del portafolio (trimestral).</w:t>
      </w:r>
    </w:p>
    <w:p>
      <w:pPr>
        <w:pStyle w:val="ListBullet"/>
      </w:pPr>
      <w:r>
        <w:rPr>
          <w:rFonts w:ascii="Helvetica" w:hAnsi="Helvetica"/>
          <w:sz w:val="21"/>
        </w:rPr>
        <w:t>Annual Close.</w:t>
      </w:r>
    </w:p>
    <w:p>
      <w:pPr>
        <w:pStyle w:val="ListBullet"/>
      </w:pPr>
      <w:r>
        <w:rPr>
          <w:rFonts w:ascii="Helvetica" w:hAnsi="Helvetica"/>
          <w:sz w:val="21"/>
        </w:rPr>
        <w:t>Modelos, valuaciones y research completo de cada deep dive del ano.</w:t>
      </w:r>
    </w:p>
    <w:p>
      <w:pPr>
        <w:spacing w:before="120" w:after="40"/>
      </w:pPr>
      <w:r>
        <w:rPr>
          <w:rFonts w:ascii="Helvetica" w:hAnsi="Helvetica"/>
          <w:b/>
          <w:i w:val="0"/>
          <w:sz w:val="22"/>
        </w:rPr>
        <w:t>KPIs</w:t>
      </w:r>
    </w:p>
    <w:p>
      <w:pPr>
        <w:pStyle w:val="ListBullet"/>
      </w:pPr>
      <w:r>
        <w:rPr>
          <w:rFonts w:ascii="Helvetica" w:hAnsi="Helvetica"/>
          <w:sz w:val="21"/>
        </w:rPr>
        <w:t>Volumen de deep dives completados vs meta anual (20-25 por ano).</w:t>
      </w:r>
    </w:p>
    <w:p>
      <w:pPr>
        <w:pStyle w:val="ListBullet"/>
      </w:pPr>
      <w:r>
        <w:rPr>
          <w:rFonts w:ascii="Helvetica" w:hAnsi="Helvetica"/>
          <w:sz w:val="21"/>
        </w:rPr>
        <w:t>Calidad tecnica del analisis y profundidad de cada tesis.</w:t>
      </w:r>
    </w:p>
    <w:p>
      <w:pPr>
        <w:pStyle w:val="ListBullet"/>
      </w:pPr>
      <w:r>
        <w:rPr>
          <w:rFonts w:ascii="Helvetica" w:hAnsi="Helvetica"/>
          <w:sz w:val="21"/>
        </w:rPr>
        <w:t>Exactitud tecnica de los entregables firmados (frecuencia de errores numericos o de cuadre detectados por el CIO aguas abajo).</w:t>
      </w:r>
    </w:p>
    <w:p>
      <w:pPr>
        <w:pStyle w:val="ListBullet"/>
      </w:pPr>
      <w:r>
        <w:rPr>
          <w:rFonts w:ascii="Helvetica" w:hAnsi="Helvetica"/>
          <w:sz w:val="21"/>
        </w:rPr>
        <w:t>Puntualidad de entregables institucionales.</w:t>
      </w:r>
    </w:p>
    <w:p>
      <w:pPr>
        <w:pStyle w:val="ListBullet"/>
      </w:pPr>
      <w:r>
        <w:rPr>
          <w:rFonts w:ascii="Helvetica" w:hAnsi="Helvetica"/>
          <w:sz w:val="21"/>
        </w:rPr>
        <w:t>Completitud y sustancia de los Re-Underwritings trimestrales.</w:t>
      </w:r>
    </w:p>
    <w:p>
      <w:pPr>
        <w:pStyle w:val="ListBullet"/>
      </w:pPr>
      <w:r>
        <w:rPr>
          <w:rFonts w:ascii="Helvetica" w:hAnsi="Helvetica"/>
          <w:sz w:val="21"/>
        </w:rPr>
        <w:t>Disciplina documental y orden del Data Room.</w:t>
      </w:r>
    </w:p>
    <w:p>
      <w:pPr>
        <w:pStyle w:val="ListBullet"/>
      </w:pPr>
      <w:r>
        <w:rPr>
          <w:rFonts w:ascii="Helvetica" w:hAnsi="Helvetica"/>
          <w:sz w:val="21"/>
        </w:rPr>
        <w:t>Calidad de la comunicacion analitica con el CIO.</w:t>
      </w:r>
    </w:p>
    <w:p>
      <w:pPr>
        <w:spacing w:before="120" w:after="40"/>
      </w:pPr>
      <w:r>
        <w:rPr>
          <w:rFonts w:ascii="Helvetica" w:hAnsi="Helvetica"/>
          <w:b/>
          <w:i w:val="0"/>
          <w:sz w:val="22"/>
        </w:rPr>
        <w:t>Limites de autoridad</w:t>
      </w:r>
    </w:p>
    <w:p>
      <w:pPr>
        <w:spacing w:after="80"/>
      </w:pPr>
      <w:r>
        <w:rPr>
          <w:rFonts w:ascii="Helvetica" w:hAnsi="Helvetica"/>
          <w:sz w:val="21"/>
        </w:rPr>
        <w:t>El Investment Associate puede recomendar operaciones pero no aprobarlas; la decision final corresponde al CIO. No puede modificar politicas ni parametros del IPS, ni templates institucionales sin aprobacion expresa del CIO.</w:t>
      </w:r>
    </w:p>
    <w:p>
      <w:pPr>
        <w:spacing w:before="120" w:after="40"/>
      </w:pPr>
      <w:r>
        <w:rPr>
          <w:rFonts w:ascii="Helvetica" w:hAnsi="Helvetica"/>
          <w:b/>
          <w:i w:val="0"/>
          <w:sz w:val="22"/>
        </w:rPr>
        <w:t>Nota sobre evolucion del rol</w:t>
      </w:r>
    </w:p>
    <w:p>
      <w:pPr>
        <w:spacing w:after="80"/>
      </w:pPr>
      <w:r>
        <w:rPr>
          <w:rFonts w:ascii="Helvetica" w:hAnsi="Helvetica"/>
          <w:sz w:val="21"/>
        </w:rPr>
        <w:t>Cuando el holding incorpore un segundo perfil analitico, el Investment Associate evolucionara a Director of Investment Research y delegara las funciones de soporte tecnico al nuevo Analyst. El perfil del Associate se selecciona considerando esta trayectoria.</w:t>
      </w:r>
    </w:p>
    <w:p>
      <w:pPr>
        <w:spacing w:before="160" w:after="80"/>
      </w:pPr>
      <w:r>
        <w:rPr>
          <w:rFonts w:ascii="Helvetica" w:hAnsi="Helvetica"/>
          <w:b/>
          <w:sz w:val="24"/>
        </w:rPr>
        <w:t>2.3  Flujos de comunicacion</w:t>
      </w:r>
    </w:p>
    <w:p>
      <w:pPr>
        <w:spacing w:after="80"/>
      </w:pPr>
      <w:r>
        <w:rPr>
          <w:rFonts w:ascii="Helvetica" w:hAnsi="Helvetica"/>
          <w:sz w:val="21"/>
        </w:rPr>
        <w:t>Bajo la estructura transitoria 2026, la comunicacion analitica es directa entre el Investment Associate y el CIO. El flujo diario consiste en interacciones asincronicas continuas (Slack, comentarios en documentos, review de modelos). Semanalmente, ambos se reunen en la Reunion Semanal de Direccion (inicio de semana) y en la Reunion Tecnica-Tactica (mitad o cierre de semana) descritas en §1.1.</w:t>
      </w:r>
    </w:p>
    <w:p>
      <w:pPr>
        <w:spacing w:after="80"/>
      </w:pPr>
      <w:r>
        <w:rPr>
          <w:rFonts w:ascii="Helvetica" w:hAnsi="Helvetica"/>
          <w:sz w:val="21"/>
        </w:rPr>
        <w:t>El escalamiento de alertas sigue una regla estricta: cuando un KPI definido en el Memo §6 alcanza umbral de accion, o cuando un failure mode definido en el Memo §10 se activa, el Investment Associate notifica al CIO de forma inmediata, sin esperar a la siguiente reunion formal. El Associate es responsable de consolidar la informacion antes del escalamiento.</w:t>
      </w:r>
    </w:p>
    <w:p>
      <w:pPr>
        <w:spacing w:after="80"/>
      </w:pPr>
      <w:r>
        <w:rPr>
          <w:rFonts w:ascii="Helvetica" w:hAnsi="Helvetica"/>
          <w:sz w:val="21"/>
        </w:rPr>
        <w:t>En el flujo de evaluacion de nuevas tesis, el Munger Digital opera como filtro de conviccion intelectual ANTES de la ratificacion del CIO: ninguna tesis llega a decision sin haber pasado por Thesis Breaker (numeros) y Munger Digital (narrativa y sesgos) en su primer analisis. El Munger no decide la inversion; produce el decision_inputs.json que alimenta directamente la ratificacion del CIO y el registro del Decision Journal cuando la decision se toma. No existe paso colegiado intermedio entre el decision_inputs.json y la firma del CIO.</w:t>
      </w:r>
    </w:p>
    <w:p>
      <w:pPr>
        <w:spacing w:after="80"/>
      </w:pPr>
      <w:r>
        <w:rPr>
          <w:rFonts w:ascii="Helvetica" w:hAnsi="Helvetica"/>
          <w:sz w:val="21"/>
        </w:rPr>
        <w:t>En el flujo trimestral, ambos analisis (Thesis Breaker y Munger Digital) son a demanda. El CIO puede solicitarlos ante: cambio material en la tesis (un bullet del Memo §2 se debilita), activacion de un failure mode del Memo §10, recalibracion estructural de los umbrales, o cualquier evento que el CIO considere relevante para refrescar la conviccion.</w:t>
      </w:r>
    </w:p>
    <w:p>
      <w:pPr>
        <w:spacing w:after="80"/>
      </w:pPr>
      <w:r>
        <w:rPr>
          <w:rFonts w:ascii="Helvetica" w:hAnsi="Helvetica"/>
          <w:sz w:val="21"/>
        </w:rPr>
        <w:t>El CIO formaliza la decision sobre una tesis en una de cuatro categorias mutuamente excluyentes: BUY (aprobacion de inversion), FOLLOW (tesis valida pero sin ejecucion, mantener en seguimiento activo), PASS (descarte razonado tras research completo), o SELL (cierre de posicion existente). Las cuatro decisiones tienen el mismo estandar de documentacion: razonamiento explicito, evidencia y archivado en el Decision Journal. La diferencia entre PASS y FOLLOW es material: PASS descarta la tesis; FOLLOW la mantiene viva para revisarla sin re-research si cambia el precio o un fundamental clave.</w:t>
      </w:r>
    </w:p>
    <w:p>
      <w:pPr>
        <w:spacing w:before="240" w:after="120"/>
      </w:pPr>
      <w:r>
        <w:rPr>
          <w:rFonts w:ascii="Helvetica" w:hAnsi="Helvetica"/>
          <w:b/>
          <w:sz w:val="28"/>
        </w:rPr>
        <w:t>III  Controles, estandares y documentacion</w:t>
      </w:r>
    </w:p>
    <w:p>
      <w:pPr>
        <w:spacing w:before="160" w:after="80"/>
      </w:pPr>
      <w:r>
        <w:rPr>
          <w:rFonts w:ascii="Helvetica" w:hAnsi="Helvetica"/>
          <w:b/>
          <w:sz w:val="24"/>
        </w:rPr>
        <w:t>3.1  Procesos sujetos a control interno</w:t>
      </w:r>
    </w:p>
    <w:p>
      <w:pPr>
        <w:spacing w:after="80"/>
      </w:pPr>
      <w:r>
        <w:rPr>
          <w:rFonts w:ascii="Helvetica" w:hAnsi="Helvetica"/>
          <w:sz w:val="21"/>
        </w:rPr>
        <w:t>Los siguientes procesos requieren registro, evidencia y almacenamiento adecuado:</w:t>
      </w:r>
    </w:p>
    <w:p>
      <w:pPr>
        <w:pStyle w:val="ListBullet"/>
      </w:pPr>
      <w:r>
        <w:rPr>
          <w:rFonts w:ascii="Helvetica" w:hAnsi="Helvetica"/>
          <w:sz w:val="21"/>
        </w:rPr>
        <w:t>Preparacion y validacion del Monthly Close.</w:t>
      </w:r>
    </w:p>
    <w:p>
      <w:pPr>
        <w:pStyle w:val="ListBullet"/>
      </w:pPr>
      <w:r>
        <w:rPr>
          <w:rFonts w:ascii="Helvetica" w:hAnsi="Helvetica"/>
          <w:sz w:val="21"/>
        </w:rPr>
        <w:t>Preparacion y ratificacion del Investment Decision Pack trimestral.</w:t>
      </w:r>
    </w:p>
    <w:p>
      <w:pPr>
        <w:pStyle w:val="ListBullet"/>
      </w:pPr>
      <w:r>
        <w:rPr>
          <w:rFonts w:ascii="Helvetica" w:hAnsi="Helvetica"/>
          <w:sz w:val="21"/>
        </w:rPr>
        <w:t>Elaboracion del Annual Close.</w:t>
      </w:r>
    </w:p>
    <w:p>
      <w:pPr>
        <w:pStyle w:val="ListBullet"/>
      </w:pPr>
      <w:r>
        <w:rPr>
          <w:rFonts w:ascii="Helvetica" w:hAnsi="Helvetica"/>
          <w:sz w:val="21"/>
        </w:rPr>
        <w:t>Preparacion de Investment Memos obligatorios para toda inversion.</w:t>
      </w:r>
    </w:p>
    <w:p>
      <w:pPr>
        <w:pStyle w:val="ListBullet"/>
      </w:pPr>
      <w:r>
        <w:rPr>
          <w:rFonts w:ascii="Helvetica" w:hAnsi="Helvetica"/>
          <w:sz w:val="21"/>
        </w:rPr>
        <w:t>Preparacion de Quarterly Re-Underwritings trimestrales por posicion activa.</w:t>
      </w:r>
    </w:p>
    <w:p>
      <w:pPr>
        <w:pStyle w:val="ListBullet"/>
      </w:pPr>
      <w:r>
        <w:rPr>
          <w:rFonts w:ascii="Helvetica" w:hAnsi="Helvetica"/>
          <w:sz w:val="21"/>
        </w:rPr>
        <w:t>Registro de las decisiones del CIO (BUY / FOLLOW / PASS / SELL) en el Decision Journal.</w:t>
      </w:r>
    </w:p>
    <w:p>
      <w:pPr>
        <w:pStyle w:val="ListBullet"/>
      </w:pPr>
      <w:r>
        <w:rPr>
          <w:rFonts w:ascii="Helvetica" w:hAnsi="Helvetica"/>
          <w:sz w:val="21"/>
        </w:rPr>
        <w:t>Archivo de documentos estrategicos y formales.</w:t>
      </w:r>
    </w:p>
    <w:p>
      <w:pPr>
        <w:pStyle w:val="ListBullet"/>
      </w:pPr>
      <w:r>
        <w:rPr>
          <w:rFonts w:ascii="Helvetica" w:hAnsi="Helvetica"/>
          <w:sz w:val="21"/>
        </w:rPr>
        <w:t>Verificacion de consistencia entre datos de custodios, bancos y reportes internos.</w:t>
      </w:r>
    </w:p>
    <w:p>
      <w:pPr>
        <w:spacing w:before="160" w:after="80"/>
      </w:pPr>
      <w:r>
        <w:rPr>
          <w:rFonts w:ascii="Helvetica" w:hAnsi="Helvetica"/>
          <w:b/>
          <w:sz w:val="24"/>
        </w:rPr>
        <w:t>3.2  Controles aplicables</w:t>
      </w:r>
    </w:p>
    <w:p>
      <w:pPr>
        <w:pStyle w:val="ListBullet"/>
      </w:pPr>
      <w:r>
        <w:rPr>
          <w:rFonts w:ascii="Helvetica" w:hAnsi="Helvetica"/>
          <w:sz w:val="21"/>
        </w:rPr>
        <w:t>Conciliacion mensual de saldos con custodios y bancos.</w:t>
      </w:r>
    </w:p>
    <w:p>
      <w:pPr>
        <w:pStyle w:val="ListBullet"/>
      </w:pPr>
      <w:r>
        <w:rPr>
          <w:rFonts w:ascii="Helvetica" w:hAnsi="Helvetica"/>
          <w:sz w:val="21"/>
        </w:rPr>
        <w:t>Validacion de exactitud en datos utilizados en reportes.</w:t>
      </w:r>
    </w:p>
    <w:p>
      <w:pPr>
        <w:pStyle w:val="ListBullet"/>
      </w:pPr>
      <w:r>
        <w:rPr>
          <w:rFonts w:ascii="Helvetica" w:hAnsi="Helvetica"/>
          <w:sz w:val="21"/>
        </w:rPr>
        <w:t>Revision de integridad de los Investment Memos y Re-Underwritings.</w:t>
      </w:r>
    </w:p>
    <w:p>
      <w:pPr>
        <w:pStyle w:val="ListBullet"/>
      </w:pPr>
      <w:r>
        <w:rPr>
          <w:rFonts w:ascii="Helvetica" w:hAnsi="Helvetica"/>
          <w:sz w:val="21"/>
        </w:rPr>
        <w:t>Supervision del cumplimiento del IPS.</w:t>
      </w:r>
    </w:p>
    <w:p>
      <w:pPr>
        <w:pStyle w:val="ListBullet"/>
      </w:pPr>
      <w:r>
        <w:rPr>
          <w:rFonts w:ascii="Helvetica" w:hAnsi="Helvetica"/>
          <w:sz w:val="21"/>
        </w:rPr>
        <w:t>Verificacion del archivo correcto en el Data Room.</w:t>
      </w:r>
    </w:p>
    <w:p>
      <w:pPr>
        <w:pStyle w:val="ListBullet"/>
      </w:pPr>
      <w:r>
        <w:rPr>
          <w:rFonts w:ascii="Helvetica" w:hAnsi="Helvetica"/>
          <w:sz w:val="21"/>
        </w:rPr>
        <w:t>Seguimiento a riesgos operativos y regulatorios.</w:t>
      </w:r>
    </w:p>
    <w:p>
      <w:pPr>
        <w:spacing w:before="160" w:after="80"/>
      </w:pPr>
      <w:r>
        <w:rPr>
          <w:rFonts w:ascii="Helvetica" w:hAnsi="Helvetica"/>
          <w:b/>
          <w:sz w:val="24"/>
        </w:rPr>
        <w:t>3.3  Documentos obligatorios bajo control</w:t>
      </w:r>
    </w:p>
    <w:p>
      <w:pPr>
        <w:spacing w:after="80"/>
      </w:pPr>
      <w:r>
        <w:rPr>
          <w:rFonts w:ascii="Helvetica" w:hAnsi="Helvetica"/>
          <w:sz w:val="21"/>
        </w:rPr>
        <w:t>Los siguientes documentos son considerados materiales y deben cumplir estandares de elaboracion, revision y archivo:</w:t>
      </w:r>
    </w:p>
    <w:p>
      <w:pPr>
        <w:pStyle w:val="ListBullet"/>
      </w:pPr>
      <w:r>
        <w:rPr>
          <w:rFonts w:ascii="Helvetica" w:hAnsi="Helvetica"/>
          <w:sz w:val="21"/>
        </w:rPr>
        <w:t>Monthly Close.</w:t>
      </w:r>
    </w:p>
    <w:p>
      <w:pPr>
        <w:pStyle w:val="ListBullet"/>
      </w:pPr>
      <w:r>
        <w:rPr>
          <w:rFonts w:ascii="Helvetica" w:hAnsi="Helvetica"/>
          <w:sz w:val="21"/>
        </w:rPr>
        <w:t>Investment Decision Pack (trimestral).</w:t>
      </w:r>
    </w:p>
    <w:p>
      <w:pPr>
        <w:pStyle w:val="ListBullet"/>
      </w:pPr>
      <w:r>
        <w:rPr>
          <w:rFonts w:ascii="Helvetica" w:hAnsi="Helvetica"/>
          <w:sz w:val="21"/>
        </w:rPr>
        <w:t>Annual Close.</w:t>
      </w:r>
    </w:p>
    <w:p>
      <w:pPr>
        <w:pStyle w:val="ListBullet"/>
      </w:pPr>
      <w:r>
        <w:rPr>
          <w:rFonts w:ascii="Helvetica" w:hAnsi="Helvetica"/>
          <w:sz w:val="21"/>
        </w:rPr>
        <w:t>Investment Memo (Word, 12 secciones, incluye Pre-Mortem como §10 y Thesis Kill Criteria como §11).</w:t>
      </w:r>
    </w:p>
    <w:p>
      <w:pPr>
        <w:pStyle w:val="ListBullet"/>
      </w:pPr>
      <w:r>
        <w:rPr>
          <w:rFonts w:ascii="Helvetica" w:hAnsi="Helvetica"/>
          <w:sz w:val="21"/>
        </w:rPr>
        <w:t>Quarterly Re-Underwriting (Word, 8 secciones, uno por posicion por trimestre).</w:t>
      </w:r>
    </w:p>
    <w:p>
      <w:pPr>
        <w:pStyle w:val="ListBullet"/>
      </w:pPr>
      <w:r>
        <w:rPr>
          <w:rFonts w:ascii="Helvetica" w:hAnsi="Helvetica"/>
          <w:sz w:val="21"/>
        </w:rPr>
        <w:t>Decision Journal entries — registro firmado por el CIO de cada decision, una entrada por decision (BUY / FOLLOW / PASS / SELL), con razonamiento, evidencia y, cuando aplique, link al trade ejecutado.</w:t>
      </w:r>
    </w:p>
    <w:p>
      <w:pPr>
        <w:pStyle w:val="ListBullet"/>
      </w:pPr>
      <w:r>
        <w:rPr>
          <w:rFonts w:ascii="Helvetica" w:hAnsi="Helvetica"/>
          <w:sz w:val="21"/>
        </w:rPr>
        <w:t>Position Close Memos.</w:t>
      </w:r>
    </w:p>
    <w:p>
      <w:pPr>
        <w:pStyle w:val="ListBullet"/>
      </w:pPr>
      <w:r>
        <w:rPr>
          <w:rFonts w:ascii="Helvetica" w:hAnsi="Helvetica"/>
          <w:sz w:val="21"/>
        </w:rPr>
        <w:t>Position Adjustment Memos.</w:t>
      </w:r>
    </w:p>
    <w:p>
      <w:pPr>
        <w:pStyle w:val="ListBullet"/>
      </w:pPr>
      <w:r>
        <w:rPr>
          <w:rFonts w:ascii="Helvetica" w:hAnsi="Helvetica"/>
          <w:sz w:val="21"/>
        </w:rPr>
        <w:t>Columbia Model (modelo de valoracion de toda posicion activa o en evaluacion seria; Excel).</w:t>
      </w:r>
    </w:p>
    <w:p>
      <w:pPr>
        <w:pStyle w:val="ListBullet"/>
      </w:pPr>
      <w:r>
        <w:rPr>
          <w:rFonts w:ascii="Helvetica" w:hAnsi="Helvetica"/>
          <w:sz w:val="21"/>
        </w:rPr>
        <w:t>Thesis Breaker (stress test cuantitativo; obligatorio en primer analisis, a demanda en trimestrales).</w:t>
      </w:r>
    </w:p>
    <w:p>
      <w:pPr>
        <w:pStyle w:val="ListBullet"/>
      </w:pPr>
      <w:r>
        <w:rPr>
          <w:rFonts w:ascii="Helvetica" w:hAnsi="Helvetica"/>
          <w:sz w:val="21"/>
        </w:rPr>
        <w:t>Munger Digital (filtro de conviccion narrativo; obligatorio en primer analisis, a demanda en trimestrales; incluye decision_inputs.json).</w:t>
      </w:r>
    </w:p>
    <w:p>
      <w:pPr>
        <w:spacing w:after="80"/>
      </w:pPr>
      <w:r>
        <w:rPr>
          <w:rFonts w:ascii="Helvetica" w:hAnsi="Helvetica"/>
          <w:sz w:val="21"/>
        </w:rPr>
        <w:t>El Investment Associate es responsable de producir los documentos y de asegurar que cumplan los estandares formales y tecnicos del manual: estructura, naming convention, exactitud numerica, consistencia interna y trazabilidad de fuentes. El CIO revisa el contenido sustantivo (tesis, conclusiones, decision) conforme al principio de delegacion analitica del §II y firma la ratificacion final; no audita formato ni cuadre numerico.</w:t>
      </w:r>
    </w:p>
    <w:p>
      <w:pPr>
        <w:spacing w:before="160" w:after="80"/>
      </w:pPr>
      <w:r>
        <w:rPr>
          <w:rFonts w:ascii="Helvetica" w:hAnsi="Helvetica"/>
          <w:b/>
          <w:sz w:val="24"/>
        </w:rPr>
        <w:t>3.4  Governance Recalibration Trigger</w:t>
      </w:r>
    </w:p>
    <w:p>
      <w:pPr>
        <w:spacing w:after="80"/>
      </w:pPr>
      <w:r>
        <w:rPr>
          <w:rFonts w:ascii="Helvetica" w:hAnsi="Helvetica"/>
          <w:sz w:val="21"/>
        </w:rPr>
        <w:t>Gobernanza diferida — recalibracion por AUM. En la etapa actual de DCE Holdings, la capa de Comite de Inversiones se mantiene diferida para preservar agilidad y evitar burocracia desproporcionada al tamano del vehiculo. El CIO concentra la ultima responsabilidad sobre toda decision de inversion (BUY / FOLLOW / PASS / SELL / RECALIBRATE), con el Investment Associate firmando la exactitud tecnica del research package.</w:t>
      </w:r>
    </w:p>
    <w:p>
      <w:pPr>
        <w:spacing w:after="80"/>
      </w:pPr>
      <w:r>
        <w:rPr>
          <w:rFonts w:ascii="Helvetica" w:hAnsi="Helvetica"/>
          <w:sz w:val="21"/>
        </w:rPr>
        <w:t>Trigger de reactivacion: cuando el AUM consolidado del holding supere USD 10 millones, el presente documento sera revisado para reinstaurar la capa de Comite de Inversiones (composicion, quorum, cadencia y regimen de votacion a definir en la enmienda correspondiente). Hasta entonces, el regimen CIO-led aplica de forma integra y todo el manual debe leerse bajo ese supuesto.</w:t>
      </w:r>
    </w:p>
    <w:p>
      <w:pPr>
        <w:spacing w:before="160" w:after="80"/>
      </w:pPr>
      <w:r>
        <w:rPr>
          <w:rFonts w:ascii="Helvetica" w:hAnsi="Helvetica"/>
          <w:b/>
          <w:sz w:val="24"/>
        </w:rPr>
        <w:t>3.5  Estandares documentales</w:t>
      </w:r>
    </w:p>
    <w:p>
      <w:pPr>
        <w:spacing w:before="120" w:after="40"/>
      </w:pPr>
      <w:r>
        <w:rPr>
          <w:rFonts w:ascii="Helvetica" w:hAnsi="Helvetica"/>
          <w:b/>
          <w:i w:val="0"/>
          <w:sz w:val="22"/>
        </w:rPr>
        <w:t>Naming convention</w:t>
      </w:r>
    </w:p>
    <w:p>
      <w:pPr>
        <w:spacing w:after="80"/>
      </w:pPr>
      <w:r>
        <w:rPr>
          <w:rFonts w:ascii="Helvetica" w:hAnsi="Helvetica"/>
          <w:sz w:val="21"/>
        </w:rPr>
        <w:t>Todos los documentos institucionales seguiran el patron: 'AAAA-MM - Tipo - Detalle'. Ejemplos:</w:t>
      </w:r>
    </w:p>
    <w:p>
      <w:pPr>
        <w:pStyle w:val="ListBullet"/>
      </w:pPr>
      <w:r>
        <w:rPr>
          <w:rFonts w:ascii="Helvetica" w:hAnsi="Helvetica"/>
          <w:sz w:val="21"/>
        </w:rPr>
        <w:t>Investment Memo: '2026-03 - Investment Memo - Alphabet (GOOG)'.</w:t>
      </w:r>
    </w:p>
    <w:p>
      <w:pPr>
        <w:pStyle w:val="ListBullet"/>
      </w:pPr>
      <w:r>
        <w:rPr>
          <w:rFonts w:ascii="Helvetica" w:hAnsi="Helvetica"/>
          <w:sz w:val="21"/>
        </w:rPr>
        <w:t>Quarterly Re-Underwriting: '2026-Q1 - Re-Underwriting - Alphabet (GOOG)'.</w:t>
      </w:r>
    </w:p>
    <w:p>
      <w:pPr>
        <w:pStyle w:val="ListBullet"/>
      </w:pPr>
      <w:r>
        <w:rPr>
          <w:rFonts w:ascii="Helvetica" w:hAnsi="Helvetica"/>
          <w:sz w:val="21"/>
        </w:rPr>
        <w:t>Monthly Close: '2026-03 - Monthly Close'.</w:t>
      </w:r>
    </w:p>
    <w:p>
      <w:pPr>
        <w:pStyle w:val="ListBullet"/>
      </w:pPr>
      <w:r>
        <w:rPr>
          <w:rFonts w:ascii="Helvetica" w:hAnsi="Helvetica"/>
          <w:sz w:val="21"/>
        </w:rPr>
        <w:t>Investment Decision Pack: '2026-Q1 - Investment Decision Pack'.</w:t>
      </w:r>
    </w:p>
    <w:p>
      <w:pPr>
        <w:pStyle w:val="ListBullet"/>
      </w:pPr>
      <w:r>
        <w:rPr>
          <w:rFonts w:ascii="Helvetica" w:hAnsi="Helvetica"/>
          <w:sz w:val="21"/>
        </w:rPr>
        <w:t>Annual Close: '2026 - Annual Close'.</w:t>
      </w:r>
    </w:p>
    <w:p>
      <w:pPr>
        <w:pStyle w:val="ListBullet"/>
      </w:pPr>
      <w:r>
        <w:rPr>
          <w:rFonts w:ascii="Helvetica" w:hAnsi="Helvetica"/>
          <w:sz w:val="21"/>
        </w:rPr>
        <w:t>Carta Anual: '2026 - Carta Anual'.</w:t>
      </w:r>
    </w:p>
    <w:p>
      <w:pPr>
        <w:pStyle w:val="ListBullet"/>
      </w:pPr>
      <w:r>
        <w:rPr>
          <w:rFonts w:ascii="Helvetica" w:hAnsi="Helvetica"/>
          <w:sz w:val="21"/>
        </w:rPr>
        <w:t>Position Close Memo: '2026-06 - Close Memo - Alphabet (GOOG)'.</w:t>
      </w:r>
    </w:p>
    <w:p>
      <w:pPr>
        <w:pStyle w:val="ListBullet"/>
      </w:pPr>
      <w:r>
        <w:rPr>
          <w:rFonts w:ascii="Helvetica" w:hAnsi="Helvetica"/>
          <w:sz w:val="21"/>
        </w:rPr>
        <w:t>Position Adjustment Memo: '2026-06 - Adjustment Memo - Alphabet (GOOG) - Trim'.</w:t>
      </w:r>
    </w:p>
    <w:p>
      <w:pPr>
        <w:pStyle w:val="ListBullet"/>
      </w:pPr>
      <w:r>
        <w:rPr>
          <w:rFonts w:ascii="Helvetica" w:hAnsi="Helvetica"/>
          <w:sz w:val="21"/>
        </w:rPr>
        <w:t>Columbia Model: '2026-03 - Columbia Model - Alphabet (GOOG)'.</w:t>
      </w:r>
    </w:p>
    <w:p>
      <w:pPr>
        <w:pStyle w:val="ListBullet"/>
      </w:pPr>
      <w:r>
        <w:rPr>
          <w:rFonts w:ascii="Helvetica" w:hAnsi="Helvetica"/>
          <w:sz w:val="21"/>
        </w:rPr>
        <w:t>Thesis Breaker: '2026-03 - Thesis Breaker - Alphabet (GOOG)'.</w:t>
      </w:r>
    </w:p>
    <w:p>
      <w:pPr>
        <w:pStyle w:val="ListBullet"/>
      </w:pPr>
      <w:r>
        <w:rPr>
          <w:rFonts w:ascii="Helvetica" w:hAnsi="Helvetica"/>
          <w:sz w:val="21"/>
        </w:rPr>
        <w:t>Munger Digital: '2026-03 - Munger Digital - Alphabet (GOOG)'.</w:t>
      </w:r>
    </w:p>
    <w:p>
      <w:pPr>
        <w:pStyle w:val="ListBullet"/>
      </w:pPr>
      <w:r>
        <w:rPr>
          <w:rFonts w:ascii="Helvetica" w:hAnsi="Helvetica"/>
          <w:sz w:val="21"/>
        </w:rPr>
        <w:t>Pre-Memo: '2026-03 - Pre-Memo - Alphabet (GOOG)'.</w:t>
      </w:r>
    </w:p>
    <w:p>
      <w:pPr>
        <w:pStyle w:val="ListBullet"/>
      </w:pPr>
      <w:r>
        <w:rPr>
          <w:rFonts w:ascii="Helvetica" w:hAnsi="Helvetica"/>
          <w:sz w:val="21"/>
        </w:rPr>
        <w:t>Screening Brief: '2026-03 - Screening Brief - Auto Parts'.</w:t>
      </w:r>
    </w:p>
    <w:p>
      <w:pPr>
        <w:pStyle w:val="ListBullet"/>
      </w:pPr>
      <w:r>
        <w:rPr>
          <w:rFonts w:ascii="Helvetica" w:hAnsi="Helvetica"/>
          <w:sz w:val="21"/>
        </w:rPr>
        <w:t>Decision Inputs: '2026-03 - Decision Inputs - Alphabet (GOOG)' (puente Munger -&gt; ratificacion CIO, formato .json).</w:t>
      </w:r>
    </w:p>
    <w:p>
      <w:pPr>
        <w:spacing w:after="80"/>
      </w:pPr>
      <w:r>
        <w:rPr>
          <w:rFonts w:ascii="Helvetica" w:hAnsi="Helvetica"/>
          <w:sz w:val="21"/>
        </w:rPr>
        <w:t>Documentos producidos bajo versiones anteriores de este manual (Scorecard de posicion, Investment Fact Sheet, Desconfirmacion) se conservan en su carpeta historica y NO se generan en formato v3.2 en adelante.</w:t>
      </w:r>
    </w:p>
    <w:p>
      <w:pPr>
        <w:spacing w:before="120" w:after="40"/>
      </w:pPr>
      <w:r>
        <w:rPr>
          <w:rFonts w:ascii="Helvetica" w:hAnsi="Helvetica"/>
          <w:b/>
          <w:i w:val="0"/>
          <w:sz w:val="22"/>
        </w:rPr>
        <w:t>Formato de archivos</w:t>
      </w:r>
    </w:p>
    <w:p>
      <w:pPr>
        <w:spacing w:after="80"/>
      </w:pPr>
      <w:r>
        <w:rPr>
          <w:rFonts w:ascii="Helvetica" w:hAnsi="Helvetica"/>
          <w:sz w:val="21"/>
        </w:rPr>
        <w:t>Los documentos narrativos e institucionales (memos, re-underwritings, cartas, Investment Decision Pack) se producen en formato .docx o .pdf para archivo. Los modelos financieros se producen en formato .xlsx. Las presentaciones, cuando apliquen, en formato .pptx. El archivo definitivo en el Data Room sera siempre en .pdf para documentos narrativos y .xlsx para modelos.</w:t>
      </w:r>
    </w:p>
    <w:p>
      <w:pPr>
        <w:spacing w:before="120" w:after="40"/>
      </w:pPr>
      <w:r>
        <w:rPr>
          <w:rFonts w:ascii="Helvetica" w:hAnsi="Helvetica"/>
          <w:b/>
          <w:i w:val="0"/>
          <w:sz w:val="22"/>
        </w:rPr>
        <w:t>Estructura del Data Room</w:t>
      </w:r>
    </w:p>
    <w:p>
      <w:pPr>
        <w:spacing w:after="80"/>
      </w:pPr>
      <w:r>
        <w:rPr>
          <w:rFonts w:ascii="Helvetica" w:hAnsi="Helvetica"/>
          <w:sz w:val="21"/>
        </w:rPr>
        <w:t>El Data Room institucional se organiza en las siguientes carpetas de primer nivel:</w:t>
      </w:r>
    </w:p>
    <w:p>
      <w:pPr>
        <w:pStyle w:val="ListBullet"/>
      </w:pPr>
      <w:r>
        <w:rPr>
          <w:rFonts w:ascii="Helvetica" w:hAnsi="Helvetica"/>
          <w:sz w:val="21"/>
        </w:rPr>
        <w:t>01 - Marco Normativo (Charter, IPS, Governance, Operations Manual, Provider Directory y versiones historicas).</w:t>
      </w:r>
    </w:p>
    <w:p>
      <w:pPr>
        <w:pStyle w:val="ListBullet"/>
      </w:pPr>
      <w:r>
        <w:rPr>
          <w:rFonts w:ascii="Helvetica" w:hAnsi="Helvetica"/>
          <w:sz w:val="21"/>
        </w:rPr>
        <w:t>02 - Portafolio (subcarpeta por posicion: memo, modelo, re-underwritings trimestrales, _Historico_pre-v3.2/ con scorecards/IFS/desconfirmaciones de versiones anteriores).</w:t>
      </w:r>
    </w:p>
    <w:p>
      <w:pPr>
        <w:pStyle w:val="ListBullet"/>
      </w:pPr>
      <w:r>
        <w:rPr>
          <w:rFonts w:ascii="Helvetica" w:hAnsi="Helvetica"/>
          <w:sz w:val="21"/>
        </w:rPr>
        <w:t>03 - Monthly Close (un archivo por mes).</w:t>
      </w:r>
    </w:p>
    <w:p>
      <w:pPr>
        <w:pStyle w:val="ListBullet"/>
      </w:pPr>
      <w:r>
        <w:rPr>
          <w:rFonts w:ascii="Helvetica" w:hAnsi="Helvetica"/>
          <w:sz w:val="21"/>
        </w:rPr>
        <w:t>04 - Investment Decision Pack (un folder por trimestre, incluye el Pack ratificado y los Re-Underwritings firmados por el CIO).</w:t>
      </w:r>
    </w:p>
    <w:p>
      <w:pPr>
        <w:pStyle w:val="ListBullet"/>
      </w:pPr>
      <w:r>
        <w:rPr>
          <w:rFonts w:ascii="Helvetica" w:hAnsi="Helvetica"/>
          <w:sz w:val="21"/>
        </w:rPr>
        <w:t>05 - Annual Close y Carta Anual (un folder por ano).</w:t>
      </w:r>
    </w:p>
    <w:p>
      <w:pPr>
        <w:pStyle w:val="ListBullet"/>
      </w:pPr>
      <w:r>
        <w:rPr>
          <w:rFonts w:ascii="Helvetica" w:hAnsi="Helvetica"/>
          <w:sz w:val="21"/>
        </w:rPr>
        <w:t>06 - Pipeline (research preliminar, pre-memos, ideas descartadas).</w:t>
      </w:r>
    </w:p>
    <w:p>
      <w:pPr>
        <w:pStyle w:val="ListBullet"/>
      </w:pPr>
      <w:r>
        <w:rPr>
          <w:rFonts w:ascii="Helvetica" w:hAnsi="Helvetica"/>
          <w:sz w:val="21"/>
        </w:rPr>
        <w:t>07 - Nombramientos y Legal (nombramientos del Successor, contratos relevantes).</w:t>
      </w:r>
    </w:p>
    <w:p>
      <w:pPr>
        <w:pStyle w:val="ListBullet"/>
      </w:pPr>
      <w:r>
        <w:rPr>
          <w:rFonts w:ascii="Helvetica" w:hAnsi="Helvetica"/>
          <w:sz w:val="21"/>
        </w:rPr>
        <w:t>08 - Administracion (conciliaciones, correspondencia con custodios y bancos).</w:t>
      </w:r>
    </w:p>
    <w:p>
      <w:pPr>
        <w:spacing w:after="80"/>
      </w:pPr>
      <w:r>
        <w:rPr>
          <w:rFonts w:ascii="Helvetica" w:hAnsi="Helvetica"/>
          <w:sz w:val="21"/>
        </w:rPr>
        <w:t>Toda carpeta de posicion dentro de 02 - Portafolio seguira el formato: 'Ticker - Nombre (ej: GOOG - Alphabet)'. Dentro de cada carpeta de posicion existira una subcarpeta '_Historico_pre-v3.2/' que aloja los documentos producidos bajo el formato anterior (Scorecards, IFS, Desconfirmaciones, Pre-Mortems independientes). Estos documentos se preservan como registro pero ya no se producen.</w:t>
      </w:r>
    </w:p>
    <w:p>
      <w:pPr>
        <w:spacing w:after="80"/>
      </w:pPr>
      <w:r>
        <w:rPr>
          <w:rFonts w:ascii="Helvetica" w:hAnsi="Helvetica"/>
          <w:sz w:val="21"/>
        </w:rPr>
        <w:t>El Data Room institucional se aloja en el portal de DCE Holdings (dceholdings.app/dataroom.html), bajo control del CIO. El archivado de artefactos de research, monthly close, re-underwritings, Investment Decision Packs y cierres anuales es automatico mediante los helpers compartidos invocados por las skills institucionales (columbia-valuation, valuation-report, dce-thesis-breaker, dce-munger-digital, dce-reunderwriting-doc y las skills mensuales/trimestrales/anuales). Cada archivado renombra el archivo segun la convencion de esta seccion, lo deposita en la carpeta correcta del Data Room, actualiza el indice institucional y queda registrado en el repositorio dceh con commit firmado por la identidad del CIO.</w:t>
      </w:r>
    </w:p>
    <w:p>
      <w:pPr>
        <w:spacing w:before="120" w:after="40"/>
      </w:pPr>
      <w:r>
        <w:rPr>
          <w:rFonts w:ascii="Helvetica" w:hAnsi="Helvetica"/>
          <w:b/>
          <w:i w:val="0"/>
          <w:sz w:val="22"/>
        </w:rPr>
        <w:t>Decision Journal — registro de decisiones del CIO</w:t>
      </w:r>
    </w:p>
    <w:p>
      <w:pPr>
        <w:spacing w:after="80"/>
      </w:pPr>
      <w:r>
        <w:rPr>
          <w:rFonts w:ascii="Helvetica" w:hAnsi="Helvetica"/>
          <w:sz w:val="21"/>
        </w:rPr>
        <w:t>El Decision Journal es el registro vivo de las decisiones del CIO sobre cada tesis evaluada. Se aloja en el portal de DCE Holdings (dceholdings.app/journal.html) y constituye la fuente de verdad operativa de las decisiones tomadas; el Data Room conserva los memos y entregables formales, el Decision Journal conserva la decision como tal con su razonamiento y trazabilidad.</w:t>
      </w:r>
    </w:p>
    <w:p>
      <w:pPr>
        <w:spacing w:after="80"/>
      </w:pPr>
      <w:r>
        <w:rPr>
          <w:rFonts w:ascii="Helvetica" w:hAnsi="Helvetica"/>
          <w:sz w:val="21"/>
        </w:rPr>
        <w:t>Cada entrada del Journal corresponde a una de las cuatro decisiones del CIO (BUY / FOLLOW / PASS / SELL) y debe contener, al minimo: tesis evaluada, razonamiento de la decision, evidencia material citada, conviction level del CIO, link al Investment Memo y, cuando aplique, link al trade ejecutado y al Pre-Mortem activo.</w:t>
      </w:r>
    </w:p>
    <w:p>
      <w:pPr>
        <w:spacing w:after="80"/>
      </w:pPr>
      <w:r>
        <w:rPr>
          <w:rFonts w:ascii="Helvetica" w:hAnsi="Helvetica"/>
          <w:sz w:val="21"/>
        </w:rPr>
        <w:t>La integridad del Decision Journal es responsabilidad del CIO. Toda decision debe quedar registrada antes del cierre del dia en que se tomo. El Journal no se edita: las decisiones se enmiendan creando una nueva entrada vinculada (por ejemplo, un SELL referenciando el BUY original) que preserva el registro historico.</w:t>
      </w:r>
    </w:p>
    <w:p>
      <w:pPr>
        <w:spacing w:before="120" w:after="40"/>
      </w:pPr>
      <w:r>
        <w:rPr>
          <w:rFonts w:ascii="Helvetica" w:hAnsi="Helvetica"/>
          <w:b/>
          <w:i w:val="0"/>
          <w:sz w:val="22"/>
        </w:rPr>
        <w:t>Reglas generales</w:t>
      </w:r>
    </w:p>
    <w:p>
      <w:pPr>
        <w:spacing w:after="80"/>
      </w:pPr>
      <w:r>
        <w:rPr>
          <w:rFonts w:ascii="Helvetica" w:hAnsi="Helvetica"/>
          <w:sz w:val="21"/>
        </w:rPr>
        <w:t>Todos los documentos deben estar limpios, sin errores formales o duplicados. Cada version debe archivarse con su numero de version. No se eliminan versiones anteriores; se mantienen como registro historico.</w:t>
      </w:r>
    </w:p>
    <w:p>
      <w:pPr>
        <w:spacing w:before="160" w:after="80"/>
      </w:pPr>
      <w:r>
        <w:rPr>
          <w:rFonts w:ascii="Helvetica" w:hAnsi="Helvetica"/>
          <w:b/>
          <w:sz w:val="24"/>
        </w:rPr>
        <w:t>3.6  Auditoria interna</w:t>
      </w:r>
    </w:p>
    <w:p>
      <w:pPr>
        <w:spacing w:after="80"/>
      </w:pPr>
      <w:r>
        <w:rPr>
          <w:rFonts w:ascii="Helvetica" w:hAnsi="Helvetica"/>
          <w:sz w:val="21"/>
        </w:rPr>
        <w:t>Los procesos criticos deben poder ser auditados en cualquier momento mediante: verificacion del cumplimiento del IPS, revision de supuestos utilizados en reportes, trazabilidad del flujo de datos, consistencia entre reportes internos y externos, y disponibilidad correcta de documentos en el Data Room y de decisiones en el Decision Journal.</w:t>
      </w:r>
    </w:p>
    <w:p>
      <w:pPr>
        <w:spacing w:before="240" w:after="120"/>
      </w:pPr>
      <w:r>
        <w:rPr>
          <w:rFonts w:ascii="Helvetica" w:hAnsi="Helvetica"/>
          <w:b/>
          <w:sz w:val="28"/>
        </w:rPr>
        <w:t>IV  Conducta, compliance y seguridad</w:t>
      </w:r>
    </w:p>
    <w:p>
      <w:pPr>
        <w:spacing w:before="160" w:after="80"/>
      </w:pPr>
      <w:r>
        <w:rPr>
          <w:rFonts w:ascii="Helvetica" w:hAnsi="Helvetica"/>
          <w:b/>
          <w:sz w:val="24"/>
        </w:rPr>
        <w:t>4.1  Principios de conducta</w:t>
      </w:r>
    </w:p>
    <w:p>
      <w:pPr>
        <w:spacing w:after="80"/>
      </w:pPr>
      <w:r>
        <w:rPr>
          <w:rFonts w:ascii="Helvetica" w:hAnsi="Helvetica"/>
          <w:sz w:val="21"/>
        </w:rPr>
        <w:t>Todos los miembros del equipo deberan conducirse bajo los siguientes principios:</w:t>
      </w:r>
    </w:p>
    <w:p>
      <w:pPr>
        <w:pStyle w:val="ListBullet"/>
      </w:pPr>
      <w:r>
        <w:rPr>
          <w:rFonts w:ascii="Helvetica" w:hAnsi="Helvetica"/>
          <w:sz w:val="21"/>
        </w:rPr>
        <w:t>Integridad absoluta en todas las decisiones.</w:t>
      </w:r>
    </w:p>
    <w:p>
      <w:pPr>
        <w:pStyle w:val="ListBullet"/>
      </w:pPr>
      <w:r>
        <w:rPr>
          <w:rFonts w:ascii="Helvetica" w:hAnsi="Helvetica"/>
          <w:sz w:val="21"/>
        </w:rPr>
        <w:t>Confidencialidad estricta sobre toda informacion interna.</w:t>
      </w:r>
    </w:p>
    <w:p>
      <w:pPr>
        <w:pStyle w:val="ListBullet"/>
      </w:pPr>
      <w:r>
        <w:rPr>
          <w:rFonts w:ascii="Helvetica" w:hAnsi="Helvetica"/>
          <w:sz w:val="21"/>
        </w:rPr>
        <w:t>Rigurosidad profesional en analisis, modelos y documentacion.</w:t>
      </w:r>
    </w:p>
    <w:p>
      <w:pPr>
        <w:pStyle w:val="ListBullet"/>
      </w:pPr>
      <w:r>
        <w:rPr>
          <w:rFonts w:ascii="Helvetica" w:hAnsi="Helvetica"/>
          <w:sz w:val="21"/>
        </w:rPr>
        <w:t>Actuacion siempre en beneficio del holding y del patrimonio familiar.</w:t>
      </w:r>
    </w:p>
    <w:p>
      <w:pPr>
        <w:pStyle w:val="ListBullet"/>
      </w:pPr>
      <w:r>
        <w:rPr>
          <w:rFonts w:ascii="Helvetica" w:hAnsi="Helvetica"/>
          <w:sz w:val="21"/>
        </w:rPr>
        <w:t>Coherencia con los valores intergeneracionales definidos en el Charter.</w:t>
      </w:r>
    </w:p>
    <w:p>
      <w:pPr>
        <w:spacing w:before="160" w:after="80"/>
      </w:pPr>
      <w:r>
        <w:rPr>
          <w:rFonts w:ascii="Helvetica" w:hAnsi="Helvetica"/>
          <w:b/>
          <w:sz w:val="24"/>
        </w:rPr>
        <w:t>4.2  Etica profesional y responsabilidad fiduciaria</w:t>
      </w:r>
    </w:p>
    <w:p>
      <w:pPr>
        <w:spacing w:after="80"/>
      </w:pPr>
      <w:r>
        <w:rPr>
          <w:rFonts w:ascii="Helvetica" w:hAnsi="Helvetica"/>
          <w:sz w:val="21"/>
        </w:rPr>
        <w:t>DCE Holdings adopta estandares equivalentes a los de un family office institucional. La responsabilidad fiduciaria implica priorizar la preservacion y crecimiento del patrimonio, evitar sesgos personales en decisiones de inversion, revelar cualquier relacion, incentivo o interes externo relevante, y mantener registros, modelos y entregables de maxima calidad.</w:t>
      </w:r>
    </w:p>
    <w:p>
      <w:pPr>
        <w:spacing w:before="160" w:after="80"/>
      </w:pPr>
      <w:r>
        <w:rPr>
          <w:rFonts w:ascii="Helvetica" w:hAnsi="Helvetica"/>
          <w:b/>
          <w:sz w:val="24"/>
        </w:rPr>
        <w:t>4.3  Confidencialidad y clasificacion de informacion</w:t>
      </w:r>
    </w:p>
    <w:p>
      <w:pPr>
        <w:spacing w:after="80"/>
      </w:pPr>
      <w:r>
        <w:rPr>
          <w:rFonts w:ascii="Helvetica" w:hAnsi="Helvetica"/>
          <w:sz w:val="21"/>
        </w:rPr>
        <w:t>Se prohibe estrictamente compartir documentacion interna sin autorizacion expresa del CIO. La informacion se clasifica en tres niveles: Nivel 1 comprende Charter, IPS, Governance, memos aprobados, Investment Decision Packs, Decision Journal y Monthly Close. Nivel 2 comprende modelos financieros, research y templates internos. Nivel 3 comprende material operativo general.</w:t>
      </w:r>
    </w:p>
    <w:p>
      <w:pPr>
        <w:spacing w:before="160" w:after="80"/>
      </w:pPr>
      <w:r>
        <w:rPr>
          <w:rFonts w:ascii="Helvetica" w:hAnsi="Helvetica"/>
          <w:b/>
          <w:sz w:val="24"/>
        </w:rPr>
        <w:t>4.4  Conflictos de interes</w:t>
      </w:r>
    </w:p>
    <w:p>
      <w:pPr>
        <w:spacing w:after="80"/>
      </w:pPr>
      <w:r>
        <w:rPr>
          <w:rFonts w:ascii="Helvetica" w:hAnsi="Helvetica"/>
          <w:sz w:val="21"/>
        </w:rPr>
        <w:t>Todo miembro del equipo debe declarar cualquier situacion que pueda afectar su independencia de criterio, incluyendo relaciones profesionales, economicas o familiares con empresas analizadas o potencialmente analizadas.</w:t>
      </w:r>
    </w:p>
    <w:p>
      <w:pPr>
        <w:spacing w:before="160" w:after="80"/>
      </w:pPr>
      <w:r>
        <w:rPr>
          <w:rFonts w:ascii="Helvetica" w:hAnsi="Helvetica"/>
          <w:b/>
          <w:sz w:val="24"/>
        </w:rPr>
        <w:t>4.5  Trading personal</w:t>
      </w:r>
    </w:p>
    <w:p>
      <w:pPr>
        <w:spacing w:after="80"/>
      </w:pPr>
      <w:r>
        <w:rPr>
          <w:rFonts w:ascii="Helvetica" w:hAnsi="Helvetica"/>
          <w:sz w:val="21"/>
        </w:rPr>
        <w:t>Queda terminantemente prohibida toda operativa personal, directa o indirecta, en:</w:t>
      </w:r>
    </w:p>
    <w:p>
      <w:pPr>
        <w:pStyle w:val="ListBullet"/>
      </w:pPr>
      <w:r>
        <w:rPr>
          <w:rFonts w:ascii="Helvetica" w:hAnsi="Helvetica"/>
          <w:sz w:val="21"/>
        </w:rPr>
        <w:t>Valores en cartera.</w:t>
      </w:r>
    </w:p>
    <w:p>
      <w:pPr>
        <w:pStyle w:val="ListBullet"/>
      </w:pPr>
      <w:r>
        <w:rPr>
          <w:rFonts w:ascii="Helvetica" w:hAnsi="Helvetica"/>
          <w:sz w:val="21"/>
        </w:rPr>
        <w:t>Valores en pipeline.</w:t>
      </w:r>
    </w:p>
    <w:p>
      <w:pPr>
        <w:pStyle w:val="ListBullet"/>
      </w:pPr>
      <w:r>
        <w:rPr>
          <w:rFonts w:ascii="Helvetica" w:hAnsi="Helvetica"/>
          <w:sz w:val="21"/>
        </w:rPr>
        <w:t>Valores en FOLLOW (tesis valida sin ejecucion, mantenidas en seguimiento).</w:t>
      </w:r>
    </w:p>
    <w:p>
      <w:pPr>
        <w:pStyle w:val="ListBullet"/>
      </w:pPr>
      <w:r>
        <w:rPr>
          <w:rFonts w:ascii="Helvetica" w:hAnsi="Helvetica"/>
          <w:sz w:val="21"/>
        </w:rPr>
        <w:t>Valores analizados en los ultimos 24 meses.</w:t>
      </w:r>
    </w:p>
    <w:p>
      <w:pPr>
        <w:pStyle w:val="ListBullet"/>
      </w:pPr>
      <w:r>
        <w:rPr>
          <w:rFonts w:ascii="Helvetica" w:hAnsi="Helvetica"/>
          <w:sz w:val="21"/>
        </w:rPr>
        <w:t>Valores bajo discusion preliminar o exploratoria.</w:t>
      </w:r>
    </w:p>
    <w:p>
      <w:pPr>
        <w:spacing w:after="80"/>
      </w:pPr>
      <w:r>
        <w:rPr>
          <w:rFonts w:ascii="Helvetica" w:hAnsi="Helvetica"/>
          <w:sz w:val="21"/>
        </w:rPr>
        <w:t>Cualquier violacion implica sancion grave y puede dar lugar a terminacion inmediata.</w:t>
      </w:r>
    </w:p>
    <w:p>
      <w:pPr>
        <w:spacing w:before="160" w:after="80"/>
      </w:pPr>
      <w:r>
        <w:rPr>
          <w:rFonts w:ascii="Helvetica" w:hAnsi="Helvetica"/>
          <w:b/>
          <w:sz w:val="24"/>
        </w:rPr>
        <w:t>4.6  Reglas operativas obligatorias</w:t>
      </w:r>
    </w:p>
    <w:p>
      <w:pPr>
        <w:spacing w:after="80"/>
      </w:pPr>
      <w:r>
        <w:rPr>
          <w:rFonts w:ascii="Helvetica" w:hAnsi="Helvetica"/>
          <w:sz w:val="21"/>
        </w:rPr>
        <w:t>Ninguna operacion podra ejecutarse sin Investment Memo aprobado y firmado por el CIO, y sin su decision BUY correspondiente registrada en el Decision Journal. Toda documentacion debe mantenerse actualizada, ordenada y verificable. Todo analisis debera incluir supuestos explicitos, fuentes y sensibilidad. Toda interaccion relevante con contrapartes debera quedar registrada. Todo entregable debera ubicarse correctamente en el Data Room institucional.</w:t>
      </w:r>
    </w:p>
    <w:p>
      <w:pPr>
        <w:spacing w:before="160" w:after="80"/>
      </w:pPr>
      <w:r>
        <w:rPr>
          <w:rFonts w:ascii="Helvetica" w:hAnsi="Helvetica"/>
          <w:b/>
          <w:sz w:val="24"/>
        </w:rPr>
        <w:t>4.7  Proveedores externos y auditoria</w:t>
      </w:r>
    </w:p>
    <w:p>
      <w:pPr>
        <w:spacing w:after="80"/>
      </w:pPr>
      <w:r>
        <w:rPr>
          <w:rFonts w:ascii="Helvetica" w:hAnsi="Helvetica"/>
          <w:sz w:val="21"/>
        </w:rPr>
        <w:t>DCE Holdings solo trabajara con proveedores reputados, auditables y tecnicamente competentes, con politicas de seguridad compatibles y sin conflictos de interes. Se realizara una auditoria externa anual del sistema documental, procesos y seguridad.</w:t>
      </w:r>
    </w:p>
    <w:p>
      <w:pPr>
        <w:spacing w:before="160" w:after="80"/>
      </w:pPr>
      <w:r>
        <w:rPr>
          <w:rFonts w:ascii="Helvetica" w:hAnsi="Helvetica"/>
          <w:b/>
          <w:sz w:val="24"/>
        </w:rPr>
        <w:t>4.8  Whistleblower policy</w:t>
      </w:r>
    </w:p>
    <w:p>
      <w:pPr>
        <w:spacing w:after="80"/>
      </w:pPr>
      <w:r>
        <w:rPr>
          <w:rFonts w:ascii="Helvetica" w:hAnsi="Helvetica"/>
          <w:sz w:val="21"/>
        </w:rPr>
        <w:t>Cualquier miembro del equipo podra reportar violaciones de forma anonima y confidencial al Executive Chairman &amp; CIO. Cuando el reporte involucre directamente al CIO, el reporte se dirigira al Successor designado conforme al Governance &amp; Succession Framework. DCE Holdings garantiza proteccion completa contra represalias.</w:t>
      </w:r>
    </w:p>
    <w:p>
      <w:pPr>
        <w:spacing w:before="160" w:after="80"/>
      </w:pPr>
      <w:r>
        <w:rPr>
          <w:rFonts w:ascii="Helvetica" w:hAnsi="Helvetica"/>
          <w:b/>
          <w:sz w:val="24"/>
        </w:rPr>
        <w:t>4.9  Seguridad operativa</w:t>
      </w:r>
    </w:p>
    <w:p>
      <w:pPr>
        <w:spacing w:before="120" w:after="40"/>
      </w:pPr>
      <w:r>
        <w:rPr>
          <w:rFonts w:ascii="Helvetica" w:hAnsi="Helvetica"/>
          <w:b/>
          <w:i w:val="0"/>
          <w:sz w:val="22"/>
        </w:rPr>
        <w:t>Accesos digitales</w:t>
      </w:r>
    </w:p>
    <w:p>
      <w:pPr>
        <w:spacing w:after="80"/>
      </w:pPr>
      <w:r>
        <w:rPr>
          <w:rFonts w:ascii="Helvetica" w:hAnsi="Helvetica"/>
          <w:sz w:val="21"/>
        </w:rPr>
        <w:t>Todas las plataformas requieren autenticacion de dos factores (2FA). El acceso se otorga con base en roles bajo el principio de privilegio minimo. Las contrasenas se rotan periodicamente y esta prohibido compartirlas. El administrador unico de accesos es el Executive Chairman &amp; CIO.</w:t>
      </w:r>
    </w:p>
    <w:p>
      <w:pPr>
        <w:spacing w:before="120" w:after="40"/>
      </w:pPr>
      <w:r>
        <w:rPr>
          <w:rFonts w:ascii="Helvetica" w:hAnsi="Helvetica"/>
          <w:b/>
          <w:i w:val="0"/>
          <w:sz w:val="22"/>
        </w:rPr>
        <w:t>Seguridad de cuentas financieras</w:t>
      </w:r>
    </w:p>
    <w:p>
      <w:pPr>
        <w:spacing w:after="80"/>
      </w:pPr>
      <w:r>
        <w:rPr>
          <w:rFonts w:ascii="Helvetica" w:hAnsi="Helvetica"/>
          <w:sz w:val="21"/>
        </w:rPr>
        <w:t>Los custodios y brokers operan con autenticacion reforzada y control estricto de movimientos. Las cuentas bancarias mantienen separacion entre cuentas operativas y de inversion. Los activos digitales se custodian exclusivamente en cold storage.</w:t>
      </w:r>
    </w:p>
    <w:p>
      <w:pPr>
        <w:spacing w:before="120" w:after="40"/>
      </w:pPr>
      <w:r>
        <w:rPr>
          <w:rFonts w:ascii="Helvetica" w:hAnsi="Helvetica"/>
          <w:b/>
          <w:i w:val="0"/>
          <w:sz w:val="22"/>
        </w:rPr>
        <w:t>Seguridad de dispositivos</w:t>
      </w:r>
    </w:p>
    <w:p>
      <w:pPr>
        <w:spacing w:after="80"/>
      </w:pPr>
      <w:r>
        <w:rPr>
          <w:rFonts w:ascii="Helvetica" w:hAnsi="Helvetica"/>
          <w:sz w:val="21"/>
        </w:rPr>
        <w:t>Todos los equipos deben estar cifrados y protegidos con contrasena segura. Se requiere red WiFi verificada y segura, backup institucional automatico en la nube, y esta prohibido almacenar datos sensibles en dispositivos no autorizados.</w:t>
      </w:r>
    </w:p>
    <w:p>
      <w:pPr>
        <w:spacing w:before="120" w:after="40"/>
      </w:pPr>
      <w:r>
        <w:rPr>
          <w:rFonts w:ascii="Helvetica" w:hAnsi="Helvetica"/>
          <w:b/>
          <w:i w:val="0"/>
          <w:sz w:val="22"/>
        </w:rPr>
        <w:t>Incident Response Plan</w:t>
      </w:r>
    </w:p>
    <w:p>
      <w:pPr>
        <w:spacing w:after="80"/>
      </w:pPr>
      <w:r>
        <w:rPr>
          <w:rFonts w:ascii="Helvetica" w:hAnsi="Helvetica"/>
          <w:sz w:val="21"/>
        </w:rPr>
        <w:t>En caso de incidente de seguridad, el protocolo es el siguiente: primero, bloquear los accesos comprometidos; segundo, notificar de inmediato al CIO; tercero, documentar el incidente (fecha, causa, impacto, correccion); cuarto, cambiar claves y revalidar accesos; quinto, verificar la integridad del Data Room y archivos criticos. Todo incidente debe registrarse formalmente.</w:t>
      </w:r>
    </w:p>
    <w:p>
      <w:pPr>
        <w:spacing w:before="240" w:after="120"/>
      </w:pPr>
      <w:r>
        <w:rPr>
          <w:rFonts w:ascii="Helvetica" w:hAnsi="Helvetica"/>
          <w:b/>
          <w:sz w:val="28"/>
        </w:rPr>
        <w:t>V  Marco institucional</w:t>
      </w:r>
    </w:p>
    <w:p>
      <w:pPr>
        <w:spacing w:before="160" w:after="80"/>
      </w:pPr>
      <w:r>
        <w:rPr>
          <w:rFonts w:ascii="Helvetica" w:hAnsi="Helvetica"/>
          <w:b/>
          <w:sz w:val="24"/>
        </w:rPr>
        <w:t>5.1  Relacion con otros documentos</w:t>
      </w:r>
    </w:p>
    <w:p>
      <w:pPr>
        <w:spacing w:after="80"/>
      </w:pPr>
      <w:r>
        <w:rPr>
          <w:rFonts w:ascii="Helvetica" w:hAnsi="Helvetica"/>
          <w:sz w:val="21"/>
        </w:rPr>
        <w:t>Este Operations Manual opera subordinado al siguiente marco normativo del proceso de inversion:</w:t>
      </w:r>
    </w:p>
    <w:p>
      <w:pPr>
        <w:spacing w:after="80"/>
      </w:pPr>
      <w:r>
        <w:rPr>
          <w:rFonts w:ascii="Helvetica" w:hAnsi="Helvetica"/>
          <w:sz w:val="21"/>
        </w:rPr>
        <w:t>Investment Charter &gt; Investment Policy Statement &gt; Operations Manual.</w:t>
      </w:r>
    </w:p>
    <w:p>
      <w:pPr>
        <w:spacing w:after="80"/>
      </w:pPr>
      <w:r>
        <w:rPr>
          <w:rFonts w:ascii="Helvetica" w:hAnsi="Helvetica"/>
          <w:sz w:val="21"/>
        </w:rPr>
        <w:t>Adicionalmente, el Governance &amp; Succession Framework regula la gobernanza, sucesion y continuidad del holding en su propio dominio. Las metricas, limites, bandas y criterios provienen exclusivamente del IPS. Este manual define la ejecucion operativa.</w:t>
      </w:r>
    </w:p>
    <w:p>
      <w:pPr>
        <w:spacing w:before="160" w:after="80"/>
      </w:pPr>
      <w:r>
        <w:rPr>
          <w:rFonts w:ascii="Helvetica" w:hAnsi="Helvetica"/>
          <w:b/>
          <w:sz w:val="24"/>
        </w:rPr>
        <w:t>5.2  Modificacion del Operations Manual</w:t>
      </w:r>
    </w:p>
    <w:p>
      <w:pPr>
        <w:spacing w:after="80"/>
      </w:pPr>
      <w:r>
        <w:rPr>
          <w:rFonts w:ascii="Helvetica" w:hAnsi="Helvetica"/>
          <w:sz w:val="21"/>
        </w:rPr>
        <w:t>Este manual solo podra ser actualizado por el Executive Chairman &amp; CIO. Toda version debera archivarse en el Data Room con numero de version y fecha.</w:t>
      </w:r>
    </w:p>
    <w:p>
      <w:pPr>
        <w:spacing w:before="120" w:after="40"/>
      </w:pPr>
      <w:r>
        <w:rPr>
          <w:rFonts w:ascii="Helvetica" w:hAnsi="Helvetica"/>
          <w:b/>
          <w:i w:val="0"/>
          <w:sz w:val="22"/>
        </w:rPr>
        <w:t>Registro de enmiendas</w:t>
      </w:r>
    </w:p>
    <w:p>
      <w:pPr>
        <w:spacing w:after="80"/>
      </w:pPr>
      <w:r>
        <w:rPr>
          <w:rFonts w:ascii="Helvetica" w:hAnsi="Helvetica"/>
          <w:sz w:val="21"/>
        </w:rPr>
        <w:t>v1.0 — Febrero 2026: Documento inaugural. Consolida los manuales operativos en un unico documento.</w:t>
      </w:r>
    </w:p>
    <w:p>
      <w:pPr>
        <w:spacing w:after="80"/>
      </w:pPr>
      <w:r>
        <w:rPr>
          <w:rFonts w:ascii="Helvetica" w:hAnsi="Helvetica"/>
          <w:sz w:val="21"/>
        </w:rPr>
        <w:t>v2.0 — Febrero 2026: Reorganizacion: cadencia operativa precede a roles (primero el proceso, despues quien lo ejecuta). Referencias actualizadas al IPS v6. Banco actualizado a Bancolombia Panama. SharePoint reemplazado por Data Room. Redundancias con Charter eliminadas. Mejora de redaccion institucional. Seccion introductoria de proposito y alcance incorporada.</w:t>
      </w:r>
    </w:p>
    <w:p>
      <w:pPr>
        <w:spacing w:after="80"/>
      </w:pPr>
      <w:r>
        <w:rPr>
          <w:rFonts w:ascii="Helvetica" w:hAnsi="Helvetica"/>
          <w:sz w:val="21"/>
        </w:rPr>
        <w:t>v3.0 — Febrero 2026: Flujo de tesis ampliado de 9 a 11 pasos: incorporacion de ajustes de posicion (Position Adjustment Memo) y cierre de posicion (Position Close Memo). Seccion 3.3: Position Close Memos y Position Adjustment Memos incorporados como documentos obligatorios bajo control. Seccion 3.4: naming convention actualizada con ejemplos para ambos memos. Referencias actualizadas al IPS v7.</w:t>
      </w:r>
    </w:p>
    <w:p>
      <w:pPr>
        <w:spacing w:after="80"/>
      </w:pPr>
      <w:r>
        <w:rPr>
          <w:rFonts w:ascii="Helvetica" w:hAnsi="Helvetica"/>
          <w:sz w:val="21"/>
        </w:rPr>
        <w:t>v3.1 — Mayo 2026: Alineacion del manual con la Fase 1 del DCE Operations System. Cambios: (1) §1.5 amplia el flujo de tesis de 11 a 13 pasos incorporando Thesis Breaker y Munger Digital como obligatorios entre memo v0 y revision CIO; (2) §2.4 explicita que el Munger Digital opera como filtro de conviccion ANTES de la decision y que produce decision_inputs.json como puente al journal; (3) §3.3 incorpora Columbia Model, Thesis Breaker y Munger Digital a la lista de documentos materiales bajo control institucional; (4) §3.4 amplia los ejemplos de naming convention con 7 tipos nuevos.</w:t>
      </w:r>
    </w:p>
    <w:p>
      <w:pPr>
        <w:spacing w:after="80"/>
      </w:pPr>
      <w:r>
        <w:rPr>
          <w:rFonts w:ascii="Helvetica" w:hAnsi="Helvetica"/>
          <w:sz w:val="21"/>
        </w:rPr>
        <w:t>v3.2 — Mayo 2026: Consolidacion del proceso de inversion en la Fase 2 del DCE Operations System. Cambios: (1) §1.3 reemplaza Scorecard + IFS + Desconfirmacion por un unico Quarterly Re-Underwriting de 8 secciones por posicion, alineado al ciclo de 10-K/10-Q; (2) §1.4 absorbe el Pre-Mortem dentro del Investment Memo §10 y elimina el ejercicio independiente de pre-mortem; (3) §1.5 simplifica el flujo de tesis de 13 a 11 pasos; (4) §2.3 redefine el entregable trimestral del Analyst como borrador del Re-Underwriting; (5) §2.4 distingue obligatoriedad de Thesis Breaker y Munger Digital: obligatorios en primer analisis, a demanda en trimestrales; (6) §3.3 agrega Re-Underwriting y deprecia Scorecard/IFS/Desconfirmacion; (7) §3.4 reescribe la naming convention: '2026-Q1 - Re-Underwriting - Ticker (Nombre)'.</w:t>
      </w:r>
    </w:p>
    <w:p>
      <w:pPr>
        <w:spacing w:after="80"/>
      </w:pPr>
      <w:r>
        <w:rPr>
          <w:rFonts w:ascii="Helvetica" w:hAnsi="Helvetica"/>
          <w:sz w:val="21"/>
        </w:rPr>
        <w:t>v3.3 — Mayo 2026: Formalizacion del Decision Journal y de la decision FOLLOW como parte explicita del marco operativo. Cambios: (1) §1.5 explicita las cuatro decisiones (BUY / FOLLOW / PASS / SELL) con identico estandar documental, y describe la diferencia material entre PASS (descarte razonado) y FOLLOW (tesis valida pero sin ejecucion, en seguimiento activo); (2) §2.1 incorpora FOLLOW y PASS a las decisiones que el CIO toma, y agrega al Decision Journal como entregable obligatorio; (3) §2.4 formaliza la estructura de las cuatro decisiones y la regla de no edicion del Journal (las enmiendas crean entradas vinculadas); (4) §3.1 y §3.3 incorporan el Decision Journal como proceso bajo control y como documento obligatorio bajo control institucional; (5) §3.4 introduce la subseccion Decision Journal con su definicion operativa, contenido minimo de cada entrada, source of truth en dceholdings.app/journal.html y regla de no edicion; (6) §4.5 amplia la prohibicion de trading personal para incluir explicitamente valores en FOLLOW; (7) §4.6 exige la decision BUY registrada en el Decision Journal como precondicion de ejecucion, junto al Investment Memo firmado.</w:t>
      </w:r>
    </w:p>
    <w:p>
      <w:pPr>
        <w:spacing w:after="80"/>
      </w:pPr>
      <w:r>
        <w:rPr>
          <w:rFonts w:ascii="Helvetica" w:hAnsi="Helvetica"/>
          <w:sz w:val="21"/>
        </w:rPr>
        <w:t>v3.4 — Mayo 2026: Alineacion del manual con la estructura organizacional transitoria 2026 del holding. Cambios: (1) §0 incorpora una nota explicita sobre la estructura de dos personas (CIO + Investment Associate unico) y la trayectoria de evolucion del rol a Director of Research cuando se contrate un segundo perfil; (2) §1.1 reduce la cadencia semanal de tres reuniones a dos, fusionando la Reunion Tecnica y la Reunion Tactica en una unica Reunion Tecnica-Tactica de mitad o cierre de semana; (3) §2.2 reemplaza los roles separados de Director of Research e Investment Analyst por un unico rol Investment Associate que absorbe las responsabilidades de ambos, con KPI explicito de 20-25 deep dives por ano; (4) §1.2, §1.3 y §1.4 redefinen al Investment Associate como el productor y firmante de Monthly Close, Quarterly Re-Underwritings y Annual Close, con el CIO como segunda linea de validacion; (5) §2.3 (antes §2.4) reescribe los flujos de comunicacion para una estructura de dos personas con escalamiento directo del Associate al CIO; (6) §3.3 reasigna al Associate la responsabilidad de producir los documentos institucionales bajo control, con el CIO como validador. El manual volvera a la estructura de tres roles cuando se incorpore el segundo perfil analitico al equipo.</w:t>
      </w:r>
    </w:p>
    <w:p>
      <w:pPr>
        <w:spacing w:after="80"/>
      </w:pPr>
      <w:r>
        <w:rPr>
          <w:rFonts w:ascii="Helvetica" w:hAnsi="Helvetica"/>
          <w:sz w:val="21"/>
        </w:rPr>
        <w:t>v3.5 — Mayo 2026: Formalizacion del principio de delegacion analitica entre CIO e Investment Associate. Cambios: (1) §II incorpora una seccion introductoria nueva que declara explicitamente la division de responsabilidades: el Associate firma con responsabilidad propia sobre la exactitud tecnica y numerica de los entregables; el CIO valida la tesis y la decision, no audita modelos linea por linea (regla operativa: el CIO valida la tesis, no audita los numeros); (2) §2.1 reescribe la responsabilidad del CIO de "calidad tecnica y conceptual de los entregables" a "calidad de la tesis y de la decision", remitiendo la exactitud tecnica al Associate; (3) §2.2 explicita que al firmar, el Associate asume la exactitud tecnica como responsabilidad propia, y agrega como KPI explicito la frecuencia de errores tecnicos detectados aguas abajo; (4) §1.2, §1.3 y §1.4 reemplazan la formula "segunda linea de control de calidad" por la revision de tesis y decision; (5) §3.3 reasigna al Associate la responsabilidad de cumplimiento de estandares formales y tecnicos del manual, dejando al CIO la revision sustantiva. La meta operativa de cartera del holding bajo la estructura transitoria 2026 queda calibrada en aproximadamente 10 posiciones activas a 24 meses, sostenidas por 25-35 deep dives anuales combinados entre CIO y Associate.</w:t>
      </w:r>
    </w:p>
    <w:p>
      <w:pPr>
        <w:spacing w:after="80"/>
      </w:pPr>
      <w:r>
        <w:rPr>
          <w:rFonts w:ascii="Helvetica" w:hAnsi="Helvetica"/>
          <w:sz w:val="21"/>
        </w:rPr>
        <w:t>v3.6 — Mayo 2026: Eliminacion de la capa de Comite de Inversiones bajo regimen actual de AUM bajo. El CIO concentra la ultima responsabilidad sobre toda decision de inversion y operativa. Trigger de reactivacion: AUM &gt; USD 10M. Cambios: (1) §1.1 reemplaza la sesion del Comite por la sesion regular de revision CIO-Associate y describe el flujo de ratificacion directo del CIO sobre tesis maduras; (2) §1.3 reemplaza la Cadencia Trimestral del Comite por una sesion trimestral de revision CIO-Associate y renombra el "CI Pack" a "Investment Decision Pack" como insumo de decision del CIO; (3) §1.3 redefine el Quarterly Re-Underwriting como firmado por el CIO (con produccion tecnica del Associate, que firma la exactitud tecnica/numerica); (4) §1.4 explicita que el Pre-Mortem (Memo §10) es firmado por el CIO con apoyo tecnico del Associate; (5) §1.5 simplifica el flujo de tesis a 10 pasos: el "comite" desaparece y el Munger Digital con su decision_inputs.json desemboca directamente en la ratificacion del CIO; (6) §II nueva subseccion "Cadena de decision (regimen CIO-led)" que declara que la cadena de decision termina en el CIO, sin paso colegiado; (7) §2.1 elimina la sujecion del CIO al Comite de Inversiones y le asigna directamente la ratificacion del Investment Decision Pack y la firma de los Re-Underwritings trimestrales; (8) §2.2 elimina la mencion al Comite en los limites de autoridad del Associate; (9) §2.3 explicita que no existe paso colegiado intermedio entre decision_inputs.json y la firma del CIO; (10) §3.3 elimina "Actas del Comite" del listado de documentos obligatorios y reemplaza "CI Pack" por "Investment Decision Pack" en todo el documento (lista, naming convention, formato de archivos, estructura del Data Room, Decision Journal, clasificacion de informacion §4.3, reglas de ejecucion §4.6); (11) §3.4 incorpora el bloque "Governance Recalibration Trigger" que difiere la reactivacion de la capa de Comite de Inversiones hasta que el AUM consolidado del holding supere USD 10 millones; (12) §4.8 redirige el whistleblower channel al Successor cuando el reporte involucre al CIO, en sustitucion del miembro externo del Comite. Se conservan integramente: principio de delegacion analitica v3.5 (CIO valida tesis / Associate valida exactitud tecnica), cadencia semanal de dos reuniones, flujo de Decision Journal, disciplinas de Pre-Mortem, Kill Criteria, Re-Underwriting de 8 secciones, dashboard agregado, naming convention y estructura del Data Room.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