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sz w:val="40"/>
        </w:rPr>
        <w:t>DCE HOLDINGS</w:t>
      </w:r>
    </w:p>
    <w:p>
      <w:pPr>
        <w:jc w:val="center"/>
      </w:pPr>
      <w:r>
        <w:rPr>
          <w:rFonts w:ascii="Helvetica" w:hAnsi="Helvetica"/>
          <w:b/>
          <w:sz w:val="30"/>
        </w:rPr>
        <w:t>GOVERNANCE &amp; SUCCESSION FRAMEWORK</w:t>
      </w:r>
    </w:p>
    <w:p>
      <w:pPr>
        <w:jc w:val="center"/>
      </w:pPr>
      <w:r>
        <w:rPr>
          <w:rFonts w:ascii="Helvetica" w:hAnsi="Helvetica"/>
          <w:b w:val="0"/>
          <w:sz w:val="22"/>
        </w:rPr>
        <w:t>Version 5.1 — Mayo 2026</w:t>
      </w:r>
    </w:p>
    <w:p>
      <w:pPr>
        <w:spacing w:before="240" w:after="120"/>
      </w:pPr>
      <w:r>
        <w:rPr>
          <w:rFonts w:ascii="Helvetica" w:hAnsi="Helvetica"/>
          <w:b/>
          <w:sz w:val="28"/>
        </w:rPr>
        <w:t>1  Proposito</w:t>
      </w:r>
    </w:p>
    <w:p>
      <w:pPr>
        <w:spacing w:after="120"/>
      </w:pPr>
      <w:r>
        <w:rPr>
          <w:rFonts w:ascii="Helvetica" w:hAnsi="Helvetica"/>
          <w:sz w:val="22"/>
        </w:rPr>
        <w:t>Este documento establece las reglas de gobernanza, sucesion y continuidad institucional de DCE Holdings. Su objetivo es garantizar que el patrimonio familiar sobreviva a cualquier persona, incluyendo a su fundador.</w:t>
      </w:r>
    </w:p>
    <w:p>
      <w:pPr>
        <w:spacing w:after="120"/>
      </w:pPr>
      <w:r>
        <w:rPr>
          <w:rFonts w:ascii="Helvetica" w:hAnsi="Helvetica"/>
          <w:sz w:val="22"/>
        </w:rPr>
        <w:t>El Framework tiene caracter normativo y opera en su propio dominio, independiente de la jerarquia del proceso de inversion (Charter &gt; IPS &gt; Operations Manual). Ninguna disposicion contenida en este documento podra ser modificada unilateralmente por ninguna persona. Cualquier modificacion requerira aprobacion de la ownership del holding conforme al procedimiento descrito en este Framework.</w:t>
      </w:r>
    </w:p>
    <w:p>
      <w:pPr>
        <w:spacing w:before="240" w:after="120"/>
      </w:pPr>
      <w:r>
        <w:rPr>
          <w:rFonts w:ascii="Helvetica" w:hAnsi="Helvetica"/>
          <w:b/>
          <w:sz w:val="28"/>
        </w:rPr>
        <w:t>2  Principios de gobierno</w:t>
      </w:r>
    </w:p>
    <w:p>
      <w:pPr>
        <w:spacing w:after="120"/>
      </w:pPr>
      <w:r>
        <w:rPr>
          <w:rFonts w:ascii="Helvetica" w:hAnsi="Helvetica"/>
          <w:sz w:val="22"/>
        </w:rPr>
        <w:t>La gobernanza de DCE Holdings descansa sobre cuatro principios fundamentales.</w:t>
      </w:r>
    </w:p>
    <w:p>
      <w:pPr>
        <w:spacing w:after="120"/>
      </w:pPr>
      <w:r>
        <w:rPr>
          <w:rFonts w:ascii="Helvetica" w:hAnsi="Helvetica"/>
          <w:sz w:val="22"/>
        </w:rPr>
        <w:t>El primero es la proteccion contra concentracion arbitraria de poder: ninguna persona, incluyendo el fundador, podra modificar unilateralmente las disposiciones de gobernanza, sucesion o continuidad institucional contenidas en este Framework. Las decisiones estructurales requieren aprobacion de la ownership del holding.</w:t>
      </w:r>
    </w:p>
    <w:p>
      <w:pPr>
        <w:spacing w:after="120"/>
      </w:pPr>
      <w:r>
        <w:rPr>
          <w:rFonts w:ascii="Helvetica" w:hAnsi="Helvetica"/>
          <w:sz w:val="22"/>
        </w:rPr>
        <w:t>El segundo es la claridad de responsabilidad: bajo el regimen actual del holding, el Executive Chairman &amp; CIO concentra la ultima autoridad sobre toda decision de inversion (BUY, PASS, SELL, FOLLOW, RECALIBRATE). El Investment Associate produce el research package y firma con responsabilidad tecnica y numerica. Esta arquitectura privilegia agilidad y rendicion de cuentas directa, evitando burocracia desproporcionada al tamano del vehiculo.</w:t>
      </w:r>
    </w:p>
    <w:p>
      <w:pPr>
        <w:spacing w:after="120"/>
      </w:pPr>
      <w:r>
        <w:rPr>
          <w:rFonts w:ascii="Helvetica" w:hAnsi="Helvetica"/>
          <w:sz w:val="22"/>
        </w:rPr>
        <w:t>El tercero es la transparencia: toda la actividad del holding queda registrada en el Data Room institucional. La ownership del holding y los roles operativos autorizados pueden acceder a cualquier documento en cualquier momento. El Decision Journal, los Quarterly Re-Underwritings y los post-mortems quedan archivados en formato auditable.</w:t>
      </w:r>
    </w:p>
    <w:p>
      <w:pPr>
        <w:spacing w:after="120"/>
      </w:pPr>
      <w:r>
        <w:rPr>
          <w:rFonts w:ascii="Helvetica" w:hAnsi="Helvetica"/>
          <w:sz w:val="22"/>
        </w:rPr>
        <w:t>El cuarto es la recalibracion por escala: la arquitectura de gobernanza es funcion del tamano del vehiculo. La capa de Comite de Inversiones queda diferida bajo el regimen actual y sera reinstaurada cuando el AUM consolidado del holding supere USD 10 millones, conforme a la seccion 4 de este Framework.</w:t>
      </w:r>
    </w:p>
    <w:p>
      <w:pPr>
        <w:spacing w:before="240" w:after="120"/>
      </w:pPr>
      <w:r>
        <w:rPr>
          <w:rFonts w:ascii="Helvetica" w:hAnsi="Helvetica"/>
          <w:b/>
          <w:sz w:val="28"/>
        </w:rPr>
        <w:t>3  Estructura de autoridad CIO-led</w:t>
      </w:r>
    </w:p>
    <w:p>
      <w:pPr>
        <w:spacing w:before="160" w:after="80"/>
      </w:pPr>
      <w:r>
        <w:rPr>
          <w:rFonts w:ascii="Helvetica" w:hAnsi="Helvetica"/>
          <w:b/>
          <w:sz w:val="24"/>
        </w:rPr>
        <w:t>3.1  CIO como ultima autoridad</w:t>
      </w:r>
    </w:p>
    <w:p>
      <w:pPr>
        <w:spacing w:after="120"/>
      </w:pPr>
      <w:r>
        <w:rPr>
          <w:rFonts w:ascii="Helvetica" w:hAnsi="Helvetica"/>
          <w:sz w:val="22"/>
        </w:rPr>
        <w:t>Bajo el regimen actual de DCE Holdings, el Executive Chairman &amp; CIO es el ultimo responsable de toda decision de inversion del holding. Esto incluye las decisiones de BUY, PASS, SELL, FOLLOW y RECALIBRATE sobre cualquier tesis evaluada, asi como la asignacion estrategica del portafolio, el dimensionamiento de posiciones dentro de las bandas del IPS y la gestion activa de riesgo (incluida la respuesta a triggers de drawdown e iliquidez).</w:t>
      </w:r>
    </w:p>
    <w:p>
      <w:pPr>
        <w:spacing w:after="120"/>
      </w:pPr>
      <w:r>
        <w:rPr>
          <w:rFonts w:ascii="Helvetica" w:hAnsi="Helvetica"/>
          <w:sz w:val="22"/>
        </w:rPr>
        <w:t>La concentracion de autoridad en el CIO refleja el tamano del vehiculo y la necesidad de preservar agilidad. No existe organo colegiado intermedio entre el CIO y la ownership del holding. Las decisiones del CIO quedan registradas en el Decision Journal con la prosa correspondiente (tesis, kill criteria, pre-mortem cuando aplique) y son auditables en el Data Room.</w:t>
      </w:r>
    </w:p>
    <w:p>
      <w:pPr>
        <w:spacing w:before="160" w:after="80"/>
      </w:pPr>
      <w:r>
        <w:rPr>
          <w:rFonts w:ascii="Helvetica" w:hAnsi="Helvetica"/>
          <w:b/>
          <w:sz w:val="24"/>
        </w:rPr>
        <w:t>3.2  Investment Associate — firma de exactitud tecnica</w:t>
      </w:r>
    </w:p>
    <w:p>
      <w:pPr>
        <w:spacing w:after="120"/>
      </w:pPr>
      <w:r>
        <w:rPr>
          <w:rFonts w:ascii="Helvetica" w:hAnsi="Helvetica"/>
          <w:sz w:val="22"/>
        </w:rPr>
        <w:t>El Investment Associate produce el Investment Decision Pack y los entregables analiticos que sustentan cada decision del CIO. Esto incluye el Columbia model, el Valuation Report, el Thesis Breaker, el Munger Digital y el soporte analitico de los Quarterly Re-Underwritings.</w:t>
      </w:r>
    </w:p>
    <w:p>
      <w:pPr>
        <w:spacing w:after="120"/>
      </w:pPr>
      <w:r>
        <w:rPr>
          <w:rFonts w:ascii="Helvetica" w:hAnsi="Helvetica"/>
          <w:sz w:val="22"/>
        </w:rPr>
        <w:t>El Associate firma cada entregable bajo responsabilidad tecnica y numerica: garantiza la integridad de las fuentes, la correccion de los calculos, la trazabilidad de los supuestos y la fidelidad metodologica al marco institucional (Columbia + GARP moderno). El Associate no tiene autoridad de decision sobre BUY / PASS / SELL / FOLLOW / RECALIBRATE; su firma certifica la calidad tecnica del paquete que sustenta la decision del CIO.</w:t>
      </w:r>
    </w:p>
    <w:p>
      <w:pPr>
        <w:spacing w:before="160" w:after="80"/>
      </w:pPr>
      <w:r>
        <w:rPr>
          <w:rFonts w:ascii="Helvetica" w:hAnsi="Helvetica"/>
          <w:b/>
          <w:sz w:val="24"/>
        </w:rPr>
        <w:t>3.3  Ausencia de quorum y votacion</w:t>
      </w:r>
    </w:p>
    <w:p>
      <w:pPr>
        <w:spacing w:after="120"/>
      </w:pPr>
      <w:r>
        <w:rPr>
          <w:rFonts w:ascii="Helvetica" w:hAnsi="Helvetica"/>
          <w:sz w:val="22"/>
        </w:rPr>
        <w:t>Bajo el regimen actual no existe quorum, votacion ni cadencia formal de Comite de Inversiones. Las sesiones de revision entre el CIO y el Associate se programan de forma operativa segun el flujo de tesis activas, los Quarterly Re-Underwritings y los eventos materiales del portafolio. La decision queda formalizada con el registro en el Decision Journal firmado por el CIO; el Investment Decision Pack subyacente queda firmado por el Associate.</w:t>
      </w:r>
    </w:p>
    <w:p>
      <w:pPr>
        <w:spacing w:after="120"/>
      </w:pPr>
      <w:r>
        <w:rPr>
          <w:rFonts w:ascii="Helvetica" w:hAnsi="Helvetica"/>
          <w:sz w:val="22"/>
        </w:rPr>
        <w:t>Las disciplinas institucionales se preservan integramente: pre-mortem obligatorio antes de BUY, kill criteria explicitos en el Decision Journal, Quarterly Re-Underwriting de ocho secciones, post-mortem en SELL y dashboard agregado de cartera. Lo que se elimina es exclusivamente la capa colegiada de aprobacion, no el rigor del proceso analitico.</w:t>
      </w:r>
    </w:p>
    <w:p>
      <w:pPr>
        <w:spacing w:before="240" w:after="120"/>
      </w:pPr>
      <w:r>
        <w:rPr>
          <w:rFonts w:ascii="Helvetica" w:hAnsi="Helvetica"/>
          <w:b/>
          <w:sz w:val="28"/>
        </w:rPr>
        <w:t>4  Governance Recalibration Trigger (AUM &gt; USD 10M)</w:t>
      </w:r>
    </w:p>
    <w:p>
      <w:pPr>
        <w:spacing w:after="120"/>
      </w:pPr>
      <w:r>
        <w:rPr>
          <w:rFonts w:ascii="Helvetica" w:hAnsi="Helvetica"/>
          <w:sz w:val="22"/>
        </w:rPr>
        <w:t>Gobernanza diferida — recalibracion por AUM. En la etapa actual de DCE Holdings, la capa de Comite de Inversiones se mantiene diferida para preservar agilidad y evitar burocracia desproporcionada al tamano del vehiculo. El CIO concentra la ultima responsabilidad sobre toda decision de inversion, con el Investment Associate firmando la exactitud tecnica del research package.</w:t>
      </w:r>
    </w:p>
    <w:p>
      <w:pPr>
        <w:spacing w:after="120"/>
      </w:pPr>
      <w:r>
        <w:rPr>
          <w:rFonts w:ascii="Helvetica" w:hAnsi="Helvetica"/>
          <w:sz w:val="22"/>
        </w:rPr>
        <w:t>Trigger de reactivacion: cuando el AUM consolidado del holding supere USD 10 millones, el presente Framework sera revisado para reinstaurar la capa de Comite de Inversiones. La composicion (numero de miembros y perfil del miembro externo independiente), el quorum, la cadencia ordinaria y extraordinaria, el regimen de votacion y la articulacion con el Decision Journal seran definidos en la enmienda correspondiente al momento del trigger. Hasta entonces, el regimen CIO-led descrito en la seccion 3 aplica de forma integra.</w:t>
      </w:r>
    </w:p>
    <w:p>
      <w:pPr>
        <w:spacing w:after="120"/>
      </w:pPr>
      <w:r>
        <w:rPr>
          <w:rFonts w:ascii="Helvetica" w:hAnsi="Helvetica"/>
          <w:sz w:val="22"/>
        </w:rPr>
        <w:t>El monitoreo del trigger es responsabilidad del CIO y se reporta trimestralmente en el dashboard agregado de cartera. La ownership del holding sera notificada formalmente cuando el AUM consolidado se aproxime al umbral (90 por ciento o mas del trigger) para iniciar el trabajo preparatorio de la enmienda.</w:t>
      </w:r>
    </w:p>
    <w:p>
      <w:pPr>
        <w:spacing w:before="160" w:after="80"/>
      </w:pPr>
      <w:r>
        <w:rPr>
          <w:rFonts w:ascii="Helvetica" w:hAnsi="Helvetica"/>
          <w:b/>
          <w:sz w:val="24"/>
        </w:rPr>
        <w:t>4.1  Matriz de aprobaciones</w:t>
      </w:r>
    </w:p>
    <w:p>
      <w:pPr>
        <w:spacing w:after="120"/>
      </w:pPr>
      <w:r>
        <w:rPr>
          <w:rFonts w:ascii="Helvetica" w:hAnsi="Helvetica"/>
          <w:sz w:val="22"/>
        </w:rPr>
        <w:t>Las aprobaciones del holding se distribuyen segun la naturaleza de la decision.</w:t>
      </w:r>
    </w:p>
    <w:p>
      <w:pPr>
        <w:pStyle w:val="ListBullet"/>
      </w:pPr>
      <w:r>
        <w:rPr>
          <w:rFonts w:ascii="Helvetica" w:hAnsi="Helvetica"/>
          <w:sz w:val="22"/>
        </w:rPr>
        <w:t>Decisiones de inversion (BUY / PASS / SELL / FOLLOW / RECALIBRATE, dimensionamiento de posiciones, asignacion estrategica intra-bandas IPS, respuesta a triggers operativos del IPS): aprueba el CIO. Soporte tecnico firmado por el Investment Associate.</w:t>
      </w:r>
    </w:p>
    <w:p>
      <w:pPr>
        <w:pStyle w:val="ListBullet"/>
      </w:pPr>
      <w:r>
        <w:rPr>
          <w:rFonts w:ascii="Helvetica" w:hAnsi="Helvetica"/>
          <w:sz w:val="22"/>
        </w:rPr>
        <w:t>Quarterly Re-Underwriting y kill criteria: firma el CIO con soporte tecnico del Associate.</w:t>
      </w:r>
    </w:p>
    <w:p>
      <w:pPr>
        <w:pStyle w:val="ListBullet"/>
      </w:pPr>
      <w:r>
        <w:rPr>
          <w:rFonts w:ascii="Helvetica" w:hAnsi="Helvetica"/>
          <w:sz w:val="22"/>
        </w:rPr>
        <w:t>Cambios al Investment Policy Statement (IPS), cambios al Investment Charter, cambios al Operations Manual: aprueba la ownership del holding, propuesta por el CIO.</w:t>
      </w:r>
    </w:p>
    <w:p>
      <w:pPr>
        <w:pStyle w:val="ListBullet"/>
      </w:pPr>
      <w:r>
        <w:rPr>
          <w:rFonts w:ascii="Helvetica" w:hAnsi="Helvetica"/>
          <w:sz w:val="22"/>
        </w:rPr>
        <w:t>Cambios a este Framework de Gobernanza y Sucesion: aprueba la ownership del holding.</w:t>
      </w:r>
    </w:p>
    <w:p>
      <w:pPr>
        <w:pStyle w:val="ListBullet"/>
      </w:pPr>
      <w:r>
        <w:rPr>
          <w:rFonts w:ascii="Helvetica" w:hAnsi="Helvetica"/>
          <w:sz w:val="22"/>
        </w:rPr>
        <w:t>Designacion y ratificacion del Successor Chairman, designacion de CIO interino, sucesion del rol analitico senior: aprueba la ownership del holding, conforme a las secciones 5 y 6.</w:t>
      </w:r>
    </w:p>
    <w:p>
      <w:pPr>
        <w:pStyle w:val="ListBullet"/>
      </w:pPr>
      <w:r>
        <w:rPr>
          <w:rFonts w:ascii="Helvetica" w:hAnsi="Helvetica"/>
          <w:sz w:val="22"/>
        </w:rPr>
        <w:t>Activacion del trigger de recalibracion (AUM &gt; USD 10M) y enmienda consecuente: aprueba la ownership del holding, propuesta por el CIO.</w:t>
      </w:r>
    </w:p>
    <w:p>
      <w:pPr>
        <w:spacing w:before="240" w:after="120"/>
      </w:pPr>
      <w:r>
        <w:rPr>
          <w:rFonts w:ascii="Helvetica" w:hAnsi="Helvetica"/>
          <w:b/>
          <w:sz w:val="28"/>
        </w:rPr>
        <w:t>5  Sucesion del Executive Chairman &amp; CIO</w:t>
      </w:r>
    </w:p>
    <w:p>
      <w:pPr>
        <w:spacing w:before="160" w:after="80"/>
      </w:pPr>
      <w:r>
        <w:rPr>
          <w:rFonts w:ascii="Helvetica" w:hAnsi="Helvetica"/>
          <w:b/>
          <w:sz w:val="24"/>
        </w:rPr>
        <w:t>5.1  Successor Chairman designado</w:t>
      </w:r>
    </w:p>
    <w:p>
      <w:pPr>
        <w:spacing w:after="120"/>
      </w:pPr>
      <w:r>
        <w:rPr>
          <w:rFonts w:ascii="Helvetica" w:hAnsi="Helvetica"/>
          <w:sz w:val="22"/>
        </w:rPr>
        <w:t>El fundador designara un Successor Chairman que asumira las funciones del CIO en caso de retiro, incapacidad permanente o fallecimiento. El Successor debera ser formado durante un periodo minimo de tres anos antes de cualquier traspaso, asegurando que comprenda a profundidad la filosofia de inversion, el marco institucional y la cultura del holding. La designacion del Successor se formaliza mediante nombramiento separado que se archiva en el Data Room.</w:t>
      </w:r>
    </w:p>
    <w:p>
      <w:pPr>
        <w:spacing w:before="160" w:after="80"/>
      </w:pPr>
      <w:r>
        <w:rPr>
          <w:rFonts w:ascii="Helvetica" w:hAnsi="Helvetica"/>
          <w:b/>
          <w:sz w:val="24"/>
        </w:rPr>
        <w:t>5.2  Proceso de traspaso</w:t>
      </w:r>
    </w:p>
    <w:p>
      <w:pPr>
        <w:spacing w:after="120"/>
      </w:pPr>
      <w:r>
        <w:rPr>
          <w:rFonts w:ascii="Helvetica" w:hAnsi="Helvetica"/>
          <w:sz w:val="22"/>
        </w:rPr>
        <w:t>El traspaso del liderazgo del holding seguira una secuencia ordenada en cuatro pasos. Primero, se notificara por escrito a la ownership del holding dentro de los 30 dias siguientes al evento que active la sucesion. Segundo, el Successor asumira las funciones de forma interina. Tercero, la ownership del holding ratificara la designacion dentro de un plazo maximo de 90 dias. Cuarto, el nuevo CIO firmara la actualizacion del Charter, el IPS y el Operations Manual, formalizando la transicion.</w:t>
      </w:r>
    </w:p>
    <w:p>
      <w:pPr>
        <w:spacing w:before="240" w:after="120"/>
      </w:pPr>
      <w:r>
        <w:rPr>
          <w:rFonts w:ascii="Helvetica" w:hAnsi="Helvetica"/>
          <w:b/>
          <w:sz w:val="28"/>
        </w:rPr>
        <w:t>6  Sucesion del rol analitico senior</w:t>
      </w:r>
    </w:p>
    <w:p>
      <w:pPr>
        <w:spacing w:after="120"/>
      </w:pPr>
      <w:r>
        <w:rPr>
          <w:rFonts w:ascii="Helvetica" w:hAnsi="Helvetica"/>
          <w:sz w:val="22"/>
        </w:rPr>
        <w:t>Esta seccion regula la sucesion del rol analitico senior del holding. En estructura objetivo este rol corresponde al Director of Investment Research. Bajo el regimen actual, mientras las responsabilidades del Director son absorbidas por el Investment Associate conforme al Charter, las disposiciones de esta seccion aplican al Investment Associate con las adaptaciones que correspondan a su perfil.</w:t>
      </w:r>
    </w:p>
    <w:p>
      <w:pPr>
        <w:spacing w:after="120"/>
      </w:pPr>
      <w:r>
        <w:rPr>
          <w:rFonts w:ascii="Helvetica" w:hAnsi="Helvetica"/>
          <w:sz w:val="22"/>
        </w:rPr>
        <w:t>Cuando se anticipe la salida del rol analitico senior, el CIO propondra un candidato con al menos seis meses de anticipacion. La designacion sera ratificada por la ownership del holding. La transicion incluira un periodo minimo de tres meses de overlapping durante el cual ambos titulares trabajaran en paralelo, garantizando la transferencia completa de conocimiento institucional, metodologico y relacional. Cuando la sucesion implique la evolucion del Investment Associate al rol de Director of Investment Research al incorporarse un segundo perfil analitico al equipo, el periodo de overlapping se computa entre el Associate y el nuevo Analyst que se incorpora.</w:t>
      </w:r>
    </w:p>
    <w:p>
      <w:pPr>
        <w:spacing w:before="240" w:after="120"/>
      </w:pPr>
      <w:r>
        <w:rPr>
          <w:rFonts w:ascii="Helvetica" w:hAnsi="Helvetica"/>
          <w:b/>
          <w:sz w:val="28"/>
        </w:rPr>
        <w:t>7  Incapacidad temporal o permanente del CIO</w:t>
      </w:r>
    </w:p>
    <w:p>
      <w:pPr>
        <w:spacing w:after="120"/>
      </w:pPr>
      <w:r>
        <w:rPr>
          <w:rFonts w:ascii="Helvetica" w:hAnsi="Helvetica"/>
          <w:sz w:val="22"/>
        </w:rPr>
        <w:t>En caso de incapacidad temporal del CIO por un periodo inferior a 90 dias, el Investment Associate continua la produccion analitica regular del holding: monitoreo de posiciones, research en curso, Quarterly Re-Underwritings, mantenimiento del Decision Journal y de los entregables institucionales. El Associate, sin embargo, suspende toda decision de inversion nueva: no se ejecutan BUY ni SELL ni cambios materiales de dimensionamiento durante la ausencia del CIO.</w:t>
      </w:r>
    </w:p>
    <w:p>
      <w:pPr>
        <w:spacing w:after="120"/>
      </w:pPr>
      <w:r>
        <w:rPr>
          <w:rFonts w:ascii="Helvetica" w:hAnsi="Helvetica"/>
          <w:sz w:val="22"/>
        </w:rPr>
        <w:t>Durante la ventana de incapacidad temporal, la ownership del holding designa un CIO interino con autoridad plena sobre decisiones de inversion o, alternativamente, ratifica formalmente el reemplazo permanente del CIO si la evaluacion clinica o las circunstancias asi lo indican. La designacion del CIO interino se notifica al Associate y se archiva en el Data Room.</w:t>
      </w:r>
    </w:p>
    <w:p>
      <w:pPr>
        <w:spacing w:after="120"/>
      </w:pPr>
      <w:r>
        <w:rPr>
          <w:rFonts w:ascii="Helvetica" w:hAnsi="Helvetica"/>
          <w:sz w:val="22"/>
        </w:rPr>
        <w:t>Las decisiones de preservacion de capital estrictamente exigidas por eventos materiales (margen, llamadas de capital, cumplimiento de obligaciones legales operativas) que ocurran antes de la designacion del CIO interino seran ejecutadas por el Associate bajo instruccion explicita de la ownership del holding y quedaran documentadas en el Decision Journal.</w:t>
      </w:r>
    </w:p>
    <w:p>
      <w:pPr>
        <w:spacing w:after="120"/>
      </w:pPr>
      <w:r>
        <w:rPr>
          <w:rFonts w:ascii="Helvetica" w:hAnsi="Helvetica"/>
          <w:sz w:val="22"/>
        </w:rPr>
        <w:t>Si la incapacidad se extiende mas alla de los 90 dias o se determina que es permanente, se activa de inmediato el proceso de sucesion descrito en la seccion 5.</w:t>
      </w:r>
    </w:p>
    <w:p>
      <w:pPr>
        <w:spacing w:after="120"/>
      </w:pPr>
      <w:r>
        <w:rPr>
          <w:rFonts w:ascii="Helvetica" w:hAnsi="Helvetica"/>
          <w:sz w:val="22"/>
        </w:rPr>
        <w:t>Para garantizar la continuidad operativa en cualquier escenario, DCE Holdings mantiene un sobre cifrado bajo custodia del abogado principal del holding. Este sobre contiene las claves maestras de acceso (Bitwarden) y las semillas de recuperacion de los activos en custodia de criptomonedas. El acceso a este sobre solo se activara ante incapacidad permanente o fallecimiento del CIO, previa verificacion por la ownership del holding.</w:t>
      </w:r>
    </w:p>
    <w:p>
      <w:pPr>
        <w:spacing w:before="240" w:after="120"/>
      </w:pPr>
      <w:r>
        <w:rPr>
          <w:rFonts w:ascii="Helvetica" w:hAnsi="Helvetica"/>
          <w:b/>
          <w:sz w:val="28"/>
        </w:rPr>
        <w:t>8  Entrada de nueva generacion familiar</w:t>
      </w:r>
    </w:p>
    <w:p>
      <w:pPr>
        <w:spacing w:after="120"/>
      </w:pPr>
      <w:r>
        <w:rPr>
          <w:rFonts w:ascii="Helvetica" w:hAnsi="Helvetica"/>
          <w:sz w:val="22"/>
        </w:rPr>
        <w:t>La incorporacion de miembros de la siguiente generacion familiar al proceso de gobernanza del holding seguira un camino gradual y meritocrático.</w:t>
      </w:r>
    </w:p>
    <w:p>
      <w:pPr>
        <w:spacing w:after="120"/>
      </w:pPr>
      <w:r>
        <w:rPr>
          <w:rFonts w:ascii="Helvetica" w:hAnsi="Helvetica"/>
          <w:sz w:val="22"/>
        </w:rPr>
        <w:t>A partir de los 21 anos, un miembro familiar podra asistir como observador a las sesiones de revision del CIO con el Associate, sin voz ni voto. A partir de los 25 anos, y habiendo demostrado interes genuino y preparacion adecuada, podra participar con voz consultiva. El derecho a voto sobre decisiones estructurales del holding como miembro de la ownership se otorgara a partir de los 30 anos, condicionado a un minimo de cinco anos de experiencia profesional relevante fuera del holding.</w:t>
      </w:r>
    </w:p>
    <w:p>
      <w:pPr>
        <w:spacing w:after="120"/>
      </w:pPr>
      <w:r>
        <w:rPr>
          <w:rFonts w:ascii="Helvetica" w:hAnsi="Helvetica"/>
          <w:sz w:val="22"/>
        </w:rPr>
        <w:t>La formacion obligatoria incluye la lectura completa de todos los documentos institucionales del holding y un periodo minimo de dos anos de shadowing antes de asumir cualquier responsabilidad formal.</w:t>
      </w:r>
    </w:p>
    <w:p>
      <w:pPr>
        <w:spacing w:after="120"/>
      </w:pPr>
      <w:r>
        <w:rPr>
          <w:rFonts w:ascii="Helvetica" w:hAnsi="Helvetica"/>
          <w:sz w:val="22"/>
        </w:rPr>
        <w:t>Queda prohibido el empleo familiar remunerado dentro del holding o sus empresas operativas sin aprobacion de la ownership del holding.</w:t>
      </w:r>
    </w:p>
    <w:p>
      <w:pPr>
        <w:spacing w:before="240" w:after="120"/>
      </w:pPr>
      <w:r>
        <w:rPr>
          <w:rFonts w:ascii="Helvetica" w:hAnsi="Helvetica"/>
          <w:b/>
          <w:sz w:val="28"/>
        </w:rPr>
        <w:t>9  Resolucion de conflictos</w:t>
      </w:r>
    </w:p>
    <w:p>
      <w:pPr>
        <w:spacing w:after="120"/>
      </w:pPr>
      <w:r>
        <w:rPr>
          <w:rFonts w:ascii="Helvetica" w:hAnsi="Helvetica"/>
          <w:sz w:val="22"/>
        </w:rPr>
        <w:t>Cualquier conflicto entre miembros del equipo o de la familia seguira una escalada ordenada en tres niveles. El primer nivel es una reunion privada entre el CIO y la parte afectada, buscando una resolucion directa. Si no se alcanza resolucion, el segundo nivel es la mediacion por un representante designado por la ownership del holding. Si la mediacion no prospera, el tercer nivel es el arbitraje vinculante en Ciudad de Panama, Panama, bajo las reglas de la Camara de Comercio Internacional.</w:t>
      </w:r>
    </w:p>
    <w:p>
      <w:pPr>
        <w:spacing w:after="120"/>
      </w:pPr>
      <w:r>
        <w:rPr>
          <w:rFonts w:ascii="Helvetica" w:hAnsi="Helvetica"/>
          <w:sz w:val="22"/>
        </w:rPr>
        <w:t>Ningun conflicto, independientemente de su naturaleza o gravedad, podra paralizar las decisiones de preservacion de capital del holding.</w:t>
      </w:r>
    </w:p>
    <w:p>
      <w:pPr>
        <w:spacing w:before="240" w:after="120"/>
      </w:pPr>
      <w:r>
        <w:rPr>
          <w:rFonts w:ascii="Helvetica" w:hAnsi="Helvetica"/>
          <w:b/>
          <w:sz w:val="28"/>
        </w:rPr>
        <w:t>10  Revision anual del Framework</w:t>
      </w:r>
    </w:p>
    <w:p>
      <w:pPr>
        <w:spacing w:after="120"/>
      </w:pPr>
      <w:r>
        <w:rPr>
          <w:rFonts w:ascii="Helvetica" w:hAnsi="Helvetica"/>
          <w:sz w:val="22"/>
        </w:rPr>
        <w:t>Este Framework se revisara formalmente cada 31 de diciembre, coincidiendo con la reunion anual del holding. La revision evaluara si las disposiciones de gobernanza, sucesion y continuidad siguen siendo adecuadas a la escala y complejidad del holding, incluyendo la verificacion del trigger de recalibracion por AUM definido en la seccion 4.</w:t>
      </w:r>
    </w:p>
    <w:p>
      <w:pPr>
        <w:spacing w:after="120"/>
      </w:pPr>
      <w:r>
        <w:rPr>
          <w:rFonts w:ascii="Helvetica" w:hAnsi="Helvetica"/>
          <w:sz w:val="22"/>
        </w:rPr>
        <w:t>Cualquier modificacion requerira aprobacion de la ownership del holding y firma del Executive Chairman &amp; CIO. La version anterior se archivara en el Data Room con fecha y numero de version.</w:t>
      </w:r>
    </w:p>
    <w:p>
      <w:pPr>
        <w:spacing w:before="160" w:after="80"/>
      </w:pPr>
      <w:r>
        <w:rPr>
          <w:rFonts w:ascii="Helvetica" w:hAnsi="Helvetica"/>
          <w:b/>
          <w:sz w:val="24"/>
        </w:rPr>
        <w:t>Registro de enmiendas</w:t>
      </w:r>
    </w:p>
    <w:p>
      <w:pPr>
        <w:pStyle w:val="ListBullet"/>
      </w:pPr>
      <w:r>
        <w:rPr>
          <w:rFonts w:ascii="Helvetica" w:hAnsi="Helvetica"/>
          <w:sz w:val="22"/>
        </w:rPr>
        <w:t>v1.0 — Abril 2026: Framework fundacional.</w:t>
      </w:r>
    </w:p>
    <w:p>
      <w:pPr>
        <w:pStyle w:val="ListBullet"/>
      </w:pPr>
      <w:r>
        <w:rPr>
          <w:rFonts w:ascii="Helvetica" w:hAnsi="Helvetica"/>
          <w:sz w:val="22"/>
        </w:rPr>
        <w:t>v2.0 — Febrero 2026: Drawdown trigger alineado al 25%. Referencia a Operations Manual.</w:t>
      </w:r>
    </w:p>
    <w:p>
      <w:pPr>
        <w:pStyle w:val="ListBullet"/>
      </w:pPr>
      <w:r>
        <w:rPr>
          <w:rFonts w:ascii="Helvetica" w:hAnsi="Helvetica"/>
          <w:sz w:val="22"/>
        </w:rPr>
        <w:t>v3.0 — Febrero 2026: Reescritura integral en prosa institucional. Contenido normativo preservado sin cambios sustantivos. Estructura de secciones mantenida. Posicionamiento del Framework como documento independiente de la jerarquia del proceso de inversion.</w:t>
      </w:r>
    </w:p>
    <w:p>
      <w:pPr>
        <w:pStyle w:val="ListBullet"/>
      </w:pPr>
      <w:r>
        <w:rPr>
          <w:rFonts w:ascii="Helvetica" w:hAnsi="Helvetica"/>
          <w:sz w:val="22"/>
        </w:rPr>
        <w:t>v4.0 — Abril 2026: Jurisdiccion de arbitraje definida: Ciudad de Panama, Panama (seccion 8). Fechas fundacionales completadas en registro de enmiendas. Version inicial para firma.</w:t>
      </w:r>
    </w:p>
    <w:p>
      <w:pPr>
        <w:pStyle w:val="ListBullet"/>
      </w:pPr>
      <w:r>
        <w:rPr>
          <w:rFonts w:ascii="Helvetica" w:hAnsi="Helvetica"/>
          <w:sz w:val="22"/>
        </w:rPr>
        <w:t>v5.0 — Mayo 2026: Alineacion del Framework con la estructura organizacional transitoria 2026 formalizada en el Operations Manual v3.5 y el Investment Charter v3.1. Cambios: (1) §3.1 Composicion: bajo regimen transitorio 2026 el CI se configura con dos miembros (CIO + miembro externo independiente); el Investment Associate participa como invitado tecnico sin voz ni voto. La configuracion objetivo de tres miembros se recupera al incorporarse un segundo perfil analitico y la evolucion del Associate a Director of Investment Research; (2) §3.2 Funcionamiento: el CI Pack es producido por el rol analitico senior del holding (Director of Investment Research en estructura objetivo, Investment Associate en regimen transitorio); incorpora referencia al registro de las decisiones del Comite (BUY / FOLLOW / PASS / SELL) en el Decision Journal; (3) §5 Sucesion del rol analitico senior: titulo y prosa generalizados para cubrir tanto al Director of Investment Research como al Investment Associate, con clausula especifica sobre el periodo de overlapping en el caso de evolucion del Associate al rol de Director al incorporarse el Analyst; (4) §6 Incapacidad temporal o permanente: bajo regimen transitorio 2026 el Comite de Inversiones (presidido por el miembro externo en ausencia del CIO) asume coordinacion operativa y sesiona en modo de preservacion ante incapacidad temporal del CIO; el Investment Associate continua produccion analitica regular bajo supervision funcional del miembro externo sin asumir autoridad de decision.</w:t>
      </w:r>
    </w:p>
    <w:p>
      <w:pPr>
        <w:pStyle w:val="ListBullet"/>
      </w:pPr>
      <w:r>
        <w:rPr>
          <w:rFonts w:ascii="Helvetica" w:hAnsi="Helvetica"/>
          <w:sz w:val="22"/>
        </w:rPr>
        <w:t>v5.1 — Mayo 2026: Eliminacion de la capa de Comite de Inversiones bajo regimen actual de AUM bajo. El CIO concentra la ultima responsabilidad sobre toda decision de inversion (BUY / PASS / SELL / FOLLOW / RECALIBRATE); el Investment Associate firma la exactitud tecnica del research package. Cambios especificos: (1) §3 reescrita integralmente como "Estructura de autoridad CIO-led" (3.1 CIO ultima autoridad, 3.2 Associate firma exactitud tecnica, 3.3 ausencia de quorum y votacion); (2) §2 Principios de gobierno: eliminada la supervision colegiada por CI, introducidos principios de claridad de responsabilidad y recalibracion por escala; (3) nueva §4 "Governance Recalibration Trigger" con reactivacion de la capa de Comite cuando AUM consolidado &gt; USD 10M, e incorporacion de la matriz de aprobaciones simplificada en §4.1; (4) §7 Incapacidad temporal del CIO reescrita: el Investment Associate continua produccion analitica pero suspende decisiones de inversion nuevas; la ownership del holding designa CIO interino o ratifica el reemplazo permanente; (5) §6 Sucesion del rol analitico senior preservada, eliminada toda mencion a Comite de Inversiones (ratificacion ahora por ownership del holding); (6) §9 Resolucion de conflictos y §10 Revision anual ajustadas para referirse a la ownership del holding en lugar del Comite. Disciplinas institucionales preservadas integramente: pre-mortem antes de BUY, kill criteria, Quarterly Re-Underwriting de 8 secciones, Decision Journal vivo, post-mortem en SELL, dashboard agregado de cartera. Trigger de reactivacion: AUM &gt; USD 10M.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