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0"/>
      </w:pPr>
      <w:r>
        <w:rPr>
          <w:b/>
          <w:color w:val="142A45"/>
          <w:sz w:val="56"/>
        </w:rPr>
        <w:t>DCE HOLDINGS</w:t>
      </w:r>
    </w:p>
    <w:p>
      <w:r>
        <w:rPr>
          <w:i/>
          <w:color w:val="B88E4A"/>
          <w:sz w:val="28"/>
        </w:rPr>
        <w:t>Family Office</w:t>
      </w:r>
    </w:p>
    <w:p>
      <w:pPr>
        <w:spacing w:after="800"/>
      </w:pPr>
    </w:p>
    <w:p>
      <w:pPr>
        <w:spacing w:before="1600"/>
      </w:pPr>
      <w:r>
        <w:rPr>
          <w:b/>
          <w:color w:val="142A45"/>
          <w:sz w:val="72"/>
        </w:rPr>
        <w:t>Operations Manual</w:t>
      </w:r>
    </w:p>
    <w:p>
      <w:r>
        <w:rPr>
          <w:b/>
          <w:color w:val="B88E4A"/>
          <w:sz w:val="36"/>
        </w:rPr>
        <w:t>Versión 4.5</w:t>
      </w:r>
    </w:p>
    <w:p>
      <w:r>
        <w:rPr>
          <w:i/>
          <w:color w:val="555555"/>
          <w:sz w:val="24"/>
        </w:rPr>
        <w:t>Cómo se ejecuta el ciclo de inversión de DCE Holdings</w:t>
      </w:r>
    </w:p>
    <w:p>
      <w:pPr>
        <w:spacing w:after="3600"/>
      </w:pPr>
    </w:p>
    <w:p>
      <w:pPr>
        <w:spacing w:before="4000"/>
      </w:pPr>
      <w:r>
        <w:rPr>
          <w:color w:val="555555"/>
          <w:sz w:val="20"/>
        </w:rPr>
        <w:t>Fecha de emisión: 27 de mayo de 2026</w:t>
      </w:r>
    </w:p>
    <w:p>
      <w:r>
        <w:rPr>
          <w:color w:val="555555"/>
          <w:sz w:val="20"/>
        </w:rPr>
        <w:t>Clasificación: Documento institucional confidencial</w:t>
      </w:r>
    </w:p>
    <w:p>
      <w:r>
        <w:br w:type="page"/>
      </w:r>
    </w:p>
    <w:p>
      <w:pPr>
        <w:keepNext/>
        <w:spacing w:before="240" w:after="120"/>
      </w:pPr>
      <w:r>
        <w:rPr>
          <w:rFonts w:ascii="Calibri" w:hAnsi="Calibri"/>
          <w:b/>
          <w:color w:val="142A45"/>
          <w:sz w:val="44"/>
        </w:rPr>
        <w:t>Propósito y alcance</w:t>
      </w:r>
    </w:p>
    <w:p>
      <w:pPr>
        <w:spacing w:after="120"/>
      </w:pPr>
      <w:r>
        <w:rPr>
          <w:b w:val="0"/>
          <w:i w:val="0"/>
          <w:sz w:val="22"/>
        </w:rPr>
        <w:t>Este Operations Manual define cómo se ejecuta operativamente la filosofía de inversión de DCE Holdings. Es el documento de tercer nivel en la jerarquía normativa del proceso de inversión, conforme al Investment Charter §5.1:</w:t>
      </w:r>
    </w:p>
    <w:p>
      <w:pPr>
        <w:spacing w:after="60"/>
        <w:ind w:left="425" w:hanging="283"/>
      </w:pPr>
      <w:r>
        <w:rPr>
          <w:b/>
          <w:sz w:val="22"/>
        </w:rPr>
        <w:t xml:space="preserve">1. </w:t>
      </w:r>
      <w:r>
        <w:rPr>
          <w:sz w:val="22"/>
        </w:rPr>
        <w:t>Investment Charter</w:t>
      </w:r>
    </w:p>
    <w:p>
      <w:pPr>
        <w:spacing w:after="60"/>
        <w:ind w:left="425" w:hanging="283"/>
      </w:pPr>
      <w:r>
        <w:rPr>
          <w:b/>
          <w:sz w:val="22"/>
        </w:rPr>
        <w:t xml:space="preserve">2. </w:t>
      </w:r>
      <w:r>
        <w:rPr>
          <w:sz w:val="22"/>
        </w:rPr>
        <w:t>Investment Policy Statement (IPS)</w:t>
      </w:r>
    </w:p>
    <w:p>
      <w:pPr>
        <w:spacing w:after="60"/>
        <w:ind w:left="425" w:hanging="283"/>
      </w:pPr>
      <w:r>
        <w:rPr>
          <w:b/>
          <w:sz w:val="22"/>
        </w:rPr>
        <w:t xml:space="preserve">3. </w:t>
      </w:r>
      <w:r>
        <w:rPr>
          <w:sz w:val="22"/>
        </w:rPr>
        <w:t>Operations Manual (este documento)</w:t>
      </w:r>
    </w:p>
    <w:p>
      <w:pPr>
        <w:spacing w:after="120"/>
      </w:pPr>
      <w:r>
        <w:rPr>
          <w:b w:val="0"/>
          <w:i w:val="0"/>
          <w:sz w:val="22"/>
        </w:rPr>
        <w:t>Marco institucional paralelo. El Governance &amp; Succession Framework (v5.1) regula la gobernanza, sucesión y continuidad del holding; opera en su propio dominio y no forma parte de la jerarquía del proceso de inversión. Cualquier referencia operativa de este manual al Governance Framework (6.0 Annual Review Extraordinario, 9.0 Triggers) responde a la coordinación entre ambos dominios, no a una relación jerárquica.</w:t>
      </w:r>
    </w:p>
    <w:p>
      <w:pPr>
        <w:spacing w:after="120"/>
      </w:pPr>
      <w:r>
        <w:rPr>
          <w:b/>
          <w:i w:val="0"/>
          <w:sz w:val="22"/>
        </w:rPr>
        <w:t>Audiencia: Chief Investment Officer, Investment Associates y cualquier sucesor institucional del proceso.</w:t>
      </w:r>
    </w:p>
    <w:p>
      <w:pPr>
        <w:keepNext/>
        <w:spacing w:before="240" w:after="120"/>
      </w:pPr>
      <w:r>
        <w:rPr>
          <w:rFonts w:ascii="Calibri" w:hAnsi="Calibri"/>
          <w:b/>
          <w:color w:val="142A45"/>
          <w:sz w:val="26"/>
        </w:rPr>
        <w:t>Lo que este manual contiene</w:t>
      </w:r>
    </w:p>
    <w:p>
      <w:pPr>
        <w:pStyle w:val="ListBullet"/>
        <w:spacing w:after="60"/>
        <w:ind w:left="425"/>
      </w:pPr>
      <w:r>
        <w:rPr>
          <w:sz w:val="22"/>
        </w:rPr>
        <w:t>La filosofía de inversión aplicada al día a día.</w:t>
      </w:r>
    </w:p>
    <w:p>
      <w:pPr>
        <w:pStyle w:val="ListBullet"/>
        <w:spacing w:after="60"/>
        <w:ind w:left="425"/>
      </w:pPr>
      <w:r>
        <w:rPr>
          <w:sz w:val="22"/>
        </w:rPr>
        <w:t>Los principios operativos no negociables.</w:t>
      </w:r>
    </w:p>
    <w:p>
      <w:pPr>
        <w:pStyle w:val="ListBullet"/>
        <w:spacing w:after="60"/>
        <w:ind w:left="425"/>
      </w:pPr>
      <w:r>
        <w:rPr>
          <w:sz w:val="22"/>
        </w:rPr>
        <w:t>Los roles y responsabilidades del equipo de inversión.</w:t>
      </w:r>
    </w:p>
    <w:p>
      <w:pPr>
        <w:pStyle w:val="ListBullet"/>
        <w:spacing w:after="60"/>
        <w:ind w:left="425"/>
      </w:pPr>
      <w:r>
        <w:rPr>
          <w:sz w:val="22"/>
        </w:rPr>
        <w:t>El ciclo de inversión completo, descrito como proceso.</w:t>
      </w:r>
    </w:p>
    <w:p>
      <w:pPr>
        <w:pStyle w:val="ListBullet"/>
        <w:spacing w:after="60"/>
        <w:ind w:left="425"/>
      </w:pPr>
      <w:r>
        <w:rPr>
          <w:sz w:val="22"/>
        </w:rPr>
        <w:t>Las cadencias operativas (diarias, semanales, mensuales, trimestrales y anuales).</w:t>
      </w:r>
    </w:p>
    <w:p>
      <w:pPr>
        <w:pStyle w:val="ListBullet"/>
        <w:spacing w:after="60"/>
        <w:ind w:left="425"/>
      </w:pPr>
      <w:r>
        <w:rPr>
          <w:sz w:val="22"/>
        </w:rPr>
        <w:t>Los gates de calidad entre etapas del ciclo.</w:t>
      </w:r>
    </w:p>
    <w:p>
      <w:pPr>
        <w:pStyle w:val="ListBullet"/>
        <w:spacing w:after="60"/>
        <w:ind w:left="425"/>
      </w:pPr>
      <w:r>
        <w:rPr>
          <w:sz w:val="22"/>
        </w:rPr>
        <w:t>Las políticas de archivo, documentación y auditoría.</w:t>
      </w:r>
    </w:p>
    <w:p>
      <w:pPr>
        <w:keepNext/>
        <w:spacing w:before="240" w:after="120"/>
      </w:pPr>
      <w:r>
        <w:rPr>
          <w:rFonts w:ascii="Calibri" w:hAnsi="Calibri"/>
          <w:b/>
          <w:color w:val="142A45"/>
          <w:sz w:val="26"/>
        </w:rPr>
        <w:t>Lo que este manual deliberadamente NO contiene</w:t>
      </w:r>
    </w:p>
    <w:p>
      <w:pPr>
        <w:pStyle w:val="ListBullet"/>
        <w:spacing w:after="60"/>
        <w:ind w:left="425"/>
      </w:pPr>
      <w:r>
        <w:rPr>
          <w:sz w:val="22"/>
        </w:rPr>
        <w:t>La filosofía de inversión completa (vive en el Charter).</w:t>
      </w:r>
    </w:p>
    <w:p>
      <w:pPr>
        <w:pStyle w:val="ListBullet"/>
        <w:spacing w:after="60"/>
        <w:ind w:left="425"/>
      </w:pPr>
      <w:r>
        <w:rPr>
          <w:sz w:val="22"/>
        </w:rPr>
        <w:t>Las reglas de admisibilidad de activos (viven en el IPS).</w:t>
      </w:r>
    </w:p>
    <w:p>
      <w:pPr>
        <w:pStyle w:val="ListBullet"/>
        <w:spacing w:after="60"/>
        <w:ind w:left="425"/>
      </w:pPr>
      <w:r>
        <w:rPr>
          <w:sz w:val="22"/>
        </w:rPr>
        <w:t>Las reglas de sucesión y gobierno corporativo (viven en Governance).</w:t>
      </w:r>
    </w:p>
    <w:p>
      <w:pPr>
        <w:pStyle w:val="ListBullet"/>
        <w:spacing w:after="60"/>
        <w:ind w:left="425"/>
      </w:pPr>
      <w:r>
        <w:rPr>
          <w:sz w:val="22"/>
        </w:rPr>
        <w:t>Las guías de marca y diseño (viven en el Brandbook).</w:t>
      </w:r>
    </w:p>
    <w:p>
      <w:pPr>
        <w:pStyle w:val="ListBullet"/>
        <w:spacing w:after="60"/>
        <w:ind w:left="425"/>
      </w:pPr>
      <w:r>
        <w:rPr>
          <w:sz w:val="22"/>
        </w:rPr>
        <w:t>El inventario técnico de herramientas internas, parámetros operativos vigentes ni versiones de software (viven en un Anexo Técnico paralelo, mantenido por separado).</w:t>
      </w:r>
    </w:p>
    <w:p>
      <w:r>
        <w:br w:type="page"/>
      </w:r>
    </w:p>
    <w:p>
      <w:pPr>
        <w:keepNext/>
        <w:spacing w:before="240" w:after="120"/>
      </w:pPr>
      <w:r>
        <w:rPr>
          <w:rFonts w:ascii="Calibri" w:hAnsi="Calibri"/>
          <w:b/>
          <w:color w:val="142A45"/>
          <w:sz w:val="44"/>
        </w:rPr>
        <w:t>1.0 Filosofía aplicada</w:t>
      </w:r>
    </w:p>
    <w:p>
      <w:pPr>
        <w:spacing w:after="120"/>
      </w:pPr>
      <w:r>
        <w:rPr>
          <w:b w:val="0"/>
          <w:i w:val="0"/>
          <w:sz w:val="22"/>
        </w:rPr>
        <w:t>DCE Holdings practica Modern Value Investing aplicado bajo la metodología Columbia (Greenwald), con sesgo hacia empresas de calidad-crecimiento adquiridas a precios razonables (GARP modernizado).</w:t>
      </w:r>
    </w:p>
    <w:p>
      <w:pPr>
        <w:spacing w:after="120"/>
      </w:pPr>
      <w:r>
        <w:rPr>
          <w:b w:val="0"/>
          <w:i w:val="0"/>
          <w:sz w:val="22"/>
        </w:rPr>
        <w:t>Del Charter se desprenden cuatro principios operativos que atraviesan todo este manual:</w:t>
      </w:r>
    </w:p>
    <w:p>
      <w:pPr>
        <w:spacing w:after="60"/>
        <w:ind w:left="425" w:hanging="283"/>
      </w:pPr>
      <w:r>
        <w:rPr>
          <w:b/>
          <w:sz w:val="22"/>
        </w:rPr>
        <w:t xml:space="preserve">1. </w:t>
      </w:r>
      <w:r>
        <w:rPr>
          <w:b/>
          <w:sz w:val="22"/>
        </w:rPr>
        <w:t>Proceso sobre resultado.</w:t>
      </w:r>
      <w:r>
        <w:rPr>
          <w:sz w:val="22"/>
        </w:rPr>
        <w:t xml:space="preserve"> La calidad de una decisión se mide por la calidad del proceso que la produjo, no por su resultado individual. Una decisión bien tomada que pierde dinero sigue siendo correcta si el proceso se cumplió.</w:t>
      </w:r>
    </w:p>
    <w:p>
      <w:pPr>
        <w:spacing w:after="60"/>
        <w:ind w:left="425" w:hanging="283"/>
      </w:pPr>
      <w:r>
        <w:rPr>
          <w:b/>
          <w:sz w:val="22"/>
        </w:rPr>
        <w:t xml:space="preserve">2. </w:t>
      </w:r>
      <w:r>
        <w:rPr>
          <w:b/>
          <w:sz w:val="22"/>
        </w:rPr>
        <w:t>Adversarial por diseño.</w:t>
      </w:r>
      <w:r>
        <w:rPr>
          <w:sz w:val="22"/>
        </w:rPr>
        <w:t xml:space="preserve"> Toda tesis de inversión es construida y atacada en paralelo. Bull y Bear son roles institucionales asignados por ticker, no opiniones personales permanentes.</w:t>
      </w:r>
    </w:p>
    <w:p>
      <w:pPr>
        <w:spacing w:after="60"/>
        <w:ind w:left="425" w:hanging="283"/>
      </w:pPr>
      <w:r>
        <w:rPr>
          <w:b/>
          <w:sz w:val="22"/>
        </w:rPr>
        <w:t xml:space="preserve">3. </w:t>
      </w:r>
      <w:r>
        <w:rPr>
          <w:b/>
          <w:sz w:val="22"/>
        </w:rPr>
        <w:t>Disciplina cuantitativa con humildad cualitativa.</w:t>
      </w:r>
      <w:r>
        <w:rPr>
          <w:sz w:val="22"/>
        </w:rPr>
        <w:t xml:space="preserve"> El modelo financiero y la auditoría automatizada son el filtro técnico. El debate adversarial es el filtro humano. Ambos son necesarios; ninguno es suficiente.</w:t>
      </w:r>
    </w:p>
    <w:p>
      <w:pPr>
        <w:spacing w:after="60"/>
        <w:ind w:left="425" w:hanging="283"/>
      </w:pPr>
      <w:r>
        <w:rPr>
          <w:b/>
          <w:sz w:val="22"/>
        </w:rPr>
        <w:t xml:space="preserve">4. </w:t>
      </w:r>
      <w:r>
        <w:rPr>
          <w:b/>
          <w:sz w:val="22"/>
        </w:rPr>
        <w:t>Memoria institucional.</w:t>
      </w:r>
      <w:r>
        <w:rPr>
          <w:sz w:val="22"/>
        </w:rPr>
        <w:t xml:space="preserve"> Cada decisión deja registro permanente con tesis, pre-mortem, kill criteria y, cuando se cierra, post-mortem. El proceso aprende de sí mismo a lo largo del tiempo.</w:t>
      </w:r>
    </w:p>
    <w:p>
      <w:r>
        <w:br w:type="page"/>
      </w:r>
    </w:p>
    <w:p>
      <w:pPr>
        <w:keepNext/>
        <w:spacing w:before="240" w:after="120"/>
      </w:pPr>
      <w:r>
        <w:rPr>
          <w:rFonts w:ascii="Calibri" w:hAnsi="Calibri"/>
          <w:b/>
          <w:color w:val="142A45"/>
          <w:sz w:val="44"/>
        </w:rPr>
        <w:t>2.0 Roles y responsabilidades</w:t>
      </w:r>
    </w:p>
    <w:p>
      <w:pPr>
        <w:spacing w:after="120"/>
      </w:pPr>
      <w:r>
        <w:rPr>
          <w:b w:val="0"/>
          <w:i w:val="0"/>
          <w:sz w:val="22"/>
        </w:rPr>
        <w:t>Esta sección describe el modelo objetivo del equipo de inversión, no el estado actual. Mientras no se completen las contrataciones, el CIO ejecuta tanto las funciones de CIO como las del Investment Associate. Cada contratación o cambio dispara una actualización menor del manual.</w:t>
      </w:r>
    </w:p>
    <w:p>
      <w:pPr>
        <w:keepNext/>
        <w:spacing w:before="240" w:after="120"/>
      </w:pPr>
      <w:r>
        <w:rPr>
          <w:rFonts w:ascii="Calibri" w:hAnsi="Calibri"/>
          <w:b/>
          <w:color w:val="142A45"/>
          <w:sz w:val="32"/>
        </w:rPr>
        <w:t>2.1 Chief Investment Officer</w:t>
      </w:r>
    </w:p>
    <w:p>
      <w:pPr>
        <w:spacing w:after="120"/>
      </w:pPr>
      <w:r>
        <w:rPr>
          <w:b w:val="0"/>
          <w:i w:val="0"/>
          <w:sz w:val="22"/>
        </w:rPr>
        <w:t>El CIO es la máxima autoridad de inversión de DCE Holdings: define la filosofía y el framework de la cartera, modera el proceso adversarial, toma la decisión final sobre cada posición y ejecuta personalmente los trades en el broker. Es el dueño último del Decision Journal, del Annual Review y de la relación con los stakeholders del holding. Mientras el equipo no esté completo, asume además las funciones de los Associates.</w:t>
      </w:r>
    </w:p>
    <w:p>
      <w:pPr>
        <w:spacing w:after="120"/>
      </w:pPr>
      <w:r>
        <w:rPr>
          <w:b w:val="0"/>
          <w:i w:val="0"/>
          <w:sz w:val="22"/>
        </w:rPr>
        <w:t>El CIO es responsable último de:</w:t>
      </w:r>
    </w:p>
    <w:p>
      <w:pPr>
        <w:pStyle w:val="ListBullet"/>
        <w:spacing w:after="60"/>
        <w:ind w:left="425"/>
      </w:pPr>
      <w:r>
        <w:rPr>
          <w:sz w:val="22"/>
        </w:rPr>
        <w:t>La decisión final de compra, descarte o venta de cada posición.</w:t>
      </w:r>
    </w:p>
    <w:p>
      <w:pPr>
        <w:pStyle w:val="ListBullet"/>
        <w:spacing w:after="60"/>
        <w:ind w:left="425"/>
      </w:pPr>
      <w:r>
        <w:rPr>
          <w:sz w:val="22"/>
        </w:rPr>
        <w:t>La firma del Annual Review y de la carta anual a stakeholders.</w:t>
      </w:r>
    </w:p>
    <w:p>
      <w:pPr>
        <w:pStyle w:val="ListBullet"/>
        <w:spacing w:after="60"/>
        <w:ind w:left="425"/>
      </w:pPr>
      <w:r>
        <w:rPr>
          <w:sz w:val="22"/>
        </w:rPr>
        <w:t>La aprobación de cambios en este manual.</w:t>
      </w:r>
    </w:p>
    <w:p>
      <w:pPr>
        <w:pStyle w:val="ListBullet"/>
        <w:spacing w:after="60"/>
        <w:ind w:left="425"/>
      </w:pPr>
      <w:r>
        <w:rPr>
          <w:sz w:val="22"/>
        </w:rPr>
        <w:t>La asignación de cobertura entre los Investment Associates.</w:t>
      </w:r>
    </w:p>
    <w:p>
      <w:pPr>
        <w:pStyle w:val="ListBullet"/>
        <w:spacing w:after="60"/>
        <w:ind w:left="425"/>
      </w:pPr>
      <w:r>
        <w:rPr>
          <w:sz w:val="22"/>
        </w:rPr>
        <w:t>La moderación del debate adversarial.</w:t>
      </w:r>
    </w:p>
    <w:p>
      <w:pPr>
        <w:pStyle w:val="ListBullet"/>
        <w:spacing w:after="60"/>
        <w:ind w:left="425"/>
      </w:pPr>
      <w:r>
        <w:rPr>
          <w:sz w:val="22"/>
        </w:rPr>
        <w:t>La ejecución del trade en el broker tras una decisión BUY.</w:t>
      </w:r>
    </w:p>
    <w:p>
      <w:pPr>
        <w:keepNext/>
        <w:spacing w:before="240" w:after="120"/>
      </w:pPr>
      <w:r>
        <w:rPr>
          <w:rFonts w:ascii="Calibri" w:hAnsi="Calibri"/>
          <w:b/>
          <w:color w:val="142A45"/>
          <w:sz w:val="32"/>
        </w:rPr>
        <w:t>2.2 Investment Associate</w:t>
      </w:r>
    </w:p>
    <w:p>
      <w:pPr>
        <w:spacing w:after="120"/>
      </w:pPr>
      <w:r>
        <w:rPr>
          <w:b w:val="0"/>
          <w:i w:val="0"/>
          <w:sz w:val="22"/>
        </w:rPr>
        <w:t>El Investment Associate es el analista responsable de cubrir tickers de principio a fin: desde la construcción del modelo financiero y el Company Brief base case hasta la presentación del memo cualitativo (Bull o Bear según asignación) en el debate adversarial y el monitoreo posterior de las posiciones invertidas que originó. Los roles Bull y Bear son asignaciones de turno por ticker, no títulos permanentes: la asignación se hace en el Kickoff que arranca la fase adversarial y garantiza que ningún analyst se vuelva estructuralmente optimista o pesimista.</w:t>
      </w:r>
    </w:p>
    <w:p>
      <w:pPr>
        <w:spacing w:after="120"/>
      </w:pPr>
      <w:r>
        <w:rPr>
          <w:b w:val="0"/>
          <w:i w:val="0"/>
          <w:sz w:val="22"/>
        </w:rPr>
        <w:t>Responsabilidades comunes a todo Investment Associate:</w:t>
      </w:r>
    </w:p>
    <w:p>
      <w:pPr>
        <w:pStyle w:val="ListBullet"/>
        <w:spacing w:after="60"/>
        <w:ind w:left="425"/>
      </w:pPr>
      <w:r>
        <w:rPr>
          <w:sz w:val="22"/>
        </w:rPr>
        <w:t>Cubrir la cuota de ideas anuales en profundidad que le asigne el CIO.</w:t>
      </w:r>
    </w:p>
    <w:p>
      <w:pPr>
        <w:pStyle w:val="ListBullet"/>
        <w:spacing w:after="60"/>
        <w:ind w:left="425"/>
      </w:pPr>
      <w:r>
        <w:rPr>
          <w:sz w:val="22"/>
        </w:rPr>
        <w:t>Construir el modelo financiero y el Company Brief base case para los tickers que le toca cubrir.</w:t>
      </w:r>
    </w:p>
    <w:p>
      <w:pPr>
        <w:pStyle w:val="ListBullet"/>
        <w:spacing w:after="60"/>
        <w:ind w:left="425"/>
      </w:pPr>
      <w:r>
        <w:rPr>
          <w:sz w:val="22"/>
        </w:rPr>
        <w:t>Recibir el insumo cuantitativo correspondiente al rol asignado (bull o bear) durante la semana adversarial.</w:t>
      </w:r>
    </w:p>
    <w:p>
      <w:pPr>
        <w:pStyle w:val="ListBullet"/>
        <w:spacing w:after="60"/>
        <w:ind w:left="425"/>
      </w:pPr>
      <w:r>
        <w:rPr>
          <w:sz w:val="22"/>
        </w:rPr>
        <w:t>Construir el memo cualitativo (Bull Memo o Bear Memo según asignación) que defenderá en el debate.</w:t>
      </w:r>
    </w:p>
    <w:p>
      <w:pPr>
        <w:pStyle w:val="ListBullet"/>
        <w:spacing w:after="60"/>
        <w:ind w:left="425"/>
      </w:pPr>
      <w:r>
        <w:rPr>
          <w:sz w:val="22"/>
        </w:rPr>
        <w:t>Ejecutar el re-underwriting trimestral de los tickers que cubre, y el refresh trimestral de los tickers del followed universe que se le asignen.</w:t>
      </w:r>
    </w:p>
    <w:p>
      <w:pPr>
        <w:pStyle w:val="ListBullet"/>
        <w:spacing w:after="60"/>
        <w:ind w:left="425"/>
      </w:pPr>
      <w:r>
        <w:rPr>
          <w:sz w:val="22"/>
        </w:rPr>
        <w:t>Hacer seguimiento operativo de los tickers de los que presentó el bullish case y resultaron en BUY.</w:t>
      </w:r>
    </w:p>
    <w:p>
      <w:pPr>
        <w:keepNext/>
        <w:spacing w:before="240" w:after="120"/>
      </w:pPr>
      <w:r>
        <w:rPr>
          <w:rFonts w:ascii="Calibri" w:hAnsi="Calibri"/>
          <w:b/>
          <w:color w:val="142A45"/>
          <w:sz w:val="32"/>
        </w:rPr>
        <w:t>2.3 Régimen de gobernanza y constitución del Comité de Inversiones</w:t>
      </w:r>
    </w:p>
    <w:p>
      <w:pPr>
        <w:spacing w:after="120"/>
      </w:pPr>
      <w:r>
        <w:rPr>
          <w:b w:val="0"/>
          <w:i w:val="0"/>
          <w:sz w:val="22"/>
        </w:rPr>
        <w:t>Bajo régimen actual (&lt;10M USD AUM), el holding no contempla órganos institucionales adicionales de supervisión sobre el CIO. La trazabilidad e independencia mínima se materializan a través del Decision Journal inmutable, del archivo completo del Data Room y del Audit Gate del Company Brief. Cualquier relación de mentoría, sparring o consulta puntual que el CIO mantenga con terceros queda en el dominio de su gestión personal y no se rige por este manual ni por el Governance Framework.</w:t>
      </w:r>
    </w:p>
    <w:p>
      <w:pPr>
        <w:spacing w:after="120"/>
      </w:pPr>
      <w:r>
        <w:rPr>
          <w:b w:val="0"/>
          <w:i w:val="0"/>
          <w:sz w:val="22"/>
        </w:rPr>
        <w:t>Bajo régimen objetivo (≥10M USD AUM), se constituye el Comité de Inversiones colegiado conforme al Governance Framework §3.2, y este manual se actualiza para reflejar la dinámica de votación, quórum y composición que aplica a partir de ese momento.</w:t>
      </w:r>
    </w:p>
    <w:p>
      <w:pPr>
        <w:spacing w:after="120"/>
      </w:pPr>
      <w:r>
        <w:rPr>
          <w:b w:val="0"/>
          <w:i w:val="0"/>
          <w:sz w:val="22"/>
        </w:rPr>
        <w:t>La transición entre regímenes se ejecuta dentro de los 90 días siguientes al cierre del trimestre en que el AUM supere el umbral de manera sostenida, y dispara la actualización de este manual y de los demás documentos del cuerpo institucional.</w:t>
      </w:r>
    </w:p>
    <w:p>
      <w:r>
        <w:br w:type="page"/>
      </w:r>
    </w:p>
    <w:p>
      <w:pPr>
        <w:keepNext/>
        <w:spacing w:before="240" w:after="120"/>
      </w:pPr>
      <w:r>
        <w:rPr>
          <w:rFonts w:ascii="Calibri" w:hAnsi="Calibri"/>
          <w:b/>
          <w:color w:val="142A45"/>
          <w:sz w:val="44"/>
        </w:rPr>
        <w:t>3.0 El ciclo de inversión</w:t>
      </w:r>
    </w:p>
    <w:p>
      <w:pPr>
        <w:spacing w:after="120"/>
      </w:pPr>
      <w:r>
        <w:rPr>
          <w:b w:val="0"/>
          <w:i w:val="0"/>
          <w:sz w:val="22"/>
        </w:rPr>
        <w:t>El ciclo de inversión de DCE se descompone en seis macroprocesos secuenciales que llevan a una empresa candidata desde el triage cuantitativo hasta una decisión registrada en el Decision Journal. Los insumos que alimentan el funnel (el universo de empresas elegibles y el Idea Feed de leads externos) NO forman parte de este ciclo; son infraestructura de sourcing y viven en §4.0. La disciplina post-decisión (re-underwriting, refresh del followed universe, SELL y reporting) tampoco forma parte del ciclo: vive en §5.0. Las cadencias concretas (días, horarios, periodicidad) se centralizan en §6.0; este §3.0 describe únicamente la mecánica de cada macroproceso.</w:t>
      </w:r>
    </w:p>
    <w:p>
      <w:pPr>
        <w:spacing w:after="120"/>
        <w:jc w:val="center"/>
      </w:pPr>
      <w:r>
        <w:rPr>
          <w:b/>
          <w:i w:val="0"/>
          <w:color w:val="142A45"/>
          <w:sz w:val="24"/>
        </w:rPr>
        <w:t>Triage → Quick Review → Deep Dive → Adversarial → Decisión → Ejecución</w:t>
      </w:r>
    </w:p>
    <w:p>
      <w:pPr>
        <w:keepNext/>
        <w:spacing w:before="240" w:after="120"/>
      </w:pPr>
      <w:r>
        <w:rPr>
          <w:rFonts w:ascii="Calibri" w:hAnsi="Calibri"/>
          <w:b/>
          <w:color w:val="142A45"/>
          <w:sz w:val="32"/>
        </w:rPr>
        <w:t>3.1 Triage cuantitativo</w:t>
      </w:r>
    </w:p>
    <w:p>
      <w:pPr>
        <w:spacing w:after="120"/>
      </w:pPr>
      <w:r>
        <w:rPr>
          <w:b w:val="0"/>
          <w:i w:val="0"/>
          <w:sz w:val="22"/>
        </w:rPr>
        <w:t>Objetivo: filtrar el universo a un subconjunto manejable mediante criterios cuantitativos de calidad, crecimiento, salud financiera y valoración. Es el filtro masivo del ciclo.</w:t>
      </w:r>
    </w:p>
    <w:p>
      <w:pPr>
        <w:spacing w:after="120"/>
      </w:pPr>
      <w:r>
        <w:rPr>
          <w:b w:val="0"/>
          <w:i w:val="0"/>
          <w:sz w:val="22"/>
        </w:rPr>
        <w:t>Inputs: el universo de empresas elegibles (mantenido en 4.1), la watchlist propia y los datos fundamentales de las empresas.</w:t>
      </w:r>
    </w:p>
    <w:p>
      <w:pPr>
        <w:spacing w:after="120"/>
      </w:pPr>
      <w:r>
        <w:rPr>
          <w:b w:val="0"/>
          <w:i w:val="0"/>
          <w:sz w:val="22"/>
        </w:rPr>
        <w:t>Output: cada empresa recibe un verdict que la rutea a una de seis categorías:</w:t>
      </w:r>
    </w:p>
    <w:tbl>
      <w:tblPr>
        <w:tblStyle w:val="LightGrid-Accent1"/>
        <w:tblW w:type="auto" w:w="0"/>
        <w:tblLayout w:type="autofit"/>
        <w:tblLook w:firstColumn="1" w:firstRow="1" w:lastColumn="0" w:lastRow="0" w:noHBand="0" w:noVBand="1" w:val="04A0"/>
      </w:tblPr>
      <w:tblGrid>
        <w:gridCol w:w="3135"/>
        <w:gridCol w:w="3135"/>
        <w:gridCol w:w="3135"/>
      </w:tblGrid>
      <w:tr>
        <w:tc>
          <w:tcPr>
            <w:tcW w:type="dxa" w:w="3135"/>
            <w:shd w:val="clear" w:color="auto" w:fill="142A45"/>
          </w:tcPr>
          <w:p>
            <w:r/>
            <w:r>
              <w:rPr>
                <w:b/>
                <w:color w:val="FFFFFF"/>
                <w:sz w:val="20"/>
              </w:rPr>
              <w:t>Verdict</w:t>
            </w:r>
          </w:p>
        </w:tc>
        <w:tc>
          <w:tcPr>
            <w:tcW w:type="dxa" w:w="3135"/>
            <w:shd w:val="clear" w:color="auto" w:fill="142A45"/>
          </w:tcPr>
          <w:p>
            <w:r/>
            <w:r>
              <w:rPr>
                <w:b/>
                <w:color w:val="FFFFFF"/>
                <w:sz w:val="20"/>
              </w:rPr>
              <w:t>Significado</w:t>
            </w:r>
          </w:p>
        </w:tc>
        <w:tc>
          <w:tcPr>
            <w:tcW w:type="dxa" w:w="3135"/>
            <w:shd w:val="clear" w:color="auto" w:fill="142A45"/>
          </w:tcPr>
          <w:p>
            <w:r/>
            <w:r>
              <w:rPr>
                <w:b/>
                <w:color w:val="FFFFFF"/>
                <w:sz w:val="20"/>
              </w:rPr>
              <w:t>Routing</w:t>
            </w:r>
          </w:p>
        </w:tc>
      </w:tr>
      <w:tr>
        <w:tc>
          <w:tcPr>
            <w:tcW w:type="dxa" w:w="3135"/>
          </w:tcPr>
          <w:p>
            <w:r/>
            <w:r>
              <w:rPr>
                <w:sz w:val="20"/>
              </w:rPr>
              <w:t>Convicción alta del triage</w:t>
            </w:r>
          </w:p>
        </w:tc>
        <w:tc>
          <w:tcPr>
            <w:tcW w:type="dxa" w:w="3135"/>
          </w:tcPr>
          <w:p>
            <w:r/>
            <w:r>
              <w:rPr>
                <w:sz w:val="20"/>
              </w:rPr>
              <w:t>Salta el Quick Review y entra directo a Deep Dive</w:t>
            </w:r>
          </w:p>
        </w:tc>
        <w:tc>
          <w:tcPr>
            <w:tcW w:type="dxa" w:w="3135"/>
          </w:tcPr>
          <w:p>
            <w:r/>
            <w:r>
              <w:rPr>
                <w:sz w:val="20"/>
              </w:rPr>
              <w:t>Etapa 3.3</w:t>
            </w:r>
          </w:p>
        </w:tc>
      </w:tr>
      <w:tr>
        <w:tc>
          <w:tcPr>
            <w:tcW w:type="dxa" w:w="3135"/>
          </w:tcPr>
          <w:p>
            <w:r/>
            <w:r>
              <w:rPr>
                <w:sz w:val="20"/>
              </w:rPr>
              <w:t>Listo para Quick Review</w:t>
            </w:r>
          </w:p>
        </w:tc>
        <w:tc>
          <w:tcPr>
            <w:tcW w:type="dxa" w:w="3135"/>
          </w:tcPr>
          <w:p>
            <w:r/>
            <w:r>
              <w:rPr>
                <w:sz w:val="20"/>
              </w:rPr>
              <w:t>Pasa por el filtro intermedio antes de Deep Dive</w:t>
            </w:r>
          </w:p>
        </w:tc>
        <w:tc>
          <w:tcPr>
            <w:tcW w:type="dxa" w:w="3135"/>
          </w:tcPr>
          <w:p>
            <w:r/>
            <w:r>
              <w:rPr>
                <w:sz w:val="20"/>
              </w:rPr>
              <w:t>Etapa 3.2</w:t>
            </w:r>
          </w:p>
        </w:tc>
      </w:tr>
      <w:tr>
        <w:tc>
          <w:tcPr>
            <w:tcW w:type="dxa" w:w="3135"/>
          </w:tcPr>
          <w:p>
            <w:r/>
            <w:r>
              <w:rPr>
                <w:sz w:val="20"/>
              </w:rPr>
              <w:t>Shortlist de calidad</w:t>
            </w:r>
          </w:p>
        </w:tc>
        <w:tc>
          <w:tcPr>
            <w:tcW w:type="dxa" w:w="3135"/>
          </w:tcPr>
          <w:p>
            <w:r/>
            <w:r>
              <w:rPr>
                <w:sz w:val="20"/>
              </w:rPr>
              <w:t>Empresa de alta calidad sin trigger de precio actual</w:t>
            </w:r>
          </w:p>
        </w:tc>
        <w:tc>
          <w:tcPr>
            <w:tcW w:type="dxa" w:w="3135"/>
          </w:tcPr>
          <w:p>
            <w:r/>
            <w:r>
              <w:rPr>
                <w:sz w:val="20"/>
              </w:rPr>
              <w:t>Watchlist Premium</w:t>
            </w:r>
          </w:p>
        </w:tc>
      </w:tr>
      <w:tr>
        <w:tc>
          <w:tcPr>
            <w:tcW w:type="dxa" w:w="3135"/>
          </w:tcPr>
          <w:p>
            <w:r/>
            <w:r>
              <w:rPr>
                <w:sz w:val="20"/>
              </w:rPr>
              <w:t>Watchlist regular</w:t>
            </w:r>
          </w:p>
        </w:tc>
        <w:tc>
          <w:tcPr>
            <w:tcW w:type="dxa" w:w="3135"/>
          </w:tcPr>
          <w:p>
            <w:r/>
            <w:r>
              <w:rPr>
                <w:sz w:val="20"/>
              </w:rPr>
              <w:t>Empresa OK sin trigger fundamental</w:t>
            </w:r>
          </w:p>
        </w:tc>
        <w:tc>
          <w:tcPr>
            <w:tcW w:type="dxa" w:w="3135"/>
          </w:tcPr>
          <w:p>
            <w:r/>
            <w:r>
              <w:rPr>
                <w:sz w:val="20"/>
              </w:rPr>
              <w:t>Watchlist</w:t>
            </w:r>
          </w:p>
        </w:tc>
      </w:tr>
      <w:tr>
        <w:tc>
          <w:tcPr>
            <w:tcW w:type="dxa" w:w="3135"/>
          </w:tcPr>
          <w:p>
            <w:r/>
            <w:r>
              <w:rPr>
                <w:sz w:val="20"/>
              </w:rPr>
              <w:t>Rechazado</w:t>
            </w:r>
          </w:p>
        </w:tc>
        <w:tc>
          <w:tcPr>
            <w:tcW w:type="dxa" w:w="3135"/>
          </w:tcPr>
          <w:p>
            <w:r/>
            <w:r>
              <w:rPr>
                <w:sz w:val="20"/>
              </w:rPr>
              <w:t>No cumple criterios mínimos</w:t>
            </w:r>
          </w:p>
        </w:tc>
        <w:tc>
          <w:tcPr>
            <w:tcW w:type="dxa" w:w="3135"/>
          </w:tcPr>
          <w:p>
            <w:r/>
            <w:r>
              <w:rPr>
                <w:sz w:val="20"/>
              </w:rPr>
              <w:t>Archivado con razón</w:t>
            </w:r>
          </w:p>
        </w:tc>
      </w:tr>
      <w:tr>
        <w:tc>
          <w:tcPr>
            <w:tcW w:type="dxa" w:w="3135"/>
          </w:tcPr>
          <w:p>
            <w:r/>
            <w:r>
              <w:rPr>
                <w:sz w:val="20"/>
              </w:rPr>
              <w:t>Excluido por framework</w:t>
            </w:r>
          </w:p>
        </w:tc>
        <w:tc>
          <w:tcPr>
            <w:tcW w:type="dxa" w:w="3135"/>
          </w:tcPr>
          <w:p>
            <w:r/>
            <w:r>
              <w:rPr>
                <w:sz w:val="20"/>
              </w:rPr>
              <w:t>Fuera del marco DCE (banco, REIT, etc.)</w:t>
            </w:r>
          </w:p>
        </w:tc>
        <w:tc>
          <w:tcPr>
            <w:tcW w:type="dxa" w:w="3135"/>
          </w:tcPr>
          <w:p>
            <w:r/>
            <w:r>
              <w:rPr>
                <w:sz w:val="20"/>
              </w:rPr>
              <w:t>Archivado</w:t>
            </w:r>
          </w:p>
        </w:tc>
      </w:tr>
    </w:tbl>
    <w:p>
      <w:pPr>
        <w:spacing w:after="120"/>
      </w:pPr>
      <w:r>
        <w:rPr>
          <w:b w:val="0"/>
          <w:i w:val="0"/>
          <w:sz w:val="22"/>
        </w:rPr>
        <w:t>Gates de salida: el verdict determina hacia qué etapa se enruta cada empresa.</w:t>
      </w:r>
    </w:p>
    <w:p>
      <w:pPr>
        <w:spacing w:after="120"/>
      </w:pPr>
      <w:r>
        <w:rPr>
          <w:b w:val="0"/>
          <w:i w:val="0"/>
          <w:sz w:val="22"/>
        </w:rPr>
        <w:t>Cadencia: a demanda, típicamente sobre el universo rotativo más ejecuciones puntuales cuando llega un input externo relevante (movimientos de superinvestores, exposición sectorial específica, eventos macro).</w:t>
      </w:r>
    </w:p>
    <w:p>
      <w:pPr>
        <w:spacing w:after="120"/>
      </w:pPr>
      <w:r>
        <w:rPr>
          <w:b w:val="0"/>
          <w:i w:val="0"/>
          <w:sz w:val="22"/>
        </w:rPr>
        <w:t>Owner: el CIO. Un Investment Associate ejecuta el screener y prepara la shortlist resultante para revisión del CIO.</w:t>
      </w:r>
    </w:p>
    <w:p>
      <w:pPr>
        <w:keepNext/>
        <w:spacing w:before="240" w:after="120"/>
      </w:pPr>
      <w:r>
        <w:rPr>
          <w:rFonts w:ascii="Calibri" w:hAnsi="Calibri"/>
          <w:b/>
          <w:color w:val="142A45"/>
          <w:sz w:val="32"/>
        </w:rPr>
        <w:t>3.2 Quick Review</w:t>
      </w:r>
    </w:p>
    <w:p>
      <w:pPr>
        <w:spacing w:after="120"/>
      </w:pPr>
      <w:r>
        <w:rPr>
          <w:b w:val="0"/>
          <w:i w:val="0"/>
          <w:sz w:val="22"/>
        </w:rPr>
        <w:t>Objetivo: filtro intermedio cuantitativo entre el Triage masivo y el Deep Dive. Reduce el riesgo de invertir tiempo profundo en una empresa que falla los thresholds básicos de calidad.</w:t>
      </w:r>
    </w:p>
    <w:p>
      <w:pPr>
        <w:spacing w:after="120"/>
      </w:pPr>
      <w:r>
        <w:rPr>
          <w:b w:val="0"/>
          <w:i w:val="0"/>
          <w:sz w:val="22"/>
        </w:rPr>
        <w:t>Inputs: empresas que el Triage marcó como Listo para Quick Review (o, en algunos casos, las de Convicción Alta cuando el CIO solicita una validación intermedia antes del Deep Dive). Una empresa también puede iniciar el ciclo aquí si entra como lead externo desde el Idea Feed (4.2) sin haber pasado por Triage.</w:t>
      </w:r>
    </w:p>
    <w:p>
      <w:pPr>
        <w:spacing w:after="120"/>
      </w:pPr>
      <w:r>
        <w:rPr>
          <w:b w:val="0"/>
          <w:i w:val="0"/>
          <w:sz w:val="22"/>
        </w:rPr>
        <w:t>Pipeline interno:</w:t>
      </w:r>
    </w:p>
    <w:p>
      <w:pPr>
        <w:spacing w:after="60"/>
        <w:ind w:left="425" w:hanging="283"/>
      </w:pPr>
      <w:r>
        <w:rPr>
          <w:b/>
          <w:sz w:val="22"/>
        </w:rPr>
        <w:t xml:space="preserve">1. </w:t>
      </w:r>
      <w:r>
        <w:rPr>
          <w:sz w:val="22"/>
        </w:rPr>
        <w:t>Aplicación de los thresholds del Quality Gate definido institucionalmente: rentabilidad sobre capital invertido, conversión de utilidad a flujo de caja, apalancamiento neto, crecimiento histórico de ingresos y tendencia de márgenes operativos.</w:t>
      </w:r>
    </w:p>
    <w:p>
      <w:pPr>
        <w:spacing w:after="60"/>
        <w:ind w:left="425" w:hanging="283"/>
      </w:pPr>
      <w:r>
        <w:rPr>
          <w:b/>
          <w:sz w:val="22"/>
        </w:rPr>
        <w:t xml:space="preserve">2. </w:t>
      </w:r>
      <w:r>
        <w:rPr>
          <w:sz w:val="22"/>
        </w:rPr>
        <w:t>Normalización del beneficio por acción para eliminar distorsiones puntuales (impuestos extraordinarios, eventos no recurrentes).</w:t>
      </w:r>
    </w:p>
    <w:p>
      <w:pPr>
        <w:spacing w:after="60"/>
        <w:ind w:left="425" w:hanging="283"/>
      </w:pPr>
      <w:r>
        <w:rPr>
          <w:b/>
          <w:sz w:val="22"/>
        </w:rPr>
        <w:t xml:space="preserve">3. </w:t>
      </w:r>
      <w:r>
        <w:rPr>
          <w:sz w:val="22"/>
        </w:rPr>
        <w:t>Construcción de escenarios Bear, Base y Bull con probabilidades de ocurrencia.</w:t>
      </w:r>
    </w:p>
    <w:p>
      <w:pPr>
        <w:spacing w:after="60"/>
        <w:ind w:left="425" w:hanging="283"/>
      </w:pPr>
      <w:r>
        <w:rPr>
          <w:b/>
          <w:sz w:val="22"/>
        </w:rPr>
        <w:t xml:space="preserve">4. </w:t>
      </w:r>
      <w:r>
        <w:rPr>
          <w:sz w:val="22"/>
        </w:rPr>
        <w:t>Cálculo de la probabilidad de equilibrio del escenario bear (qué tan probable necesita ser el caso bear para que la inversión iguale el hurdle de retorno).</w:t>
      </w:r>
    </w:p>
    <w:p>
      <w:pPr>
        <w:spacing w:after="60"/>
        <w:ind w:left="425" w:hanging="283"/>
      </w:pPr>
      <w:r>
        <w:rPr>
          <w:b/>
          <w:sz w:val="22"/>
        </w:rPr>
        <w:t xml:space="preserve">5. </w:t>
      </w:r>
      <w:r>
        <w:rPr>
          <w:sz w:val="22"/>
        </w:rPr>
        <w:t>Definición preliminar de los kill criteria que dispararían una reconsideración inmediata si se invirtiera.</w:t>
      </w:r>
    </w:p>
    <w:p>
      <w:pPr>
        <w:spacing w:after="60"/>
        <w:ind w:left="425" w:hanging="283"/>
      </w:pPr>
      <w:r>
        <w:rPr>
          <w:b/>
          <w:sz w:val="22"/>
        </w:rPr>
        <w:t xml:space="preserve">6. </w:t>
      </w:r>
      <w:r>
        <w:rPr>
          <w:sz w:val="22"/>
        </w:rPr>
        <w:t>Cálculo del trigger de re-entrada (qué caída de precio devolvería la inversión al hurdle, asumiendo tesis intacta).</w:t>
      </w:r>
    </w:p>
    <w:p>
      <w:pPr>
        <w:spacing w:after="60"/>
        <w:ind w:left="425" w:hanging="283"/>
      </w:pPr>
      <w:r>
        <w:rPr>
          <w:b/>
          <w:sz w:val="22"/>
        </w:rPr>
        <w:t xml:space="preserve">7. </w:t>
      </w:r>
      <w:r>
        <w:rPr>
          <w:sz w:val="22"/>
        </w:rPr>
        <w:t>Reconciliación del verdict del Quick Review contra el verdict del Triage (detecta inconsistencias y mejora ambos filtros).</w:t>
      </w:r>
    </w:p>
    <w:p>
      <w:pPr>
        <w:spacing w:after="120"/>
      </w:pPr>
      <w:r>
        <w:rPr>
          <w:b w:val="0"/>
          <w:i w:val="0"/>
          <w:sz w:val="22"/>
        </w:rPr>
        <w:t>Output: un documento ejecutivo con verdict y, según corresponda, ruteo a Deep Dive, a Watchlist Premium o a Descarte.</w:t>
      </w:r>
    </w:p>
    <w:p>
      <w:pPr>
        <w:spacing w:after="120"/>
      </w:pPr>
      <w:r>
        <w:rPr>
          <w:b w:val="0"/>
          <w:i w:val="0"/>
          <w:sz w:val="22"/>
        </w:rPr>
        <w:t>Gate de salida hacia Deep Dive: quien quiera iniciar un Deep Dive debe pasar primero por el Quick Review. La vía natural de avance es un verdict GO DEEP DIVE; sin embargo, aunque el verdict no sea GO DEEP DIVE, el Associate puede justificar al CIO querer avanzar y el CIO autoriza el paso a Deep Dive como excepción documentada.</w:t>
      </w:r>
    </w:p>
    <w:p>
      <w:pPr>
        <w:spacing w:after="120"/>
      </w:pPr>
      <w:r>
        <w:rPr>
          <w:b w:val="0"/>
          <w:i w:val="0"/>
          <w:sz w:val="22"/>
        </w:rPr>
        <w:t>Cadencia: a demanda, en función del flujo de candidatos provenientes de Triage y de leads externos.</w:t>
      </w:r>
    </w:p>
    <w:p>
      <w:pPr>
        <w:spacing w:after="120"/>
      </w:pPr>
      <w:r>
        <w:rPr>
          <w:b w:val="0"/>
          <w:i w:val="0"/>
          <w:sz w:val="22"/>
        </w:rPr>
        <w:t>Owner: un Investment Associate ejecuta. El CIO ratifica el verdict y autoriza las excepciones.</w:t>
      </w:r>
    </w:p>
    <w:p>
      <w:pPr>
        <w:keepNext/>
        <w:spacing w:before="240" w:after="120"/>
      </w:pPr>
      <w:r>
        <w:rPr>
          <w:rFonts w:ascii="Calibri" w:hAnsi="Calibri"/>
          <w:b/>
          <w:color w:val="142A45"/>
          <w:sz w:val="32"/>
        </w:rPr>
        <w:t>3.3 Deep Dive</w:t>
      </w:r>
    </w:p>
    <w:p>
      <w:pPr>
        <w:spacing w:after="120"/>
      </w:pPr>
      <w:r>
        <w:rPr>
          <w:b w:val="0"/>
          <w:i w:val="0"/>
          <w:sz w:val="22"/>
        </w:rPr>
        <w:t>Objetivo: construir la base case auditada que servirá como punto de partida común para la fase adversarial. La base case es deliberadamente descriptiva y cuantitativa; no contiene tesis de inversión ni recomendación de compra o descarte.</w:t>
      </w:r>
    </w:p>
    <w:p>
      <w:pPr>
        <w:spacing w:after="120"/>
      </w:pPr>
      <w:r>
        <w:rPr>
          <w:b w:val="0"/>
          <w:i w:val="0"/>
          <w:sz w:val="22"/>
        </w:rPr>
        <w:t>Inputs:</w:t>
      </w:r>
    </w:p>
    <w:p>
      <w:pPr>
        <w:pStyle w:val="ListBullet"/>
        <w:spacing w:after="60"/>
        <w:ind w:left="425"/>
      </w:pPr>
      <w:r>
        <w:rPr>
          <w:sz w:val="22"/>
        </w:rPr>
        <w:t>Empresa con verdict GO DEEP DIVE de la etapa anterior, o con verdict de Convicción Alta directa del Triage, o con autorización excepcional del CIO tras un Quick Review sin verdict GO.</w:t>
      </w:r>
    </w:p>
    <w:p>
      <w:pPr>
        <w:pStyle w:val="ListBullet"/>
        <w:spacing w:after="60"/>
        <w:ind w:left="425"/>
      </w:pPr>
      <w:r>
        <w:rPr>
          <w:sz w:val="22"/>
        </w:rPr>
        <w:t>Empresa que entra como lead externo directamente a esta etapa cuando el CIO así lo autoriza (caso poco común, típicamente reservado para reaperturas de tesis).</w:t>
      </w:r>
    </w:p>
    <w:p>
      <w:pPr>
        <w:pStyle w:val="ListBullet"/>
        <w:spacing w:after="60"/>
        <w:ind w:left="425"/>
      </w:pPr>
      <w:r>
        <w:rPr>
          <w:sz w:val="22"/>
        </w:rPr>
        <w:t>Estados financieros auditados de los últimos cinco años.</w:t>
      </w:r>
    </w:p>
    <w:p>
      <w:pPr>
        <w:pStyle w:val="ListBullet"/>
        <w:spacing w:after="60"/>
        <w:ind w:left="425"/>
      </w:pPr>
      <w:r>
        <w:rPr>
          <w:sz w:val="22"/>
        </w:rPr>
        <w:t>Reportes anuales, trimestrales y proxy statements.</w:t>
      </w:r>
    </w:p>
    <w:p>
      <w:pPr>
        <w:pStyle w:val="ListBullet"/>
        <w:spacing w:after="60"/>
        <w:ind w:left="425"/>
      </w:pPr>
      <w:r>
        <w:rPr>
          <w:sz w:val="22"/>
        </w:rPr>
        <w:t>Transcripciones de conference calls relevantes.</w:t>
      </w:r>
    </w:p>
    <w:p>
      <w:pPr>
        <w:pStyle w:val="ListBullet"/>
        <w:spacing w:after="60"/>
        <w:ind w:left="425"/>
      </w:pPr>
      <w:r>
        <w:rPr>
          <w:sz w:val="22"/>
        </w:rPr>
        <w:t>Lectura competitiva y dinámica sectorial.</w:t>
      </w:r>
    </w:p>
    <w:p>
      <w:pPr>
        <w:spacing w:after="120"/>
      </w:pPr>
      <w:r>
        <w:rPr>
          <w:b w:val="0"/>
          <w:i w:val="0"/>
          <w:sz w:val="22"/>
        </w:rPr>
        <w:t>Trabajo del Deep Dive:</w:t>
      </w:r>
    </w:p>
    <w:p>
      <w:pPr>
        <w:pStyle w:val="ListBullet"/>
        <w:spacing w:after="60"/>
        <w:ind w:left="425"/>
      </w:pPr>
      <w:r>
        <w:rPr>
          <w:sz w:val="22"/>
        </w:rPr>
        <w:t>Construcción del modelo financiero completo (valoración por poder de generación de utilidades, valoración por activos, escenarios de retorno y métricas de salud financiera).</w:t>
      </w:r>
    </w:p>
    <w:p>
      <w:pPr>
        <w:pStyle w:val="ListBullet"/>
        <w:spacing w:after="60"/>
        <w:ind w:left="425"/>
      </w:pPr>
      <w:r>
        <w:rPr>
          <w:sz w:val="22"/>
        </w:rPr>
        <w:t>Redacción del Company Brief: documento descriptivo-cuantitativo que acompaña al modelo, captura el negocio, los números, la salud financiera, los riesgos preliminares y los puntos críticos pendientes de debate. El Company Brief recoge todos los cálculos del modelo y, al cerrarse, genera el dashboard HTML del ticker en el portal interno.</w:t>
      </w:r>
    </w:p>
    <w:p>
      <w:pPr>
        <w:spacing w:after="120"/>
      </w:pPr>
      <w:r>
        <w:rPr>
          <w:b/>
          <w:i w:val="0"/>
          <w:sz w:val="22"/>
        </w:rPr>
        <w:t>Audit Gate al cierre del Deep Dive (NO NEGOCIABLE):</w:t>
      </w:r>
    </w:p>
    <w:p>
      <w:pPr>
        <w:spacing w:after="120"/>
      </w:pPr>
      <w:r>
        <w:rPr>
          <w:b w:val="0"/>
          <w:i w:val="0"/>
          <w:sz w:val="22"/>
        </w:rPr>
        <w:t>La auditoría técnica cruzada entre el modelo y el Brief la ejecuta automáticamente el skill correspondiente; los criterios específicos (reconciliación numérica, consistencia de tasa de descuento, base operativa normalizada, formulación de modos de falla, puntos de decisión explícitos) viven en el Anexo Técnico. La responsabilidad del Associate es verificar que el Brief queda completo, internamente consistente y respaldado por el modelo. Si la auditoría no pasa, la base case no avanza a la fase adversarial.</w:t>
      </w:r>
    </w:p>
    <w:p>
      <w:pPr>
        <w:spacing w:after="120"/>
      </w:pPr>
      <w:r>
        <w:rPr>
          <w:b w:val="0"/>
          <w:i w:val="0"/>
          <w:sz w:val="22"/>
        </w:rPr>
        <w:t>Cadencia: a demanda, típicamente una empresa por Associate por ciclo adversarial. Ver 5.0 para la cadencia agregada.</w:t>
      </w:r>
    </w:p>
    <w:p>
      <w:pPr>
        <w:spacing w:after="120"/>
      </w:pPr>
      <w:r>
        <w:rPr>
          <w:b w:val="0"/>
          <w:i w:val="0"/>
          <w:sz w:val="22"/>
        </w:rPr>
        <w:t>Owner: el Associate asignado al ticker ejecuta. El CIO ratifica la exactitud técnica antes del Audit Gate.</w:t>
      </w:r>
    </w:p>
    <w:p>
      <w:pPr>
        <w:keepNext/>
        <w:spacing w:before="240" w:after="120"/>
      </w:pPr>
      <w:r>
        <w:rPr>
          <w:rFonts w:ascii="Calibri" w:hAnsi="Calibri"/>
          <w:b/>
          <w:color w:val="142A45"/>
          <w:sz w:val="32"/>
        </w:rPr>
        <w:t>3.4 Fase adversarial</w:t>
      </w:r>
    </w:p>
    <w:p>
      <w:pPr>
        <w:spacing w:after="120"/>
      </w:pPr>
      <w:r>
        <w:rPr>
          <w:b w:val="0"/>
          <w:i w:val="0"/>
          <w:sz w:val="22"/>
        </w:rPr>
        <w:t>Objetivo: estresar la base case auditada con distribución segregada de información. La fase adversarial hereda la base case validada y no la re-audita; su trabajo es atacar y defender la tesis con argumentos cualitativos respaldados por insumos cuantitativos especializados.</w:t>
      </w:r>
    </w:p>
    <w:p>
      <w:pPr>
        <w:spacing w:after="120"/>
      </w:pPr>
      <w:r>
        <w:rPr>
          <w:b w:val="0"/>
          <w:i w:val="0"/>
          <w:sz w:val="22"/>
        </w:rPr>
        <w:t>Apertura de la fase adversarial — Distribución segregada: los tres participantes del debate (Bull Analyst, Bear Analyst, CIO) reciben en privado un insumo distinto:</w:t>
      </w:r>
    </w:p>
    <w:tbl>
      <w:tblPr>
        <w:tblStyle w:val="LightGrid-Accent1"/>
        <w:tblW w:type="auto" w:w="0"/>
        <w:tblLayout w:type="autofit"/>
        <w:tblLook w:firstColumn="1" w:firstRow="1" w:lastColumn="0" w:lastRow="0" w:noHBand="0" w:noVBand="1" w:val="04A0"/>
      </w:tblPr>
      <w:tblGrid>
        <w:gridCol w:w="3135"/>
        <w:gridCol w:w="3135"/>
        <w:gridCol w:w="3135"/>
      </w:tblGrid>
      <w:tr>
        <w:tc>
          <w:tcPr>
            <w:tcW w:type="dxa" w:w="3135"/>
            <w:shd w:val="clear" w:color="auto" w:fill="142A45"/>
          </w:tcPr>
          <w:p>
            <w:r/>
            <w:r>
              <w:rPr>
                <w:b/>
                <w:color w:val="FFFFFF"/>
                <w:sz w:val="20"/>
              </w:rPr>
              <w:t>Rol</w:t>
            </w:r>
          </w:p>
        </w:tc>
        <w:tc>
          <w:tcPr>
            <w:tcW w:type="dxa" w:w="3135"/>
            <w:shd w:val="clear" w:color="auto" w:fill="142A45"/>
          </w:tcPr>
          <w:p>
            <w:r/>
            <w:r>
              <w:rPr>
                <w:b/>
                <w:color w:val="FFFFFF"/>
                <w:sz w:val="20"/>
              </w:rPr>
              <w:t>Insumo</w:t>
            </w:r>
          </w:p>
        </w:tc>
        <w:tc>
          <w:tcPr>
            <w:tcW w:type="dxa" w:w="3135"/>
            <w:shd w:val="clear" w:color="auto" w:fill="142A45"/>
          </w:tcPr>
          <w:p>
            <w:r/>
            <w:r>
              <w:rPr>
                <w:b/>
                <w:color w:val="FFFFFF"/>
                <w:sz w:val="20"/>
              </w:rPr>
              <w:t>Naturaleza</w:t>
            </w:r>
          </w:p>
        </w:tc>
      </w:tr>
      <w:tr>
        <w:tc>
          <w:tcPr>
            <w:tcW w:type="dxa" w:w="3135"/>
          </w:tcPr>
          <w:p>
            <w:r/>
            <w:r>
              <w:rPr>
                <w:sz w:val="20"/>
              </w:rPr>
              <w:t>Bull Analyst</w:t>
            </w:r>
          </w:p>
        </w:tc>
        <w:tc>
          <w:tcPr>
            <w:tcW w:type="dxa" w:w="3135"/>
          </w:tcPr>
          <w:p>
            <w:r/>
            <w:r>
              <w:rPr>
                <w:sz w:val="20"/>
              </w:rPr>
              <w:t>Insumos cuantitativos de defensa de tesis</w:t>
            </w:r>
          </w:p>
        </w:tc>
        <w:tc>
          <w:tcPr>
            <w:tcW w:type="dxa" w:w="3135"/>
          </w:tcPr>
          <w:p>
            <w:r/>
            <w:r>
              <w:rPr>
                <w:sz w:val="20"/>
              </w:rPr>
              <w:t>Munición numérica del lado bull</w:t>
            </w:r>
          </w:p>
        </w:tc>
      </w:tr>
      <w:tr>
        <w:tc>
          <w:tcPr>
            <w:tcW w:type="dxa" w:w="3135"/>
          </w:tcPr>
          <w:p>
            <w:r/>
            <w:r>
              <w:rPr>
                <w:sz w:val="20"/>
              </w:rPr>
              <w:t>Bear Analyst</w:t>
            </w:r>
          </w:p>
        </w:tc>
        <w:tc>
          <w:tcPr>
            <w:tcW w:type="dxa" w:w="3135"/>
          </w:tcPr>
          <w:p>
            <w:r/>
            <w:r>
              <w:rPr>
                <w:sz w:val="20"/>
              </w:rPr>
              <w:t>Insumos cuantitativos de stress test</w:t>
            </w:r>
          </w:p>
        </w:tc>
        <w:tc>
          <w:tcPr>
            <w:tcW w:type="dxa" w:w="3135"/>
          </w:tcPr>
          <w:p>
            <w:r/>
            <w:r>
              <w:rPr>
                <w:sz w:val="20"/>
              </w:rPr>
              <w:t>Munición numérica del lado bear</w:t>
            </w:r>
          </w:p>
        </w:tc>
      </w:tr>
      <w:tr>
        <w:tc>
          <w:tcPr>
            <w:tcW w:type="dxa" w:w="3135"/>
          </w:tcPr>
          <w:p>
            <w:r/>
            <w:r>
              <w:rPr>
                <w:sz w:val="20"/>
              </w:rPr>
              <w:t>CIO</w:t>
            </w:r>
          </w:p>
        </w:tc>
        <w:tc>
          <w:tcPr>
            <w:tcW w:type="dxa" w:w="3135"/>
          </w:tcPr>
          <w:p>
            <w:r/>
            <w:r>
              <w:rPr>
                <w:sz w:val="20"/>
              </w:rPr>
              <w:t>Ambos insumos cuanti (Bull y Bear) + Munger Digital</w:t>
            </w:r>
          </w:p>
        </w:tc>
        <w:tc>
          <w:tcPr>
            <w:tcW w:type="dxa" w:w="3135"/>
          </w:tcPr>
          <w:p>
            <w:r/>
            <w:r>
              <w:rPr>
                <w:sz w:val="20"/>
              </w:rPr>
              <w:t>Visión completa de la munición cuantitativa de cada lado y preparación para la cross-examination</w:t>
            </w:r>
          </w:p>
        </w:tc>
      </w:tr>
    </w:tbl>
    <w:p>
      <w:pPr>
        <w:spacing w:after="120"/>
      </w:pPr>
      <w:r>
        <w:rPr>
          <w:b w:val="0"/>
          <w:i w:val="0"/>
          <w:sz w:val="22"/>
        </w:rPr>
        <w:t>El Munger Digital del CIO es un briefing de cuatro secciones: incentivos del management, sesgos previsibles del debate, pre-mortem preliminar derivado del stress test, y la pregunta incómoda que ningún memo se atreve a hacer explícita. El CIO accede a la munición cuanti completa (Bull + Bear) deliberadamente; los Associates no.</w:t>
      </w:r>
    </w:p>
    <w:p>
      <w:pPr>
        <w:spacing w:after="120"/>
      </w:pPr>
      <w:r>
        <w:rPr>
          <w:b w:val="0"/>
          <w:i w:val="0"/>
          <w:sz w:val="22"/>
        </w:rPr>
        <w:t>Trabajo de la fase adversarial:</w:t>
      </w:r>
    </w:p>
    <w:p>
      <w:pPr>
        <w:pStyle w:val="ListBullet"/>
        <w:spacing w:after="60"/>
        <w:ind w:left="425"/>
      </w:pPr>
      <w:r>
        <w:rPr>
          <w:sz w:val="22"/>
        </w:rPr>
        <w:t>Cada analyst construye su memo cualitativo (Bull Memo o Bear Memo) usando su insumo como respaldo.</w:t>
      </w:r>
    </w:p>
    <w:p>
      <w:pPr>
        <w:pStyle w:val="ListBullet"/>
        <w:spacing w:after="60"/>
        <w:ind w:left="425"/>
      </w:pPr>
      <w:r>
        <w:rPr>
          <w:sz w:val="22"/>
        </w:rPr>
        <w:t>El CIO lee los insumos de ambos lados en privado y prepara su cross-examination.</w:t>
      </w:r>
    </w:p>
    <w:p>
      <w:pPr>
        <w:pStyle w:val="ListBullet"/>
        <w:spacing w:after="60"/>
        <w:ind w:left="425"/>
      </w:pPr>
      <w:r>
        <w:rPr>
          <w:sz w:val="22"/>
        </w:rPr>
        <w:t>Ningún analyst comparte su insumo ni su memo con el otro antes del debate.</w:t>
      </w:r>
    </w:p>
    <w:p>
      <w:pPr>
        <w:spacing w:after="120"/>
      </w:pPr>
      <w:r>
        <w:rPr>
          <w:b w:val="0"/>
          <w:i w:val="0"/>
          <w:sz w:val="22"/>
        </w:rPr>
        <w:t>Outputs antes del debate:</w:t>
      </w:r>
    </w:p>
    <w:p>
      <w:pPr>
        <w:pStyle w:val="ListBullet"/>
        <w:spacing w:after="60"/>
        <w:ind w:left="425"/>
      </w:pPr>
      <w:r>
        <w:rPr>
          <w:sz w:val="22"/>
        </w:rPr>
        <w:t>Bull Memo de cinco a ocho páginas.</w:t>
      </w:r>
    </w:p>
    <w:p>
      <w:pPr>
        <w:pStyle w:val="ListBullet"/>
        <w:spacing w:after="60"/>
        <w:ind w:left="425"/>
      </w:pPr>
      <w:r>
        <w:rPr>
          <w:sz w:val="22"/>
        </w:rPr>
        <w:t>Bear Memo de cinco a ocho páginas.</w:t>
      </w:r>
    </w:p>
    <w:p>
      <w:pPr>
        <w:spacing w:after="120"/>
      </w:pPr>
      <w:r>
        <w:rPr>
          <w:b w:val="0"/>
          <w:i w:val="0"/>
          <w:sz w:val="22"/>
        </w:rPr>
        <w:t>Gate de salida hacia Decisión: Bull Memo y Bear Memo están listos antes del inicio del debate. La calendarización concreta de ese debate vive en §6.0.</w:t>
      </w:r>
    </w:p>
    <w:p>
      <w:pPr>
        <w:keepNext/>
        <w:spacing w:before="240" w:after="120"/>
      </w:pPr>
      <w:r>
        <w:rPr>
          <w:rFonts w:ascii="Calibri" w:hAnsi="Calibri"/>
          <w:b/>
          <w:color w:val="142A45"/>
          <w:sz w:val="32"/>
        </w:rPr>
        <w:t>3.5 Decisión y Journal</w:t>
      </w:r>
    </w:p>
    <w:p>
      <w:pPr>
        <w:spacing w:after="120"/>
      </w:pPr>
      <w:r>
        <w:rPr>
          <w:b w:val="0"/>
          <w:i w:val="0"/>
          <w:sz w:val="22"/>
        </w:rPr>
        <w:t>Objetivo: ratificar la decisión post-debate adversarial y registrarla en la memoria institucional. El ciclo §3.0 decide sobre empresas no compradas previamente; su salida natural son tres outcomes: BUY, FOLLOW o PASS. La decisión de SELL no pertenece a este ciclo — una posición ya comprada sale por la disciplina de re-underwriting descrita en §5.0.</w:t>
      </w:r>
    </w:p>
    <w:p>
      <w:pPr>
        <w:spacing w:after="120"/>
      </w:pPr>
      <w:r>
        <w:rPr>
          <w:b w:val="0"/>
          <w:i w:val="0"/>
          <w:sz w:val="22"/>
        </w:rPr>
        <w:t>Estructura del debate:</w:t>
      </w:r>
    </w:p>
    <w:p>
      <w:pPr>
        <w:spacing w:after="60"/>
        <w:ind w:left="425" w:hanging="283"/>
      </w:pPr>
      <w:r>
        <w:rPr>
          <w:b/>
          <w:sz w:val="22"/>
        </w:rPr>
        <w:t xml:space="preserve">1. </w:t>
      </w:r>
      <w:r>
        <w:rPr>
          <w:sz w:val="22"/>
        </w:rPr>
        <w:t>Bull Memo: el Bull Analyst presenta el caso de compra (treinta minutos).</w:t>
      </w:r>
    </w:p>
    <w:p>
      <w:pPr>
        <w:spacing w:after="60"/>
        <w:ind w:left="425" w:hanging="283"/>
      </w:pPr>
      <w:r>
        <w:rPr>
          <w:b/>
          <w:sz w:val="22"/>
        </w:rPr>
        <w:t xml:space="preserve">2. </w:t>
      </w:r>
      <w:r>
        <w:rPr>
          <w:sz w:val="22"/>
        </w:rPr>
        <w:t>Bear Memo: el Bear Analyst presenta el caso de descarte o de stress (treinta minutos).</w:t>
      </w:r>
    </w:p>
    <w:p>
      <w:pPr>
        <w:spacing w:after="60"/>
        <w:ind w:left="425" w:hanging="283"/>
      </w:pPr>
      <w:r>
        <w:rPr>
          <w:b/>
          <w:sz w:val="22"/>
        </w:rPr>
        <w:t xml:space="preserve">3. </w:t>
      </w:r>
      <w:r>
        <w:rPr>
          <w:sz w:val="22"/>
        </w:rPr>
        <w:t>Cross-examination: el CIO interroga ambos lados con base en su Munger Digital y en la munición cuanti completa (treinta minutos).</w:t>
      </w:r>
    </w:p>
    <w:p>
      <w:pPr>
        <w:spacing w:after="60"/>
        <w:ind w:left="425" w:hanging="283"/>
      </w:pPr>
      <w:r>
        <w:rPr>
          <w:b/>
          <w:sz w:val="22"/>
        </w:rPr>
        <w:t xml:space="preserve">4. </w:t>
      </w:r>
      <w:r>
        <w:rPr>
          <w:sz w:val="22"/>
        </w:rPr>
        <w:t>Pre-Mortem refinement: los failure modes del borrador (que el Bear formuló dentro del Bear Memo) se refinan y consensuan con KPIs accionables. El bloque es de refinamiento, no de construcción: el borrador ya existe antes del debate (veinte minutos). Detalle del ciclo de vida en IPS §4.6.</w:t>
      </w:r>
    </w:p>
    <w:p>
      <w:pPr>
        <w:spacing w:after="60"/>
        <w:ind w:left="425" w:hanging="283"/>
      </w:pPr>
      <w:r>
        <w:rPr>
          <w:b/>
          <w:sz w:val="22"/>
        </w:rPr>
        <w:t xml:space="preserve">5. </w:t>
      </w:r>
      <w:r>
        <w:rPr>
          <w:b/>
          <w:sz w:val="22"/>
        </w:rPr>
        <w:t>Probability Worksheet:</w:t>
      </w:r>
      <w:r>
        <w:rPr>
          <w:sz w:val="22"/>
        </w:rPr>
        <w:t xml:space="preserve"> asignación explícita de pesos de probabilidad Bear / Base / Bull sobre los IRRs heredados del Thesis Builder y del Thesis Breaker, con justificación escrita, y verificación de los cuatro gates institucionales del worksheet — hurdle ≥12%, asimetría ≥2x, expected loss ≥-3%, downside Bear ≥-20% (quince minutos). El veredicto del worksheet (BUY CANDIDATE / BORDERLINE / REVISAR / PASS) es un input cuantitativo al Journal Entry, no una decisión automática. Detalle de mecánica e IRR sources más abajo.</w:t>
      </w:r>
    </w:p>
    <w:p>
      <w:pPr>
        <w:spacing w:after="60"/>
        <w:ind w:left="425" w:hanging="283"/>
      </w:pPr>
      <w:r>
        <w:rPr>
          <w:b/>
          <w:sz w:val="22"/>
        </w:rPr>
        <w:t xml:space="preserve">6. </w:t>
      </w:r>
      <w:r>
        <w:rPr>
          <w:sz w:val="22"/>
        </w:rPr>
        <w:t>Decisión y registro en Journal (diez minutos).</w:t>
      </w:r>
    </w:p>
    <w:p>
      <w:pPr>
        <w:spacing w:after="120"/>
      </w:pPr>
      <w:r>
        <w:rPr>
          <w:b w:val="0"/>
          <w:i w:val="0"/>
          <w:sz w:val="22"/>
        </w:rPr>
        <w:t>El Probability Worksheet vive en el dashboard de la compañía (tab Probability de /company.html en el portal institucional) y es entregable obligatorio antes de la ratificación del CIO en toda tesis nueva. Sus tres IRRs provienen, en este orden de prioridad: Base IRR del Columbia Model (impliedIrr auditado en el Audit Gate del Deep Dive), Bear IRR de la sección 6 del Thesis Breaker, Bull IRR del Thesis Builder. Cuando una tesis no cuenta con Thesis Builder al momento del debate, Bull cae al Base como placeholder explícito y el worksheet lo registra como tal. La asignación de pesos por defecto (25 / 50 / 25) se modifica cuando las probabilidades del CIO difieren del baseline, y el cambio queda guardado junto con la justificación escrita adjunta al worksheet.</w:t>
      </w:r>
    </w:p>
    <w:p>
      <w:pPr>
        <w:spacing w:after="120"/>
      </w:pPr>
      <w:r>
        <w:rPr>
          <w:b w:val="0"/>
          <w:i w:val="0"/>
          <w:sz w:val="22"/>
        </w:rPr>
        <w:t>Outputs según la decisión:</w:t>
      </w:r>
    </w:p>
    <w:tbl>
      <w:tblPr>
        <w:tblStyle w:val="LightGrid-Accent1"/>
        <w:tblW w:type="auto" w:w="0"/>
        <w:tblLayout w:type="autofit"/>
        <w:tblLook w:firstColumn="1" w:firstRow="1" w:lastColumn="0" w:lastRow="0" w:noHBand="0" w:noVBand="1" w:val="04A0"/>
      </w:tblPr>
      <w:tblGrid>
        <w:gridCol w:w="3135"/>
        <w:gridCol w:w="3135"/>
        <w:gridCol w:w="3135"/>
      </w:tblGrid>
      <w:tr>
        <w:tc>
          <w:tcPr>
            <w:tcW w:type="dxa" w:w="3135"/>
            <w:shd w:val="clear" w:color="auto" w:fill="142A45"/>
          </w:tcPr>
          <w:p>
            <w:r/>
            <w:r>
              <w:rPr>
                <w:b/>
                <w:color w:val="FFFFFF"/>
                <w:sz w:val="20"/>
              </w:rPr>
              <w:t>Decisión</w:t>
            </w:r>
          </w:p>
        </w:tc>
        <w:tc>
          <w:tcPr>
            <w:tcW w:type="dxa" w:w="3135"/>
            <w:shd w:val="clear" w:color="auto" w:fill="142A45"/>
          </w:tcPr>
          <w:p>
            <w:r/>
            <w:r>
              <w:rPr>
                <w:b/>
                <w:color w:val="FFFFFF"/>
                <w:sz w:val="20"/>
              </w:rPr>
              <w:t>Significado</w:t>
            </w:r>
          </w:p>
        </w:tc>
        <w:tc>
          <w:tcPr>
            <w:tcW w:type="dxa" w:w="3135"/>
            <w:shd w:val="clear" w:color="auto" w:fill="142A45"/>
          </w:tcPr>
          <w:p>
            <w:r/>
            <w:r>
              <w:rPr>
                <w:b/>
                <w:color w:val="FFFFFF"/>
                <w:sz w:val="20"/>
              </w:rPr>
              <w:t>Registro institucional</w:t>
            </w:r>
          </w:p>
        </w:tc>
      </w:tr>
      <w:tr>
        <w:tc>
          <w:tcPr>
            <w:tcW w:type="dxa" w:w="3135"/>
          </w:tcPr>
          <w:p>
            <w:r/>
            <w:r>
              <w:rPr>
                <w:sz w:val="20"/>
              </w:rPr>
              <w:t>BUY</w:t>
            </w:r>
          </w:p>
        </w:tc>
        <w:tc>
          <w:tcPr>
            <w:tcW w:type="dxa" w:w="3135"/>
          </w:tcPr>
          <w:p>
            <w:r/>
            <w:r>
              <w:rPr>
                <w:sz w:val="20"/>
              </w:rPr>
              <w:t>La empresa entra a la cartera</w:t>
            </w:r>
          </w:p>
        </w:tc>
        <w:tc>
          <w:tcPr>
            <w:tcW w:type="dxa" w:w="3135"/>
          </w:tcPr>
          <w:p>
            <w:r/>
            <w:r>
              <w:rPr>
                <w:sz w:val="20"/>
              </w:rPr>
              <w:t>Journal entry + Pre-Mortem final ratificado por el CIO al firmar la entrada BUY + sizing + pricing de entrada + sincronización del portafolio + actualización del kanban</w:t>
            </w:r>
          </w:p>
        </w:tc>
      </w:tr>
      <w:tr>
        <w:tc>
          <w:tcPr>
            <w:tcW w:type="dxa" w:w="3135"/>
          </w:tcPr>
          <w:p>
            <w:r/>
            <w:r>
              <w:rPr>
                <w:sz w:val="20"/>
              </w:rPr>
              <w:t>FOLLOW</w:t>
            </w:r>
          </w:p>
        </w:tc>
        <w:tc>
          <w:tcPr>
            <w:tcW w:type="dxa" w:w="3135"/>
          </w:tcPr>
          <w:p>
            <w:r/>
            <w:r>
              <w:rPr>
                <w:sz w:val="20"/>
              </w:rPr>
              <w:t>La empresa no entra ahora pero merece seguimiento activo</w:t>
            </w:r>
          </w:p>
        </w:tc>
        <w:tc>
          <w:tcPr>
            <w:tcW w:type="dxa" w:w="3135"/>
          </w:tcPr>
          <w:p>
            <w:r/>
            <w:r>
              <w:rPr>
                <w:sz w:val="20"/>
              </w:rPr>
              <w:t>Journal entry + condiciones que reactivarían la idea + alta en el followed universe con tablero de seguimiento trimestral</w:t>
            </w:r>
          </w:p>
        </w:tc>
      </w:tr>
      <w:tr>
        <w:tc>
          <w:tcPr>
            <w:tcW w:type="dxa" w:w="3135"/>
          </w:tcPr>
          <w:p>
            <w:r/>
            <w:r>
              <w:rPr>
                <w:sz w:val="20"/>
              </w:rPr>
              <w:t>PASS</w:t>
            </w:r>
          </w:p>
        </w:tc>
        <w:tc>
          <w:tcPr>
            <w:tcW w:type="dxa" w:w="3135"/>
          </w:tcPr>
          <w:p>
            <w:r/>
            <w:r>
              <w:rPr>
                <w:sz w:val="20"/>
              </w:rPr>
              <w:t>La empresa se descarta tras research completo</w:t>
            </w:r>
          </w:p>
        </w:tc>
        <w:tc>
          <w:tcPr>
            <w:tcW w:type="dxa" w:w="3135"/>
          </w:tcPr>
          <w:p>
            <w:r/>
            <w:r>
              <w:rPr>
                <w:sz w:val="20"/>
              </w:rPr>
              <w:t>Journal entry + razón estructurada del descarte. La idea no genera seguimiento ni vuelve a entrar al funnel salvo evidencia material nueva</w:t>
            </w:r>
          </w:p>
        </w:tc>
      </w:tr>
    </w:tbl>
    <w:p>
      <w:pPr>
        <w:spacing w:after="120"/>
      </w:pPr>
      <w:r>
        <w:rPr>
          <w:b w:val="0"/>
          <w:i w:val="0"/>
          <w:sz w:val="22"/>
        </w:rPr>
        <w:t>Memoria institucional: toda decisión post-debate se registra sin excepción. Las entradas del Journal son inmutables; si se descubre un error, se crea una entrada de corrección que enlaza con la original.</w:t>
      </w:r>
    </w:p>
    <w:p>
      <w:pPr>
        <w:keepNext/>
        <w:spacing w:before="240" w:after="120"/>
      </w:pPr>
      <w:r>
        <w:rPr>
          <w:rFonts w:ascii="Calibri" w:hAnsi="Calibri"/>
          <w:b/>
          <w:color w:val="142A45"/>
          <w:sz w:val="32"/>
        </w:rPr>
        <w:t>3.6 Ejecución del trade</w:t>
      </w:r>
    </w:p>
    <w:p>
      <w:pPr>
        <w:spacing w:after="120"/>
      </w:pPr>
      <w:r>
        <w:rPr>
          <w:b w:val="0"/>
          <w:i w:val="0"/>
          <w:sz w:val="22"/>
        </w:rPr>
        <w:t>Objetivo: materializar una decisión BUY en una posición real en el portafolio. Esta etapa sólo existe cuando el ciclo termina en BUY; FOLLOW y PASS no generan ejecución.</w:t>
      </w:r>
    </w:p>
    <w:p>
      <w:pPr>
        <w:spacing w:after="120"/>
      </w:pPr>
      <w:r>
        <w:rPr>
          <w:b w:val="0"/>
          <w:i w:val="0"/>
          <w:sz w:val="22"/>
        </w:rPr>
        <w:t>Mecánica: el CIO ejecuta la orden en el broker siguiendo el sizing y el pricing de entrada que quedaron registrados en el Journal entry. Cualquier desvío material (precio, número de acciones, fraccionamiento de la orden, instrumentos de cobertura) se documenta en el Journal como anexo de la decisión original, sin reescribirla.</w:t>
      </w:r>
    </w:p>
    <w:p>
      <w:pPr>
        <w:spacing w:after="120"/>
      </w:pPr>
      <w:r>
        <w:rPr>
          <w:b w:val="0"/>
          <w:i w:val="0"/>
          <w:sz w:val="22"/>
        </w:rPr>
        <w:t>Output: trade ejecutado, portafolio sincronizado, kanban movido al estado de posición activa, y — a partir de este punto — la empresa queda bajo la disciplina post-decisión de 5.1.</w:t>
      </w:r>
    </w:p>
    <w:p>
      <w:pPr>
        <w:spacing w:after="120"/>
      </w:pPr>
      <w:r>
        <w:rPr>
          <w:b w:val="0"/>
          <w:i w:val="0"/>
          <w:sz w:val="22"/>
        </w:rPr>
        <w:t>Owner: el CIO ejecuta personalmente. Un Investment Associate puede asistir operativamente pero no es responsable de la ejecución.</w:t>
      </w:r>
    </w:p>
    <w:p>
      <w:r>
        <w:br w:type="page"/>
      </w:r>
    </w:p>
    <w:p>
      <w:pPr>
        <w:keepNext/>
        <w:spacing w:before="240" w:after="120"/>
      </w:pPr>
      <w:r>
        <w:rPr>
          <w:rFonts w:ascii="Calibri" w:hAnsi="Calibri"/>
          <w:b/>
          <w:color w:val="142A45"/>
          <w:sz w:val="44"/>
        </w:rPr>
        <w:t>4.0 Insumos del ciclo</w:t>
      </w:r>
    </w:p>
    <w:p>
      <w:pPr>
        <w:spacing w:after="120"/>
      </w:pPr>
      <w:r>
        <w:rPr>
          <w:b w:val="0"/>
          <w:i w:val="0"/>
          <w:sz w:val="22"/>
        </w:rPr>
        <w:t>Esta sección cubre los dos insumos que alimentan el funnel del ciclo de 3.0 sin formar parte de él: el universo de empresas elegibles (top-down) y el Idea Feed de leads externos (bottom-up). Ambos son infraestructura de sourcing y se mantienen con cadencias independientes del ciclo. La disciplina obligatoria que sigue a una decisión vive en §5.0.</w:t>
      </w:r>
    </w:p>
    <w:p>
      <w:pPr>
        <w:keepNext/>
        <w:spacing w:before="240" w:after="120"/>
      </w:pPr>
      <w:r>
        <w:rPr>
          <w:rFonts w:ascii="Calibri" w:hAnsi="Calibri"/>
          <w:b/>
          <w:color w:val="142A45"/>
          <w:sz w:val="32"/>
        </w:rPr>
        <w:t>4.1 Mantenimiento del universo de inversión</w:t>
      </w:r>
    </w:p>
    <w:p>
      <w:pPr>
        <w:spacing w:after="120"/>
      </w:pPr>
      <w:r>
        <w:rPr>
          <w:b w:val="0"/>
          <w:i w:val="0"/>
          <w:sz w:val="22"/>
        </w:rPr>
        <w:t>Objetivo: mantener actualizado el conjunto de empresas elegibles que el Triage filtra mes a mes. El universo no es una etapa del ciclo de inversión: es la materia prima sobre la que opera el ciclo. Ningún ticker se decide ni se descarta en esta etapa; lo que se decide es qué empresas pueden siquiera ser consideradas.</w:t>
      </w:r>
    </w:p>
    <w:p>
      <w:pPr>
        <w:spacing w:after="120"/>
      </w:pPr>
      <w:r>
        <w:rPr>
          <w:b w:val="0"/>
          <w:i w:val="0"/>
          <w:sz w:val="22"/>
        </w:rPr>
        <w:t>Inputs: constituyentes de índices de referencia (S&amp;P 500, Nasdaq 100, STOXX Europe 600, IBEX 35), filtros de capitalización mínima, sector y país, y exclusiones automáticas definidas en el IPS (típicamente bancos, aseguradoras y REITs, salvo override explícito).</w:t>
      </w:r>
    </w:p>
    <w:p>
      <w:pPr>
        <w:spacing w:after="120"/>
      </w:pPr>
      <w:r>
        <w:rPr>
          <w:b w:val="0"/>
          <w:i w:val="0"/>
          <w:sz w:val="22"/>
        </w:rPr>
        <w:t>Output: un universo de empresas elegibles que alimenta el Triage de 3.1.</w:t>
      </w:r>
    </w:p>
    <w:p>
      <w:pPr>
        <w:spacing w:after="120"/>
      </w:pPr>
      <w:r>
        <w:rPr>
          <w:b w:val="0"/>
          <w:i w:val="0"/>
          <w:sz w:val="22"/>
        </w:rPr>
        <w:t>Estado final del universo: tras aplicar los filtros, el universo de trabajo contiene al menos cincuenta empresas. Si el resultado cae por debajo de ese piso, el CIO ajusta los criterios (ampliando índice, capitalización mínima o sector) hasta volver a alcanzarlo. Es un check de infraestructura, no un gate sobre tickers individuales.</w:t>
      </w:r>
    </w:p>
    <w:p>
      <w:pPr>
        <w:spacing w:after="120"/>
      </w:pPr>
      <w:r>
        <w:rPr>
          <w:b w:val="0"/>
          <w:i w:val="0"/>
          <w:sz w:val="22"/>
        </w:rPr>
        <w:t>Cadencia: mensual por defecto, con override del CIO cuando sea oportuno. La calendarización agregada vive en §6.0.</w:t>
      </w:r>
    </w:p>
    <w:p>
      <w:pPr>
        <w:spacing w:after="120"/>
      </w:pPr>
      <w:r>
        <w:rPr>
          <w:b w:val="0"/>
          <w:i w:val="0"/>
          <w:sz w:val="22"/>
        </w:rPr>
        <w:t>Owner: el CIO. Un Investment Associate ejecuta el refresh operativo cuando se le solicita.</w:t>
      </w:r>
    </w:p>
    <w:p>
      <w:pPr>
        <w:keepNext/>
        <w:spacing w:before="240" w:after="120"/>
      </w:pPr>
      <w:r>
        <w:rPr>
          <w:rFonts w:ascii="Calibri" w:hAnsi="Calibri"/>
          <w:b/>
          <w:color w:val="142A45"/>
          <w:sz w:val="32"/>
        </w:rPr>
        <w:t>4.2 Idea Feed</w:t>
      </w:r>
    </w:p>
    <w:p>
      <w:pPr>
        <w:spacing w:after="120"/>
      </w:pPr>
      <w:r>
        <w:rPr>
          <w:b w:val="0"/>
          <w:i w:val="0"/>
          <w:sz w:val="22"/>
        </w:rPr>
        <w:t>Objetivo: canalizar leads externos al funnel sin pasar por Triage. El Idea Feed es el repositorio de ideas que entran desde fuera del universo top-down: movimientos de superinvestores, lecturas relevantes, recomendaciones de la red, exposiciones sectoriales puntuales. Es el pipeline bottom-up del proceso.</w:t>
      </w:r>
    </w:p>
    <w:p>
      <w:pPr>
        <w:spacing w:after="120"/>
      </w:pPr>
      <w:r>
        <w:rPr>
          <w:b w:val="0"/>
          <w:i w:val="0"/>
          <w:sz w:val="22"/>
        </w:rPr>
        <w:t>Inputs: observaciones del CIO y del equipo, alertas de plataformas de tracking de superinvestores, lectura semanal, conversaciones con peers.</w:t>
      </w:r>
    </w:p>
    <w:p>
      <w:pPr>
        <w:spacing w:after="120"/>
      </w:pPr>
      <w:r>
        <w:rPr>
          <w:b w:val="0"/>
          <w:i w:val="0"/>
          <w:sz w:val="22"/>
        </w:rPr>
        <w:t>Curación mensual: a mitad de mes el CIO clasifica cada idea como relevante o irrelevante. Las relevantes se promueven a la Shortlist (espera de trigger), entran directamente al Quick Review como leads externos (3.2) o, en casos puntuales, saltan a Deep Dive si el CIO así lo autoriza.</w:t>
      </w:r>
    </w:p>
    <w:p>
      <w:pPr>
        <w:spacing w:after="120"/>
      </w:pPr>
      <w:r>
        <w:rPr>
          <w:b w:val="0"/>
          <w:i w:val="0"/>
          <w:sz w:val="22"/>
        </w:rPr>
        <w:t>Lo que NO es: el Idea Feed no decide; sirve para asegurar que ninguna idea relevante se pierda y que la promoción al funnel sea explicita y trazable.</w:t>
      </w:r>
    </w:p>
    <w:p>
      <w:pPr>
        <w:spacing w:after="120"/>
      </w:pPr>
      <w:r>
        <w:rPr>
          <w:b w:val="0"/>
          <w:i w:val="0"/>
          <w:sz w:val="22"/>
        </w:rPr>
        <w:t>Cadencia: captura continua, curación mensual. Detalle en §6.0.</w:t>
      </w:r>
    </w:p>
    <w:p>
      <w:pPr>
        <w:spacing w:after="120"/>
      </w:pPr>
      <w:r>
        <w:rPr>
          <w:b w:val="0"/>
          <w:i w:val="0"/>
          <w:sz w:val="22"/>
        </w:rPr>
        <w:t>Owner: el CIO cura. Los Associates aportan inputs y operan las plataformas de tracking.</w:t>
      </w:r>
    </w:p>
    <w:p>
      <w:r>
        <w:br w:type="page"/>
      </w:r>
    </w:p>
    <w:p>
      <w:pPr>
        <w:keepNext/>
        <w:spacing w:before="240" w:after="120"/>
      </w:pPr>
      <w:r>
        <w:rPr>
          <w:rFonts w:ascii="Calibri" w:hAnsi="Calibri"/>
          <w:b/>
          <w:color w:val="142A45"/>
          <w:sz w:val="44"/>
        </w:rPr>
        <w:t>5.0 Disciplina post-decisión</w:t>
      </w:r>
    </w:p>
    <w:p>
      <w:pPr>
        <w:spacing w:after="120"/>
      </w:pPr>
      <w:r>
        <w:rPr>
          <w:b w:val="0"/>
          <w:i w:val="0"/>
          <w:sz w:val="22"/>
        </w:rPr>
        <w:t>Esta sección cubre todo lo que sigue obligatoriamente a una decisión de inversión: la revisión periódica de las tesis activas, el seguimiento del followed universe, la decisión de salida cuando una tesis se rompe, y la rendición de cuentas a stakeholders. Es la columna vertebral del principio Proceso sobre Resultado: ninguna posición vive en piloto automático.</w:t>
      </w:r>
    </w:p>
    <w:p>
      <w:pPr>
        <w:keepNext/>
        <w:spacing w:before="240" w:after="120"/>
      </w:pPr>
      <w:r>
        <w:rPr>
          <w:rFonts w:ascii="Calibri" w:hAnsi="Calibri"/>
          <w:b/>
          <w:color w:val="142A45"/>
          <w:sz w:val="32"/>
        </w:rPr>
        <w:t>5.1 Quarterly Re-Underwriting de cartera</w:t>
      </w:r>
    </w:p>
    <w:p>
      <w:pPr>
        <w:spacing w:after="120"/>
      </w:pPr>
      <w:r>
        <w:rPr>
          <w:b w:val="0"/>
          <w:i w:val="0"/>
          <w:sz w:val="22"/>
        </w:rPr>
        <w:t>Objetivo: disciplina post-decisión sobre las posiciones invertidas. Es la única superficie obligatoria de revisión de tesis activas. Implementa el sistema de monitoreo descrito en el IPS §4.7 y reemplaza al Investment Fact Sheet (IFS), al Scorecard de posición y al ejercicio independiente de Desconfirmación utilizados en versiones anteriores del marco operativo.</w:t>
      </w:r>
    </w:p>
    <w:p>
      <w:pPr>
        <w:spacing w:after="120"/>
      </w:pPr>
      <w:r>
        <w:rPr>
          <w:b w:val="0"/>
          <w:i w:val="0"/>
          <w:sz w:val="22"/>
        </w:rPr>
        <w:t>Trigger automático: cada vez que una empresa en cartera publica un reporte trimestral o anual, el sistema crea un Re-Underwriting Due asignado al Associate responsable de esa posición.</w:t>
      </w:r>
    </w:p>
    <w:p>
      <w:pPr>
        <w:spacing w:after="120"/>
      </w:pPr>
      <w:r>
        <w:rPr>
          <w:b w:val="0"/>
          <w:i w:val="0"/>
          <w:sz w:val="22"/>
        </w:rPr>
        <w:t>Entregable obligatorio — ocho secciones por posición y trimestre:</w:t>
      </w:r>
    </w:p>
    <w:p>
      <w:pPr>
        <w:spacing w:after="60"/>
        <w:ind w:left="425" w:hanging="283"/>
      </w:pPr>
      <w:r>
        <w:rPr>
          <w:b/>
          <w:sz w:val="22"/>
        </w:rPr>
        <w:t xml:space="preserve">1. </w:t>
      </w:r>
      <w:r>
        <w:rPr>
          <w:b/>
          <w:sz w:val="22"/>
        </w:rPr>
        <w:t>Investment Snapshot.</w:t>
      </w:r>
      <w:r>
        <w:rPr>
          <w:sz w:val="22"/>
        </w:rPr>
        <w:t xml:space="preserve"> Identificación de la posición, fecha del re-underwriting, periodo cubierto, sizing actual y precio de referencia.</w:t>
      </w:r>
    </w:p>
    <w:p>
      <w:pPr>
        <w:spacing w:after="60"/>
        <w:ind w:left="425" w:hanging="283"/>
      </w:pPr>
      <w:r>
        <w:rPr>
          <w:b/>
          <w:sz w:val="22"/>
        </w:rPr>
        <w:t xml:space="preserve">2. </w:t>
      </w:r>
      <w:r>
        <w:rPr>
          <w:b/>
          <w:sz w:val="22"/>
        </w:rPr>
        <w:t>Executive Summary.</w:t>
      </w:r>
      <w:r>
        <w:rPr>
          <w:sz w:val="22"/>
        </w:rPr>
        <w:t xml:space="preserve"> Conclusión del Associate y del CIO en formato corto: tesis intacta, recalibrada, evolucionada o rota.</w:t>
      </w:r>
    </w:p>
    <w:p>
      <w:pPr>
        <w:spacing w:after="60"/>
        <w:ind w:left="425" w:hanging="283"/>
      </w:pPr>
      <w:r>
        <w:rPr>
          <w:b/>
          <w:sz w:val="22"/>
        </w:rPr>
        <w:t xml:space="preserve">3. </w:t>
      </w:r>
      <w:r>
        <w:rPr>
          <w:b/>
          <w:sz w:val="22"/>
        </w:rPr>
        <w:t>What Changed Since Last Quarter.</w:t>
      </w:r>
      <w:r>
        <w:rPr>
          <w:sz w:val="22"/>
        </w:rPr>
        <w:t xml:space="preserve"> Cambios materiales en negocio, sector, competencia, regulación, management o estructura de capital desde el re-underwriting anterior.</w:t>
      </w:r>
    </w:p>
    <w:p>
      <w:pPr>
        <w:spacing w:after="60"/>
        <w:ind w:left="425" w:hanging="283"/>
      </w:pPr>
      <w:r>
        <w:rPr>
          <w:b/>
          <w:sz w:val="22"/>
        </w:rPr>
        <w:t xml:space="preserve">4. </w:t>
      </w:r>
      <w:r>
        <w:rPr>
          <w:b/>
          <w:sz w:val="22"/>
        </w:rPr>
        <w:t>Thesis Tracking.</w:t>
      </w:r>
      <w:r>
        <w:rPr>
          <w:sz w:val="22"/>
        </w:rPr>
        <w:t xml:space="preserve"> Estado de cada pilar de la tesis original frente a la evidencia del trimestre. Sustituye el ejercicio independiente de Desconfirmación que existía en marcos anteriores.</w:t>
      </w:r>
    </w:p>
    <w:p>
      <w:pPr>
        <w:spacing w:after="60"/>
        <w:ind w:left="425" w:hanging="283"/>
      </w:pPr>
      <w:r>
        <w:rPr>
          <w:b/>
          <w:sz w:val="22"/>
        </w:rPr>
        <w:t xml:space="preserve">5. </w:t>
      </w:r>
      <w:r>
        <w:rPr>
          <w:b/>
          <w:sz w:val="22"/>
        </w:rPr>
        <w:t>Premortem Tracking.</w:t>
      </w:r>
      <w:r>
        <w:rPr>
          <w:sz w:val="22"/>
        </w:rPr>
        <w:t xml:space="preserve"> Verificación del estado de cada failure mode definido en el Pre-Mortem del Investment Memo: no activado, en vigilancia, parcialmente activado, activado.</w:t>
      </w:r>
    </w:p>
    <w:p>
      <w:pPr>
        <w:spacing w:after="60"/>
        <w:ind w:left="425" w:hanging="283"/>
      </w:pPr>
      <w:r>
        <w:rPr>
          <w:b/>
          <w:sz w:val="22"/>
        </w:rPr>
        <w:t xml:space="preserve">6. </w:t>
      </w:r>
      <w:r>
        <w:rPr>
          <w:b/>
          <w:sz w:val="22"/>
        </w:rPr>
        <w:t>KPI Dashboard.</w:t>
      </w:r>
      <w:r>
        <w:rPr>
          <w:sz w:val="22"/>
        </w:rPr>
        <w:t xml:space="preserve"> Actualización de los KPIs Tier 1 contra sus umbrales de alerta (amarillo) y acción (rojo) definidos al momento de la inversión. Incluye siempre el ROIC marginal como métrica universal.</w:t>
      </w:r>
    </w:p>
    <w:p>
      <w:pPr>
        <w:spacing w:after="60"/>
        <w:ind w:left="425" w:hanging="283"/>
      </w:pPr>
      <w:r>
        <w:rPr>
          <w:b/>
          <w:sz w:val="22"/>
        </w:rPr>
        <w:t xml:space="preserve">7. </w:t>
      </w:r>
      <w:r>
        <w:rPr>
          <w:b/>
          <w:sz w:val="22"/>
        </w:rPr>
        <w:t>Valuation Update.</w:t>
      </w:r>
      <w:r>
        <w:rPr>
          <w:sz w:val="22"/>
        </w:rPr>
        <w:t xml:space="preserve"> Actualización de la valoración intrínseca desde el Columbia Model del trimestre, con comparación frente al precio actual y frente al caso base del Investment Memo original.</w:t>
      </w:r>
    </w:p>
    <w:p>
      <w:pPr>
        <w:spacing w:after="60"/>
        <w:ind w:left="425" w:hanging="283"/>
      </w:pPr>
      <w:r>
        <w:rPr>
          <w:b/>
          <w:sz w:val="22"/>
        </w:rPr>
        <w:t xml:space="preserve">8. </w:t>
      </w:r>
      <w:r>
        <w:rPr>
          <w:b/>
          <w:sz w:val="22"/>
        </w:rPr>
        <w:t>Final Re-Underwriting Conclusion.</w:t>
      </w:r>
      <w:r>
        <w:rPr>
          <w:sz w:val="22"/>
        </w:rPr>
        <w:t xml:space="preserve"> Verdict formal del re-underwriting y outcome asignado. El CIO firma con apoyo técnico del Investment Associate.</w:t>
      </w:r>
    </w:p>
    <w:p>
      <w:pPr>
        <w:spacing w:after="120"/>
      </w:pPr>
      <w:r>
        <w:rPr>
          <w:b w:val="0"/>
          <w:i w:val="0"/>
          <w:sz w:val="22"/>
        </w:rPr>
        <w:t>Tres preguntas obligatorias que el Executive Summary y la Final Conclusion deben responder:</w:t>
      </w:r>
    </w:p>
    <w:p>
      <w:pPr>
        <w:spacing w:after="60"/>
        <w:ind w:left="425" w:hanging="283"/>
      </w:pPr>
      <w:r>
        <w:rPr>
          <w:b/>
          <w:sz w:val="22"/>
        </w:rPr>
        <w:t xml:space="preserve">1. </w:t>
      </w:r>
      <w:r>
        <w:rPr>
          <w:sz w:val="22"/>
        </w:rPr>
        <w:t>¿Sigue siendo válida la tesis original?</w:t>
      </w:r>
    </w:p>
    <w:p>
      <w:pPr>
        <w:spacing w:after="60"/>
        <w:ind w:left="425" w:hanging="283"/>
      </w:pPr>
      <w:r>
        <w:rPr>
          <w:b/>
          <w:sz w:val="22"/>
        </w:rPr>
        <w:t xml:space="preserve">2. </w:t>
      </w:r>
      <w:r>
        <w:rPr>
          <w:sz w:val="22"/>
        </w:rPr>
        <w:t>¿Hay deterioro en los kill criteria o en los KPIs principales de seguimiento?</w:t>
      </w:r>
    </w:p>
    <w:p>
      <w:pPr>
        <w:spacing w:after="60"/>
        <w:ind w:left="425" w:hanging="283"/>
      </w:pPr>
      <w:r>
        <w:rPr>
          <w:b/>
          <w:sz w:val="22"/>
        </w:rPr>
        <w:t xml:space="preserve">3. </w:t>
      </w:r>
      <w:r>
        <w:rPr>
          <w:sz w:val="22"/>
        </w:rPr>
        <w:t>¿Qué acción se toma?</w:t>
      </w:r>
    </w:p>
    <w:p>
      <w:pPr>
        <w:spacing w:after="120"/>
      </w:pPr>
      <w:r>
        <w:rPr>
          <w:b w:val="0"/>
          <w:i w:val="0"/>
          <w:sz w:val="22"/>
        </w:rPr>
        <w:t>Cuatro outcomes posibles:</w:t>
      </w:r>
    </w:p>
    <w:tbl>
      <w:tblPr>
        <w:tblStyle w:val="LightGrid-Accent1"/>
        <w:tblW w:type="auto" w:w="0"/>
        <w:tblLayout w:type="autofit"/>
        <w:tblLook w:firstColumn="1" w:firstRow="1" w:lastColumn="0" w:lastRow="0" w:noHBand="0" w:noVBand="1" w:val="04A0"/>
      </w:tblPr>
      <w:tblGrid>
        <w:gridCol w:w="3135"/>
        <w:gridCol w:w="3135"/>
        <w:gridCol w:w="3135"/>
      </w:tblGrid>
      <w:tr>
        <w:tc>
          <w:tcPr>
            <w:tcW w:type="dxa" w:w="3135"/>
            <w:shd w:val="clear" w:color="auto" w:fill="142A45"/>
          </w:tcPr>
          <w:p>
            <w:r/>
            <w:r>
              <w:rPr>
                <w:b/>
                <w:color w:val="FFFFFF"/>
                <w:sz w:val="20"/>
              </w:rPr>
              <w:t>Outcome</w:t>
            </w:r>
          </w:p>
        </w:tc>
        <w:tc>
          <w:tcPr>
            <w:tcW w:type="dxa" w:w="3135"/>
            <w:shd w:val="clear" w:color="auto" w:fill="142A45"/>
          </w:tcPr>
          <w:p>
            <w:r/>
            <w:r>
              <w:rPr>
                <w:b/>
                <w:color w:val="FFFFFF"/>
                <w:sz w:val="20"/>
              </w:rPr>
              <w:t>Acción</w:t>
            </w:r>
          </w:p>
        </w:tc>
        <w:tc>
          <w:tcPr>
            <w:tcW w:type="dxa" w:w="3135"/>
            <w:shd w:val="clear" w:color="auto" w:fill="142A45"/>
          </w:tcPr>
          <w:p>
            <w:r/>
            <w:r>
              <w:rPr>
                <w:b/>
                <w:color w:val="FFFFFF"/>
                <w:sz w:val="20"/>
              </w:rPr>
              <w:t>Consecuencia downstream</w:t>
            </w:r>
          </w:p>
        </w:tc>
      </w:tr>
      <w:tr>
        <w:tc>
          <w:tcPr>
            <w:tcW w:type="dxa" w:w="3135"/>
          </w:tcPr>
          <w:p>
            <w:r/>
            <w:r>
              <w:rPr>
                <w:sz w:val="20"/>
              </w:rPr>
              <w:t>Tesis intacta</w:t>
            </w:r>
          </w:p>
        </w:tc>
        <w:tc>
          <w:tcPr>
            <w:tcW w:type="dxa" w:w="3135"/>
          </w:tcPr>
          <w:p>
            <w:r/>
            <w:r>
              <w:rPr>
                <w:sz w:val="20"/>
              </w:rPr>
              <w:t>Disciplina ratificada</w:t>
            </w:r>
          </w:p>
        </w:tc>
        <w:tc>
          <w:tcPr>
            <w:tcW w:type="dxa" w:w="3135"/>
          </w:tcPr>
          <w:p>
            <w:r/>
            <w:r>
              <w:rPr>
                <w:sz w:val="20"/>
              </w:rPr>
              <w:t>Ninguna</w:t>
            </w:r>
          </w:p>
        </w:tc>
      </w:tr>
      <w:tr>
        <w:tc>
          <w:tcPr>
            <w:tcW w:type="dxa" w:w="3135"/>
          </w:tcPr>
          <w:p>
            <w:r/>
            <w:r>
              <w:rPr>
                <w:sz w:val="20"/>
              </w:rPr>
              <w:t>Recalibración de thresholds</w:t>
            </w:r>
          </w:p>
        </w:tc>
        <w:tc>
          <w:tcPr>
            <w:tcW w:type="dxa" w:w="3135"/>
          </w:tcPr>
          <w:p>
            <w:r/>
            <w:r>
              <w:rPr>
                <w:sz w:val="20"/>
              </w:rPr>
              <w:t>Ajustar los KPIs de seguimiento sin modificar la tesis</w:t>
            </w:r>
          </w:p>
        </w:tc>
        <w:tc>
          <w:tcPr>
            <w:tcW w:type="dxa" w:w="3135"/>
          </w:tcPr>
          <w:p>
            <w:r/>
            <w:r>
              <w:rPr>
                <w:sz w:val="20"/>
              </w:rPr>
              <w:t>Actualización del archivo de monitoreo. La modificación de un umbral requiere justificación basada en cambio estructural del negocio o del sector aprobada por el CIO; no se permite recalibrar un umbral como respuesta a que la métrica se aproxime o alcance dicho umbral (IPS §4.7).</w:t>
            </w:r>
          </w:p>
        </w:tc>
      </w:tr>
      <w:tr>
        <w:tc>
          <w:tcPr>
            <w:tcW w:type="dxa" w:w="3135"/>
          </w:tcPr>
          <w:p>
            <w:r/>
            <w:r>
              <w:rPr>
                <w:sz w:val="20"/>
              </w:rPr>
              <w:t>Tesis evolucionada</w:t>
            </w:r>
          </w:p>
        </w:tc>
        <w:tc>
          <w:tcPr>
            <w:tcW w:type="dxa" w:w="3135"/>
          </w:tcPr>
          <w:p>
            <w:r/>
            <w:r>
              <w:rPr>
                <w:sz w:val="20"/>
              </w:rPr>
              <w:t>La tesis cambió de forma material</w:t>
            </w:r>
          </w:p>
        </w:tc>
        <w:tc>
          <w:tcPr>
            <w:tcW w:type="dxa" w:w="3135"/>
          </w:tcPr>
          <w:p>
            <w:r/>
            <w:r>
              <w:rPr>
                <w:sz w:val="20"/>
              </w:rPr>
              <w:t>Nueva versión del pre-mortem con delta documentado vs. anterior</w:t>
            </w:r>
          </w:p>
        </w:tc>
      </w:tr>
      <w:tr>
        <w:tc>
          <w:tcPr>
            <w:tcW w:type="dxa" w:w="3135"/>
          </w:tcPr>
          <w:p>
            <w:r/>
            <w:r>
              <w:rPr>
                <w:sz w:val="20"/>
              </w:rPr>
              <w:t>Tesis rota</w:t>
            </w:r>
          </w:p>
        </w:tc>
        <w:tc>
          <w:tcPr>
            <w:tcW w:type="dxa" w:w="3135"/>
          </w:tcPr>
          <w:p>
            <w:r/>
            <w:r>
              <w:rPr>
                <w:sz w:val="20"/>
              </w:rPr>
              <w:t>La tesis original falla</w:t>
            </w:r>
          </w:p>
        </w:tc>
        <w:tc>
          <w:tcPr>
            <w:tcW w:type="dxa" w:w="3135"/>
          </w:tcPr>
          <w:p>
            <w:r/>
            <w:r>
              <w:rPr>
                <w:sz w:val="20"/>
              </w:rPr>
              <w:t>Trigger inmediato del proceso de SELL (5.3)</w:t>
            </w:r>
          </w:p>
        </w:tc>
      </w:tr>
    </w:tbl>
    <w:p>
      <w:pPr>
        <w:spacing w:after="120"/>
      </w:pPr>
      <w:r>
        <w:rPr>
          <w:b w:val="0"/>
          <w:i w:val="0"/>
          <w:sz w:val="22"/>
        </w:rPr>
        <w:t>Trim por semáforo rojo. Si un KPI Tier 1 alcanza su umbral de acción (rojo) durante el trimestre, el protocolo de monitoreo del IPS §4.7 dispara una decisión de trim, salida parcial o revisión de tesis completa. Cualquier trim o ajuste parcial derivado se documenta obligatoriamente mediante un Position Adjustment Memo conforme a §5.5.</w:t>
      </w:r>
    </w:p>
    <w:p>
      <w:pPr>
        <w:spacing w:after="120"/>
      </w:pPr>
      <w:r>
        <w:rPr>
          <w:b w:val="0"/>
          <w:i w:val="0"/>
          <w:sz w:val="22"/>
        </w:rPr>
        <w:t>Cadencia: trimestral por ticker, alineada con cuarenta y cinco días post-filing. La calendarización agregada vive en §6.0.</w:t>
      </w:r>
    </w:p>
    <w:p>
      <w:pPr>
        <w:spacing w:after="120"/>
      </w:pPr>
      <w:r>
        <w:rPr>
          <w:b w:val="0"/>
          <w:i w:val="0"/>
          <w:sz w:val="22"/>
        </w:rPr>
        <w:t>Gate de cumplimiento: ninguna posición puede tener un Re-Underwriting Due pendiente más de sesenta días sin escalación automática al CIO.</w:t>
      </w:r>
    </w:p>
    <w:p>
      <w:pPr>
        <w:spacing w:after="120"/>
      </w:pPr>
      <w:r>
        <w:rPr>
          <w:b w:val="0"/>
          <w:i w:val="0"/>
          <w:sz w:val="22"/>
        </w:rPr>
        <w:t>Firma: el Investment Associate firma la exactitud técnica de las ocho secciones; el CIO firma la conclusión final del Re-Underwriting (IPS §4.7).</w:t>
      </w:r>
    </w:p>
    <w:p>
      <w:pPr>
        <w:keepNext/>
        <w:spacing w:before="240" w:after="120"/>
      </w:pPr>
      <w:r>
        <w:rPr>
          <w:rFonts w:ascii="Calibri" w:hAnsi="Calibri"/>
          <w:b/>
          <w:color w:val="142A45"/>
          <w:sz w:val="32"/>
        </w:rPr>
        <w:t>5.2 Refresh trimestral del followed universe</w:t>
      </w:r>
    </w:p>
    <w:p>
      <w:pPr>
        <w:spacing w:after="120"/>
      </w:pPr>
      <w:r>
        <w:rPr>
          <w:b w:val="0"/>
          <w:i w:val="0"/>
          <w:sz w:val="22"/>
        </w:rPr>
        <w:t>Objetivo: mantener vivas las ideas que cerraron en FOLLOW sin saturar al equipo. El followed universe es el conjunto de empresas con decisión FOLLOW en el Journal: investigadas a fondo, sin compra inmediata, esperando condiciones que reactiven el caso.</w:t>
      </w:r>
    </w:p>
    <w:p>
      <w:pPr>
        <w:spacing w:after="120"/>
      </w:pPr>
      <w:r>
        <w:rPr>
          <w:b w:val="0"/>
          <w:i w:val="0"/>
          <w:sz w:val="22"/>
        </w:rPr>
        <w:t>Mecánica: cada trimestre se revisa el followed universe en bloque. Para cada ticker se verifica si se cumplen las condiciones que el Journal entry FOLLOW dejó documentadas (movimiento de precio, catálisis fundamental, evento sectorial). Si una condición se cumple, el ticker vuelve a entrar al Quick Review (3.2) como lead con prioridad alta.</w:t>
      </w:r>
    </w:p>
    <w:p>
      <w:pPr>
        <w:spacing w:after="120"/>
      </w:pPr>
      <w:r>
        <w:rPr>
          <w:b w:val="0"/>
          <w:i w:val="0"/>
          <w:sz w:val="22"/>
        </w:rPr>
        <w:t>Lo que NO es: este refresh no genera un re-underwriting completo ni reabre el Company Brief. Es una revisión de disparadores. La empresa sólo vuelve a consumir tiempo profundo si cruza al ciclo de 3.0.</w:t>
      </w:r>
    </w:p>
    <w:p>
      <w:pPr>
        <w:spacing w:after="120"/>
      </w:pPr>
      <w:r>
        <w:rPr>
          <w:b w:val="0"/>
          <w:i w:val="0"/>
          <w:sz w:val="22"/>
        </w:rPr>
        <w:t>Owner: un Investment Associate ejecuta. El CIO valida el bloque.</w:t>
      </w:r>
    </w:p>
    <w:p>
      <w:pPr>
        <w:keepNext/>
        <w:spacing w:before="240" w:after="120"/>
      </w:pPr>
      <w:r>
        <w:rPr>
          <w:rFonts w:ascii="Calibri" w:hAnsi="Calibri"/>
          <w:b/>
          <w:color w:val="142A45"/>
          <w:sz w:val="32"/>
        </w:rPr>
        <w:t>5.3 SELL — cierre de posición total y Position Close Memo</w:t>
      </w:r>
    </w:p>
    <w:p>
      <w:pPr>
        <w:spacing w:after="120"/>
      </w:pPr>
      <w:r>
        <w:rPr>
          <w:b w:val="0"/>
          <w:i w:val="0"/>
          <w:sz w:val="22"/>
        </w:rPr>
        <w:t>Objetivo: cerrar una posición cuando el re-underwriting concluye que la tesis está rota, o cuando un evento material lo justifica fuera de cadencia. La decisión de SELL es una decisión de salida y no forma parte del ciclo de 3.0, porque sólo aplica a empresas que ya estaban compradas.</w:t>
      </w:r>
    </w:p>
    <w:p>
      <w:pPr>
        <w:spacing w:after="120"/>
      </w:pPr>
      <w:r>
        <w:rPr>
          <w:b w:val="0"/>
          <w:i w:val="0"/>
          <w:sz w:val="22"/>
        </w:rPr>
        <w:t>Alcance: esta sección cubre exclusivamente la venta total de una posición. Los ajustes parciales (trim o add) se gobiernan por 5.5.</w:t>
      </w:r>
    </w:p>
    <w:p>
      <w:pPr>
        <w:spacing w:after="120"/>
      </w:pPr>
      <w:r>
        <w:rPr>
          <w:b w:val="0"/>
          <w:i w:val="0"/>
          <w:sz w:val="22"/>
        </w:rPr>
        <w:t>Trigger: outcome "tesis rota" en el Quarterly Re-Underwriting, o evento material entre trimestres (kill criteria disparados, cambio fundamental verificado).</w:t>
      </w:r>
    </w:p>
    <w:p>
      <w:pPr>
        <w:spacing w:after="120"/>
      </w:pPr>
      <w:r>
        <w:rPr>
          <w:b w:val="0"/>
          <w:i w:val="0"/>
          <w:sz w:val="22"/>
        </w:rPr>
        <w:t>Proceso: el Associate responsable de la posición prepara la propuesta de SELL con la comparación tesis original vs. outcome. El CIO ratifica la decisión, firma el Position Close Memo y ejecuta personalmente el trade de salida en el broker.</w:t>
      </w:r>
    </w:p>
    <w:p>
      <w:pPr>
        <w:spacing w:after="120"/>
      </w:pPr>
      <w:r>
        <w:rPr>
          <w:b w:val="0"/>
          <w:i w:val="0"/>
          <w:sz w:val="22"/>
        </w:rPr>
        <w:t>Position Close Memo — contenido obligatorio (IPS §4.6):</w:t>
      </w:r>
    </w:p>
    <w:p>
      <w:pPr>
        <w:pStyle w:val="ListBullet"/>
        <w:spacing w:after="60"/>
        <w:ind w:left="425"/>
      </w:pPr>
      <w:r>
        <w:rPr>
          <w:sz w:val="22"/>
        </w:rPr>
        <w:t>Motivo de salida documentado contra la tesis original.</w:t>
      </w:r>
    </w:p>
    <w:p>
      <w:pPr>
        <w:pStyle w:val="ListBullet"/>
        <w:spacing w:after="60"/>
        <w:ind w:left="425"/>
      </w:pPr>
      <w:r>
        <w:rPr>
          <w:sz w:val="22"/>
        </w:rPr>
        <w:t>Valoración al cierre y precio efectivo de salida.</w:t>
      </w:r>
    </w:p>
    <w:p>
      <w:pPr>
        <w:pStyle w:val="ListBullet"/>
        <w:spacing w:after="60"/>
        <w:ind w:left="425"/>
      </w:pPr>
      <w:r>
        <w:rPr>
          <w:sz w:val="22"/>
        </w:rPr>
        <w:t>Retorno realizado (P&amp;L absoluto y porcentual, IRR del holding period).</w:t>
      </w:r>
    </w:p>
    <w:p>
      <w:pPr>
        <w:pStyle w:val="ListBullet"/>
        <w:spacing w:after="60"/>
        <w:ind w:left="425"/>
      </w:pPr>
      <w:r>
        <w:rPr>
          <w:sz w:val="22"/>
        </w:rPr>
        <w:t>Post-mortem de la tesis: archivado del pre-mortem original y comparación research vs. outcome, con thesis_outcome (played_out / partially / failed) y failure mode activado cuando aplique.</w:t>
      </w:r>
    </w:p>
    <w:p>
      <w:pPr>
        <w:pStyle w:val="ListBullet"/>
        <w:spacing w:after="60"/>
        <w:ind w:left="425"/>
      </w:pPr>
      <w:r>
        <w:rPr>
          <w:sz w:val="22"/>
        </w:rPr>
        <w:t>Lecciones transferibles para el repositorio institucional del holding.</w:t>
      </w:r>
    </w:p>
    <w:p>
      <w:pPr>
        <w:pStyle w:val="ListBullet"/>
        <w:spacing w:after="60"/>
        <w:ind w:left="425"/>
      </w:pPr>
      <w:r>
        <w:rPr>
          <w:sz w:val="22"/>
        </w:rPr>
        <w:t>Firma: el Investment Associate firma la exactitud técnica y numérica; el CIO firma la ratificación del cierre.</w:t>
      </w:r>
    </w:p>
    <w:p>
      <w:pPr>
        <w:spacing w:after="120"/>
      </w:pPr>
      <w:r>
        <w:rPr>
          <w:b w:val="0"/>
          <w:i w:val="0"/>
          <w:sz w:val="22"/>
        </w:rPr>
        <w:t>Registro institucional adicional al cerrar el SELL:</w:t>
      </w:r>
    </w:p>
    <w:p>
      <w:pPr>
        <w:pStyle w:val="ListBullet"/>
        <w:spacing w:after="60"/>
        <w:ind w:left="425"/>
      </w:pPr>
      <w:r>
        <w:rPr>
          <w:sz w:val="22"/>
        </w:rPr>
        <w:t>Journal entry SELL con thesis_outcome y enlace al BUY original.</w:t>
      </w:r>
    </w:p>
    <w:p>
      <w:pPr>
        <w:pStyle w:val="ListBullet"/>
        <w:spacing w:after="60"/>
        <w:ind w:left="425"/>
      </w:pPr>
      <w:r>
        <w:rPr>
          <w:sz w:val="22"/>
        </w:rPr>
        <w:t>Lección aprendida del Position Close Memo entra al repositorio de lecciones del holding y se revisa agregadamente en el OS Self-Audit anual (6.5) para detectar patrones recurrentes en los modos de falla.</w:t>
      </w:r>
    </w:p>
    <w:p>
      <w:pPr>
        <w:pStyle w:val="ListBullet"/>
        <w:spacing w:after="60"/>
        <w:ind w:left="425"/>
      </w:pPr>
      <w:r>
        <w:rPr>
          <w:sz w:val="22"/>
        </w:rPr>
        <w:t>P&amp;L realizado, portafolio sincronizado, kanban movido a closed.</w:t>
      </w:r>
    </w:p>
    <w:p>
      <w:pPr>
        <w:pStyle w:val="ListBullet"/>
        <w:spacing w:after="60"/>
        <w:ind w:left="425"/>
      </w:pPr>
      <w:r>
        <w:rPr>
          <w:sz w:val="22"/>
        </w:rPr>
        <w:t>Archivado del Position Close Memo en la subcarpeta de la posición dentro de la carpeta 02 Investment Universe del Data Room.</w:t>
      </w:r>
    </w:p>
    <w:p>
      <w:pPr>
        <w:keepNext/>
        <w:spacing w:before="240" w:after="120"/>
      </w:pPr>
      <w:r>
        <w:rPr>
          <w:rFonts w:ascii="Calibri" w:hAnsi="Calibri"/>
          <w:b/>
          <w:color w:val="142A45"/>
          <w:sz w:val="32"/>
        </w:rPr>
        <w:t>5.4 Reporting mensual, trimestral y anual</w:t>
      </w:r>
    </w:p>
    <w:p>
      <w:pPr>
        <w:spacing w:after="120"/>
      </w:pPr>
      <w:r>
        <w:rPr>
          <w:b w:val="0"/>
          <w:i w:val="0"/>
          <w:sz w:val="22"/>
        </w:rPr>
        <w:t>Objetivo: consolidar el estado de la cartera y la disciplina del proceso en entregables estándar a stakeholders. El reporting no es un canal de discusión de tesis individuales; es la rendición de cuentas periódica del portafolio.</w:t>
      </w:r>
    </w:p>
    <w:p>
      <w:pPr>
        <w:spacing w:after="120"/>
      </w:pPr>
      <w:r>
        <w:rPr>
          <w:b w:val="0"/>
          <w:i w:val="0"/>
          <w:sz w:val="22"/>
        </w:rPr>
        <w:t>Mensual: NAV consolidado, métricas de retorno (TWR e IRR), impacto cambiario y movimientos del mes. Se archiva en la sección de reporting del Data Room.</w:t>
      </w:r>
    </w:p>
    <w:p>
      <w:pPr>
        <w:spacing w:after="120"/>
      </w:pPr>
      <w:r>
        <w:rPr>
          <w:b w:val="0"/>
          <w:i w:val="0"/>
          <w:sz w:val="22"/>
        </w:rPr>
        <w:t>Trimestral: Quarterly Re-Underwriting de ocho secciones por posición activa (5.1), Investment Decision Pack consolidado y dashboard agregado del portafolio. El Re-Underwriting reemplaza al Quarterly Scorecard de marcos anteriores.</w:t>
      </w:r>
    </w:p>
    <w:p>
      <w:pPr>
        <w:spacing w:after="120"/>
      </w:pPr>
      <w:r>
        <w:rPr>
          <w:b w:val="0"/>
          <w:i w:val="0"/>
          <w:sz w:val="22"/>
        </w:rPr>
        <w:t>Anual: Annual Close auditado, Carta Anual a Stakeholders firmada por el CIO, OS Self-Audit.</w:t>
      </w:r>
    </w:p>
    <w:p>
      <w:pPr>
        <w:spacing w:after="120"/>
      </w:pPr>
      <w:r>
        <w:rPr>
          <w:b w:val="0"/>
          <w:i w:val="0"/>
          <w:sz w:val="22"/>
        </w:rPr>
        <w:t>Cadencia y ownership detallados: ver 6.0.</w:t>
      </w:r>
    </w:p>
    <w:p>
      <w:pPr>
        <w:keepNext/>
        <w:spacing w:before="240" w:after="120"/>
      </w:pPr>
      <w:r>
        <w:rPr>
          <w:rFonts w:ascii="Calibri" w:hAnsi="Calibri"/>
          <w:b/>
          <w:color w:val="142A45"/>
          <w:sz w:val="32"/>
        </w:rPr>
        <w:t>5.5 Ajustes parciales y Position Adjustment Memo</w:t>
      </w:r>
    </w:p>
    <w:p>
      <w:pPr>
        <w:spacing w:after="120"/>
      </w:pPr>
      <w:r>
        <w:rPr>
          <w:b w:val="0"/>
          <w:i w:val="0"/>
          <w:sz w:val="22"/>
        </w:rPr>
        <w:t>Objetivo: gobernar las modificaciones parciales del sizing de una posición activa sin cerrarla. Cubre las dos direcciones del ajuste: trim (reducción) y add (incremento).</w:t>
      </w:r>
    </w:p>
    <w:p>
      <w:pPr>
        <w:spacing w:after="120"/>
      </w:pPr>
      <w:r>
        <w:rPr>
          <w:b w:val="0"/>
          <w:i w:val="0"/>
          <w:sz w:val="22"/>
        </w:rPr>
        <w:t>Triggers típicos: KPI Tier 1 alcanza su umbral de acción (rojo) durante el monitoreo del IPS §4.7 y dispara un trim disciplinado; cambio material favorable a la tesis que justifica un add; rebalanceo activo del portafolio decidido por el CIO; gestión de concentración cuando una posición supera sus límites institucionales.</w:t>
      </w:r>
    </w:p>
    <w:p>
      <w:pPr>
        <w:spacing w:after="120"/>
      </w:pPr>
      <w:r>
        <w:rPr>
          <w:b w:val="0"/>
          <w:i w:val="0"/>
          <w:sz w:val="22"/>
        </w:rPr>
        <w:t>Proceso: el Associate responsable de la posición prepara el Position Adjustment Memo con la justificación del ajuste; el CIO ratifica la decisión, firma el memo y ejecuta personalmente el ajuste en el broker.</w:t>
      </w:r>
    </w:p>
    <w:p>
      <w:pPr>
        <w:spacing w:after="120"/>
      </w:pPr>
      <w:r>
        <w:rPr>
          <w:b w:val="0"/>
          <w:i w:val="0"/>
          <w:sz w:val="22"/>
        </w:rPr>
        <w:t>Position Adjustment Memo — contenido obligatorio (IPS §4.6 y §4.7):</w:t>
      </w:r>
    </w:p>
    <w:p>
      <w:pPr>
        <w:pStyle w:val="ListBullet"/>
        <w:spacing w:after="60"/>
        <w:ind w:left="425"/>
      </w:pPr>
      <w:r>
        <w:rPr>
          <w:sz w:val="22"/>
        </w:rPr>
        <w:t>Dirección del ajuste (trim o add), magnitud absoluta y porcentual sobre la posición previa.</w:t>
      </w:r>
    </w:p>
    <w:p>
      <w:pPr>
        <w:pStyle w:val="ListBullet"/>
        <w:spacing w:after="60"/>
        <w:ind w:left="425"/>
      </w:pPr>
      <w:r>
        <w:rPr>
          <w:sz w:val="22"/>
        </w:rPr>
        <w:t>Motivo del ajuste, con referencia explícita al KPI que disparó el semáforo rojo, al evento material favorable, al rebalanceo o al límite institucional aplicable.</w:t>
      </w:r>
    </w:p>
    <w:p>
      <w:pPr>
        <w:pStyle w:val="ListBullet"/>
        <w:spacing w:after="60"/>
        <w:ind w:left="425"/>
      </w:pPr>
      <w:r>
        <w:rPr>
          <w:sz w:val="22"/>
        </w:rPr>
        <w:t>Valoración actual de la posición, comparada con el caso base del Investment Memo original y con la última Valuation Update del Re-Underwriting.</w:t>
      </w:r>
    </w:p>
    <w:p>
      <w:pPr>
        <w:pStyle w:val="ListBullet"/>
        <w:spacing w:after="60"/>
        <w:ind w:left="425"/>
      </w:pPr>
      <w:r>
        <w:rPr>
          <w:sz w:val="22"/>
        </w:rPr>
        <w:t>Verificación anti-sesgo explícita: confirmación de que el ajuste NO es respuesta a fluctuación de corto plazo, doubling-down emocional ni recalibración reactiva del umbral disparado (IPS §4.7).</w:t>
      </w:r>
    </w:p>
    <w:p>
      <w:pPr>
        <w:pStyle w:val="ListBullet"/>
        <w:spacing w:after="60"/>
        <w:ind w:left="425"/>
      </w:pPr>
      <w:r>
        <w:rPr>
          <w:sz w:val="22"/>
        </w:rPr>
        <w:t>Impacto en el portafolio: nuevo sizing, nuevo peso relativo, efecto sobre límites institucionales (concentración por posición, sector y arquetipo).</w:t>
      </w:r>
    </w:p>
    <w:p>
      <w:pPr>
        <w:pStyle w:val="ListBullet"/>
        <w:spacing w:after="60"/>
        <w:ind w:left="425"/>
      </w:pPr>
      <w:r>
        <w:rPr>
          <w:sz w:val="22"/>
        </w:rPr>
        <w:t>Firma: el Investment Associate firma la exactitud técnica y numérica; el CIO firma la ratificación del ajuste.</w:t>
      </w:r>
    </w:p>
    <w:p>
      <w:pPr>
        <w:spacing w:after="120"/>
      </w:pPr>
      <w:r>
        <w:rPr>
          <w:b w:val="0"/>
          <w:i w:val="0"/>
          <w:sz w:val="22"/>
        </w:rPr>
        <w:t>Lo que NO es: el Position Adjustment Memo no abre el Decision Journal con una nueva entrada BUY o SELL — la posición sigue siendo la misma. La trazabilidad se mantiene como anexo de la posición original.</w:t>
      </w:r>
    </w:p>
    <w:p>
      <w:pPr>
        <w:spacing w:after="120"/>
      </w:pPr>
      <w:r>
        <w:rPr>
          <w:b w:val="0"/>
          <w:i w:val="0"/>
          <w:sz w:val="22"/>
        </w:rPr>
        <w:t>Archivado: subcarpeta de la posición dentro de la carpeta 02 Investment Universe del Data Room, junto al Investment Memo original y los Re-Underwriting trimestrales.</w:t>
      </w:r>
    </w:p>
    <w:p>
      <w:r>
        <w:br w:type="page"/>
      </w:r>
    </w:p>
    <w:p>
      <w:pPr>
        <w:keepNext/>
        <w:spacing w:before="240" w:after="120"/>
      </w:pPr>
      <w:r>
        <w:rPr>
          <w:rFonts w:ascii="Calibri" w:hAnsi="Calibri"/>
          <w:b/>
          <w:color w:val="142A45"/>
          <w:sz w:val="44"/>
        </w:rPr>
        <w:t>6.0 Cadencias operativas</w:t>
      </w:r>
    </w:p>
    <w:p>
      <w:pPr>
        <w:spacing w:after="120"/>
      </w:pPr>
      <w:r>
        <w:rPr>
          <w:b w:val="0"/>
          <w:i w:val="0"/>
          <w:sz w:val="22"/>
        </w:rPr>
        <w:t>Esta sección aterriza el ciclo de 3.0, los insumos de 4.0 y la disciplina de 5.0 en horarios concretos. Es el único lugar del manual donde se fijan días, horas y periodicidad. Las cadencias son obligatorias y constituyen la columna vertebral operativa del holding.</w:t>
      </w:r>
    </w:p>
    <w:p>
      <w:pPr>
        <w:keepNext/>
        <w:spacing w:before="240" w:after="120"/>
      </w:pPr>
      <w:r>
        <w:rPr>
          <w:rFonts w:ascii="Calibri" w:hAnsi="Calibri"/>
          <w:b/>
          <w:color w:val="142A45"/>
          <w:sz w:val="32"/>
        </w:rPr>
        <w:t>6.1 Rutinas diarias</w:t>
      </w:r>
    </w:p>
    <w:p>
      <w:pPr>
        <w:spacing w:after="120"/>
      </w:pPr>
      <w:r>
        <w:rPr>
          <w:b/>
          <w:i w:val="0"/>
          <w:sz w:val="22"/>
        </w:rPr>
        <w:t>Apertura — inicio de cada jornada hábil (quince minutos)</w:t>
      </w:r>
    </w:p>
    <w:p>
      <w:pPr>
        <w:pStyle w:val="ListBullet"/>
        <w:spacing w:after="60"/>
        <w:ind w:left="425"/>
      </w:pPr>
      <w:r>
        <w:rPr>
          <w:sz w:val="22"/>
        </w:rPr>
        <w:t>Owner: Associate de guardia operativa de la jornada.</w:t>
      </w:r>
    </w:p>
    <w:p>
      <w:pPr>
        <w:pStyle w:val="ListBullet"/>
        <w:spacing w:after="60"/>
        <w:ind w:left="425"/>
      </w:pPr>
      <w:r>
        <w:rPr>
          <w:sz w:val="22"/>
        </w:rPr>
        <w:t>Revisión de alertas overnight.</w:t>
      </w:r>
    </w:p>
    <w:p>
      <w:pPr>
        <w:pStyle w:val="ListBullet"/>
        <w:spacing w:after="60"/>
        <w:ind w:left="425"/>
      </w:pPr>
      <w:r>
        <w:rPr>
          <w:sz w:val="22"/>
        </w:rPr>
        <w:t>Filings nuevos de tickers en cartera y revisión de Re-underwriting Due.</w:t>
      </w:r>
    </w:p>
    <w:p>
      <w:pPr>
        <w:pStyle w:val="ListBullet"/>
        <w:spacing w:after="60"/>
        <w:ind w:left="425"/>
      </w:pPr>
      <w:r>
        <w:rPr>
          <w:sz w:val="22"/>
        </w:rPr>
        <w:t>Insider transactions relevantes.</w:t>
      </w:r>
    </w:p>
    <w:p>
      <w:pPr>
        <w:pStyle w:val="ListBullet"/>
        <w:spacing w:after="60"/>
        <w:ind w:left="425"/>
      </w:pPr>
      <w:r>
        <w:rPr>
          <w:sz w:val="22"/>
        </w:rPr>
        <w:t>Movimientos significativos en posiciones (umbral institucional).</w:t>
      </w:r>
    </w:p>
    <w:p>
      <w:pPr>
        <w:pStyle w:val="ListBullet"/>
        <w:spacing w:after="60"/>
        <w:ind w:left="425"/>
      </w:pPr>
      <w:r>
        <w:rPr>
          <w:sz w:val="22"/>
        </w:rPr>
        <w:t>Seguimiento operativo de los tickers cuyo bullish case fue presentado por el equipo de Associates y resultaron en BUY.</w:t>
      </w:r>
    </w:p>
    <w:p>
      <w:pPr>
        <w:pStyle w:val="ListBullet"/>
        <w:spacing w:after="60"/>
        <w:ind w:left="425"/>
      </w:pPr>
      <w:r>
        <w:rPr>
          <w:sz w:val="22"/>
        </w:rPr>
        <w:t>Output: thread con las tres prioridades del día.</w:t>
      </w:r>
    </w:p>
    <w:p>
      <w:pPr>
        <w:pStyle w:val="ListBullet"/>
        <w:spacing w:after="60"/>
        <w:ind w:left="425"/>
      </w:pPr>
      <w:r>
        <w:rPr>
          <w:sz w:val="22"/>
        </w:rPr>
        <w:t>Gate: si se detecta una tesis rota, se escala al CIO el mismo día.</w:t>
      </w:r>
    </w:p>
    <w:p>
      <w:pPr>
        <w:spacing w:after="120"/>
      </w:pPr>
      <w:r>
        <w:rPr>
          <w:b/>
          <w:i w:val="0"/>
          <w:sz w:val="22"/>
        </w:rPr>
        <w:t>Cierre — fin de cada jornada hábil (diez minutos)</w:t>
      </w:r>
    </w:p>
    <w:p>
      <w:pPr>
        <w:pStyle w:val="ListBullet"/>
        <w:spacing w:after="60"/>
        <w:ind w:left="425"/>
      </w:pPr>
      <w:r>
        <w:rPr>
          <w:sz w:val="22"/>
        </w:rPr>
        <w:t>Owner: Associate de guardia operativa de la jornada.</w:t>
      </w:r>
    </w:p>
    <w:p>
      <w:pPr>
        <w:pStyle w:val="ListBullet"/>
        <w:spacing w:after="60"/>
        <w:ind w:left="425"/>
      </w:pPr>
      <w:r>
        <w:rPr>
          <w:sz w:val="22"/>
        </w:rPr>
        <w:t>Smoke test de la infraestructura.</w:t>
      </w:r>
    </w:p>
    <w:p>
      <w:pPr>
        <w:pStyle w:val="ListBullet"/>
        <w:spacing w:after="60"/>
        <w:ind w:left="425"/>
      </w:pPr>
      <w:r>
        <w:rPr>
          <w:sz w:val="22"/>
        </w:rPr>
        <w:t>Confirmación de backups.</w:t>
      </w:r>
    </w:p>
    <w:p>
      <w:pPr>
        <w:pStyle w:val="ListBullet"/>
        <w:spacing w:after="60"/>
        <w:ind w:left="425"/>
      </w:pPr>
      <w:r>
        <w:rPr>
          <w:sz w:val="22"/>
        </w:rPr>
        <w:t>Output: confirmación de cierre operativo.</w:t>
      </w:r>
    </w:p>
    <w:p>
      <w:pPr>
        <w:keepNext/>
        <w:spacing w:before="240" w:after="120"/>
      </w:pPr>
      <w:r>
        <w:rPr>
          <w:rFonts w:ascii="Calibri" w:hAnsi="Calibri"/>
          <w:b/>
          <w:color w:val="142A45"/>
          <w:sz w:val="32"/>
        </w:rPr>
        <w:t>6.2 Rutinas semanales</w:t>
      </w:r>
    </w:p>
    <w:p>
      <w:pPr>
        <w:spacing w:after="120"/>
      </w:pPr>
      <w:r>
        <w:rPr>
          <w:b/>
          <w:i w:val="0"/>
          <w:sz w:val="22"/>
        </w:rPr>
        <w:t>Kickoff semanal — inicio de semana (sesenta minutos)</w:t>
      </w:r>
    </w:p>
    <w:p>
      <w:pPr>
        <w:pStyle w:val="ListBullet"/>
        <w:spacing w:after="60"/>
        <w:ind w:left="425"/>
      </w:pPr>
      <w:r>
        <w:rPr>
          <w:sz w:val="22"/>
        </w:rPr>
        <w:t>Owner: CIO modera, el equipo de Associates asiste.</w:t>
      </w:r>
    </w:p>
    <w:p>
      <w:pPr>
        <w:pStyle w:val="ListBullet"/>
        <w:spacing w:after="60"/>
        <w:ind w:left="425"/>
      </w:pPr>
      <w:r>
        <w:rPr>
          <w:sz w:val="22"/>
        </w:rPr>
        <w:t>Revisión de la decisión de la semana anterior (diez minutos).</w:t>
      </w:r>
    </w:p>
    <w:p>
      <w:pPr>
        <w:pStyle w:val="ListBullet"/>
        <w:spacing w:after="60"/>
        <w:ind w:left="425"/>
      </w:pPr>
      <w:r>
        <w:rPr>
          <w:sz w:val="22"/>
        </w:rPr>
        <w:t>Sourcing review: outputs del screener, movimientos de superinvestores, Idea Feed manual, decisión sobre qué tickers entran a Quick Review esta semana (quince minutos).</w:t>
      </w:r>
    </w:p>
    <w:p>
      <w:pPr>
        <w:pStyle w:val="ListBullet"/>
        <w:spacing w:after="60"/>
        <w:ind w:left="425"/>
      </w:pPr>
      <w:r>
        <w:rPr>
          <w:sz w:val="22"/>
        </w:rPr>
        <w:t>Status individual del equipo de Associates y asignación de roles Bull/Bear para el siguiente debate adversarial (veinte minutos).</w:t>
      </w:r>
    </w:p>
    <w:p>
      <w:pPr>
        <w:pStyle w:val="ListBullet"/>
        <w:spacing w:after="60"/>
        <w:ind w:left="425"/>
      </w:pPr>
      <w:r>
        <w:rPr>
          <w:sz w:val="22"/>
        </w:rPr>
        <w:t>Pipeline review: kanban, cards estancadas, tickers en Watchlist Premium que tocaron precio (quince minutos).</w:t>
      </w:r>
    </w:p>
    <w:p>
      <w:pPr>
        <w:pStyle w:val="ListBullet"/>
        <w:spacing w:after="60"/>
        <w:ind w:left="425"/>
      </w:pPr>
      <w:r>
        <w:rPr>
          <w:sz w:val="22"/>
        </w:rPr>
        <w:t>Output: pin con las asignaciones de la semana.</w:t>
      </w:r>
    </w:p>
    <w:p>
      <w:pPr>
        <w:spacing w:after="120"/>
      </w:pPr>
      <w:r>
        <w:rPr>
          <w:b/>
          <w:i w:val="0"/>
          <w:sz w:val="22"/>
        </w:rPr>
        <w:t>Debate Adversarial — quincenal (ciento veinte minutos)</w:t>
      </w:r>
    </w:p>
    <w:p>
      <w:pPr>
        <w:pStyle w:val="ListBullet"/>
        <w:spacing w:after="60"/>
        <w:ind w:left="425"/>
      </w:pPr>
      <w:r>
        <w:rPr>
          <w:sz w:val="22"/>
        </w:rPr>
        <w:t>Owner: CIO modera; Bull y Bear presentan.</w:t>
      </w:r>
    </w:p>
    <w:p>
      <w:pPr>
        <w:pStyle w:val="ListBullet"/>
        <w:spacing w:after="60"/>
        <w:ind w:left="425"/>
      </w:pPr>
      <w:r>
        <w:rPr>
          <w:sz w:val="22"/>
        </w:rPr>
        <w:t>Pre-requisito no negociable: el Company Brief de la empresa en debate pasó el Audit Gate de Semana 1.</w:t>
      </w:r>
    </w:p>
    <w:p>
      <w:pPr>
        <w:pStyle w:val="ListBullet"/>
        <w:spacing w:after="60"/>
        <w:ind w:left="425"/>
      </w:pPr>
      <w:r>
        <w:rPr>
          <w:sz w:val="22"/>
        </w:rPr>
        <w:t>Estructura: Bull Memo (treinta minutos), Bear Memo (treinta minutos), cross-examination del CIO (treinta minutos), Pre-Mortem refinement — refinamiento del borrador formulado por el Bear, no construcción desde cero (veinte minutos), Probability Worksheet — asignación de pesos Bear/Base/Bull y verificación de los cuatro gates (quince minutos), decisión y registro en Journal (diez minutos).</w:t>
      </w:r>
    </w:p>
    <w:p>
      <w:pPr>
        <w:pStyle w:val="ListBullet"/>
        <w:spacing w:after="60"/>
        <w:ind w:left="425"/>
      </w:pPr>
      <w:r>
        <w:rPr>
          <w:sz w:val="22"/>
        </w:rPr>
        <w:t>Output: Journal entry con Probability Worksheet adjunto, portafolio actualizado y kanban movido.</w:t>
      </w:r>
    </w:p>
    <w:p>
      <w:pPr>
        <w:pStyle w:val="ListBullet"/>
        <w:spacing w:after="60"/>
        <w:ind w:left="425"/>
      </w:pPr>
      <w:r>
        <w:rPr>
          <w:sz w:val="22"/>
        </w:rPr>
        <w:t>Cadencia: cada dos semanas — veintiséis Deep Dives anuales y trece decisiones formales.</w:t>
      </w:r>
    </w:p>
    <w:p>
      <w:pPr>
        <w:spacing w:after="120"/>
      </w:pPr>
      <w:r>
        <w:rPr>
          <w:b/>
          <w:i w:val="0"/>
          <w:sz w:val="22"/>
        </w:rPr>
        <w:t>Wrap-up semanal — cierre de semana (treinta minutos)</w:t>
      </w:r>
    </w:p>
    <w:p>
      <w:pPr>
        <w:pStyle w:val="ListBullet"/>
        <w:spacing w:after="60"/>
        <w:ind w:left="425"/>
      </w:pPr>
      <w:r>
        <w:rPr>
          <w:sz w:val="22"/>
        </w:rPr>
        <w:t>Owner: CIO y el equipo de Associates.</w:t>
      </w:r>
    </w:p>
    <w:p>
      <w:pPr>
        <w:pStyle w:val="ListBullet"/>
        <w:spacing w:after="60"/>
        <w:ind w:left="425"/>
      </w:pPr>
      <w:r>
        <w:rPr>
          <w:sz w:val="22"/>
        </w:rPr>
        <w:t>Revisión de los KPIs principales de las posiciones invertidas.</w:t>
      </w:r>
    </w:p>
    <w:p>
      <w:pPr>
        <w:pStyle w:val="ListBullet"/>
        <w:spacing w:after="60"/>
        <w:ind w:left="425"/>
      </w:pPr>
      <w:r>
        <w:rPr>
          <w:sz w:val="22"/>
        </w:rPr>
        <w:t>Red flags detectados durante la semana y, si aplica, ticket de re-underwriting anticipado.</w:t>
      </w:r>
    </w:p>
    <w:p>
      <w:pPr>
        <w:pStyle w:val="ListBullet"/>
        <w:spacing w:after="60"/>
        <w:ind w:left="425"/>
      </w:pPr>
      <w:r>
        <w:rPr>
          <w:sz w:val="22"/>
        </w:rPr>
        <w:t>Confirmación de archivado al Data Room.</w:t>
      </w:r>
    </w:p>
    <w:p>
      <w:pPr>
        <w:pStyle w:val="ListBullet"/>
        <w:spacing w:after="60"/>
        <w:ind w:left="425"/>
      </w:pPr>
      <w:r>
        <w:rPr>
          <w:sz w:val="22"/>
        </w:rPr>
        <w:t>Lectura recomendada para el fin de semana.</w:t>
      </w:r>
    </w:p>
    <w:p>
      <w:pPr>
        <w:pStyle w:val="ListBullet"/>
        <w:spacing w:after="60"/>
        <w:ind w:left="425"/>
      </w:pPr>
      <w:r>
        <w:rPr>
          <w:sz w:val="22"/>
        </w:rPr>
        <w:t>Output: thread semanal con tres highlights más una lectura.</w:t>
      </w:r>
    </w:p>
    <w:p>
      <w:pPr>
        <w:keepNext/>
        <w:spacing w:before="240" w:after="120"/>
      </w:pPr>
      <w:r>
        <w:rPr>
          <w:rFonts w:ascii="Calibri" w:hAnsi="Calibri"/>
          <w:b/>
          <w:color w:val="142A45"/>
          <w:sz w:val="32"/>
        </w:rPr>
        <w:t>6.3 Rutinas mensuales</w:t>
      </w:r>
    </w:p>
    <w:p>
      <w:pPr>
        <w:spacing w:after="120"/>
      </w:pPr>
      <w:r>
        <w:rPr>
          <w:b/>
          <w:i w:val="0"/>
          <w:sz w:val="22"/>
        </w:rPr>
        <w:t>Refresh del Universo (4.1) y corrida del Triage (3.1) — Primera semana del mes (tres horas)</w:t>
      </w:r>
    </w:p>
    <w:p>
      <w:pPr>
        <w:pStyle w:val="ListBullet"/>
        <w:spacing w:after="60"/>
        <w:ind w:left="425"/>
      </w:pPr>
      <w:r>
        <w:rPr>
          <w:sz w:val="22"/>
        </w:rPr>
        <w:t>Owner: un Associate ejecuta, el CIO valida.</w:t>
      </w:r>
    </w:p>
    <w:p>
      <w:pPr>
        <w:pStyle w:val="ListBullet"/>
        <w:spacing w:after="60"/>
        <w:ind w:left="425"/>
      </w:pPr>
      <w:r>
        <w:rPr>
          <w:sz w:val="22"/>
        </w:rPr>
        <w:t>Refrescar los índices de referencia y aplicar los filtros de elegibilidad institucionales.</w:t>
      </w:r>
    </w:p>
    <w:p>
      <w:pPr>
        <w:pStyle w:val="ListBullet"/>
        <w:spacing w:after="60"/>
        <w:ind w:left="425"/>
      </w:pPr>
      <w:r>
        <w:rPr>
          <w:sz w:val="22"/>
        </w:rPr>
        <w:t>Correr el Triage sobre el universo refrescado.</w:t>
      </w:r>
    </w:p>
    <w:p>
      <w:pPr>
        <w:pStyle w:val="ListBullet"/>
        <w:spacing w:after="60"/>
        <w:ind w:left="425"/>
      </w:pPr>
      <w:r>
        <w:rPr>
          <w:sz w:val="22"/>
        </w:rPr>
        <w:t>Detectar nuevas empresas con Convicción Alta o listas para Quick Review y alertar al CIO.</w:t>
      </w:r>
    </w:p>
    <w:p>
      <w:pPr>
        <w:pStyle w:val="ListBullet"/>
        <w:spacing w:after="60"/>
        <w:ind w:left="425"/>
      </w:pPr>
      <w:r>
        <w:rPr>
          <w:sz w:val="22"/>
        </w:rPr>
        <w:t>Output: universo actualizado, documento ejecutivo del Triage y actualización del frontend de screening.</w:t>
      </w:r>
    </w:p>
    <w:p>
      <w:pPr>
        <w:spacing w:after="120"/>
      </w:pPr>
      <w:r>
        <w:rPr>
          <w:b/>
          <w:i w:val="0"/>
          <w:sz w:val="22"/>
        </w:rPr>
        <w:t>Monthly Close — Último día hábil del mes (cuatro horas)</w:t>
      </w:r>
    </w:p>
    <w:p>
      <w:pPr>
        <w:pStyle w:val="ListBullet"/>
        <w:spacing w:after="60"/>
        <w:ind w:left="425"/>
      </w:pPr>
      <w:r>
        <w:rPr>
          <w:sz w:val="22"/>
        </w:rPr>
        <w:t>Owner: el CIO valida, un Associate ejecuta.</w:t>
      </w:r>
    </w:p>
    <w:p>
      <w:pPr>
        <w:pStyle w:val="ListBullet"/>
        <w:spacing w:after="60"/>
        <w:ind w:left="425"/>
      </w:pPr>
      <w:r>
        <w:rPr>
          <w:sz w:val="22"/>
        </w:rPr>
        <w:t>NAV consolidado, métricas de retorno (TWR e IRR), impacto cambiario, movimientos del mes.</w:t>
      </w:r>
    </w:p>
    <w:p>
      <w:pPr>
        <w:pStyle w:val="ListBullet"/>
        <w:spacing w:after="60"/>
        <w:ind w:left="425"/>
      </w:pPr>
      <w:r>
        <w:rPr>
          <w:sz w:val="22"/>
        </w:rPr>
        <w:t>Output: documento de cierre mensual archivado en la sección de reporting del Data Room.</w:t>
      </w:r>
    </w:p>
    <w:p>
      <w:pPr>
        <w:spacing w:after="120"/>
      </w:pPr>
      <w:r>
        <w:rPr>
          <w:b/>
          <w:i w:val="0"/>
          <w:sz w:val="22"/>
        </w:rPr>
        <w:t>Idea Feed Curation (4.2) — Mitad de mes (una hora)</w:t>
      </w:r>
    </w:p>
    <w:p>
      <w:pPr>
        <w:pStyle w:val="ListBullet"/>
        <w:spacing w:after="60"/>
        <w:ind w:left="425"/>
      </w:pPr>
      <w:r>
        <w:rPr>
          <w:sz w:val="22"/>
        </w:rPr>
        <w:t>Owner: CIO.</w:t>
      </w:r>
    </w:p>
    <w:p>
      <w:pPr>
        <w:pStyle w:val="ListBullet"/>
        <w:spacing w:after="60"/>
        <w:ind w:left="425"/>
      </w:pPr>
      <w:r>
        <w:rPr>
          <w:sz w:val="22"/>
        </w:rPr>
        <w:t>Clasificación de ideas externas como relevantes o irrelevantes.</w:t>
      </w:r>
    </w:p>
    <w:p>
      <w:pPr>
        <w:pStyle w:val="ListBullet"/>
        <w:spacing w:after="60"/>
        <w:ind w:left="425"/>
      </w:pPr>
      <w:r>
        <w:rPr>
          <w:sz w:val="22"/>
        </w:rPr>
        <w:t>Promoción de ideas relevantes a la Shortlist, al Quick Review como leads externos o directo a Deep Dive si el CIO lo autoriza.</w:t>
      </w:r>
    </w:p>
    <w:p>
      <w:pPr>
        <w:keepNext/>
        <w:spacing w:before="240" w:after="120"/>
      </w:pPr>
      <w:r>
        <w:rPr>
          <w:rFonts w:ascii="Calibri" w:hAnsi="Calibri"/>
          <w:b/>
          <w:color w:val="142A45"/>
          <w:sz w:val="32"/>
        </w:rPr>
        <w:t>6.4 Rutinas trimestrales</w:t>
      </w:r>
    </w:p>
    <w:p>
      <w:pPr>
        <w:spacing w:after="120"/>
      </w:pPr>
      <w:r>
        <w:rPr>
          <w:b/>
          <w:i w:val="0"/>
          <w:sz w:val="22"/>
        </w:rPr>
        <w:t>Sprint de Quarterly Re-Underwriting (5.1) — Cuarenta y cinco días tras la temporada de filings (dos días)</w:t>
      </w:r>
    </w:p>
    <w:p>
      <w:pPr>
        <w:pStyle w:val="ListBullet"/>
        <w:spacing w:after="60"/>
        <w:ind w:left="425"/>
      </w:pPr>
      <w:r>
        <w:rPr>
          <w:sz w:val="22"/>
        </w:rPr>
        <w:t>Owner: CIO y equipo de Associates (el portafolio se reparte equitativamente entre los Associates disponibles).</w:t>
      </w:r>
    </w:p>
    <w:p>
      <w:pPr>
        <w:pStyle w:val="ListBullet"/>
        <w:spacing w:after="60"/>
        <w:ind w:left="425"/>
      </w:pPr>
      <w:r>
        <w:rPr>
          <w:sz w:val="22"/>
        </w:rPr>
        <w:t>Ejecución del Quarterly Re-Underwriting de ocho secciones obligatorias para cada ticker en cartera: Investment Snapshot, Executive Summary, What Changed Since Last Quarter, Thesis Tracking, Premortem Tracking, KPI Dashboard, Valuation Update y Final Re-Underwriting Conclusion.</w:t>
      </w:r>
    </w:p>
    <w:p>
      <w:pPr>
        <w:pStyle w:val="ListBullet"/>
        <w:spacing w:after="60"/>
        <w:ind w:left="425"/>
      </w:pPr>
      <w:r>
        <w:rPr>
          <w:sz w:val="22"/>
        </w:rPr>
        <w:t>Output: un Quarterly Re-Underwriting por posición activa, firmado por el Associate (exactitud técnica) y por el CIO (conclusión final), archivado en la subcarpeta del ticker dentro de la carpeta 02 Investment Universe.</w:t>
      </w:r>
    </w:p>
    <w:p>
      <w:pPr>
        <w:pStyle w:val="ListBullet"/>
        <w:spacing w:after="60"/>
        <w:ind w:left="425"/>
      </w:pPr>
      <w:r>
        <w:rPr>
          <w:sz w:val="22"/>
        </w:rPr>
        <w:t>Gate: ningún Re-Underwriting Due puede quedarse pendiente más de sesenta días.</w:t>
      </w:r>
    </w:p>
    <w:p>
      <w:pPr>
        <w:pStyle w:val="ListBullet"/>
        <w:spacing w:after="60"/>
        <w:ind w:left="425"/>
      </w:pPr>
      <w:r>
        <w:rPr>
          <w:sz w:val="22"/>
        </w:rPr>
        <w:t>Encadenamiento: cualquier semáforo rojo en el KPI Dashboard del Re-Underwriting dispara la apertura de un Position Adjustment Memo (5.5); cualquier outcome de tesis rota dispara la apertura de un Position Close Memo (5.3).</w:t>
      </w:r>
    </w:p>
    <w:p>
      <w:pPr>
        <w:spacing w:after="120"/>
      </w:pPr>
      <w:r>
        <w:rPr>
          <w:b/>
          <w:i w:val="0"/>
          <w:sz w:val="22"/>
        </w:rPr>
        <w:t>Investment Decision Pack — Cincuenta y cinco días tras filings (un día)</w:t>
      </w:r>
    </w:p>
    <w:p>
      <w:pPr>
        <w:pStyle w:val="ListBullet"/>
        <w:spacing w:after="60"/>
        <w:ind w:left="425"/>
      </w:pPr>
      <w:r>
        <w:rPr>
          <w:sz w:val="22"/>
        </w:rPr>
        <w:t>Owner: CIO consolida.</w:t>
      </w:r>
    </w:p>
    <w:p>
      <w:pPr>
        <w:pStyle w:val="ListBullet"/>
        <w:spacing w:after="60"/>
        <w:ind w:left="425"/>
      </w:pPr>
      <w:r>
        <w:rPr>
          <w:sz w:val="22"/>
        </w:rPr>
        <w:t>Integra los Quarterly Re-Underwritings de todas las posiciones activas, los Position Adjustment Memos y Position Close Memos firmados durante el trimestre, y el dashboard agregado del portafolio. El Re-Underwriting reemplaza al Quarterly Scorecard, al Indicador de Salud Financiera y al ejercicio de Desconfirmación de marcos anteriores.</w:t>
      </w:r>
    </w:p>
    <w:p>
      <w:pPr>
        <w:pStyle w:val="ListBullet"/>
        <w:spacing w:after="60"/>
        <w:ind w:left="425"/>
      </w:pPr>
      <w:r>
        <w:rPr>
          <w:sz w:val="22"/>
        </w:rPr>
        <w:t>Output: documento consolidado archivado en la carpeta 04 Decision Pack del Data Room.</w:t>
      </w:r>
    </w:p>
    <w:p>
      <w:pPr>
        <w:pStyle w:val="ListBullet"/>
        <w:spacing w:after="60"/>
        <w:ind w:left="425"/>
      </w:pPr>
      <w:r>
        <w:rPr>
          <w:sz w:val="22"/>
        </w:rPr>
        <w:t>Sin votación. El CIO ratifica consigo mismo y deja constancia en el Decision Journal.</w:t>
      </w:r>
    </w:p>
    <w:p>
      <w:pPr>
        <w:keepNext/>
        <w:spacing w:before="240" w:after="120"/>
      </w:pPr>
      <w:r>
        <w:rPr>
          <w:rFonts w:ascii="Calibri" w:hAnsi="Calibri"/>
          <w:b/>
          <w:color w:val="142A45"/>
          <w:sz w:val="32"/>
        </w:rPr>
        <w:t>6.5 Rutinas anuales</w:t>
      </w:r>
    </w:p>
    <w:p>
      <w:pPr>
        <w:spacing w:after="120"/>
      </w:pPr>
      <w:r>
        <w:rPr>
          <w:b/>
          <w:i w:val="0"/>
          <w:sz w:val="22"/>
        </w:rPr>
        <w:t>Annual Close — Enero, quince días tras cierre fiscal (una semana)</w:t>
      </w:r>
    </w:p>
    <w:p>
      <w:pPr>
        <w:pStyle w:val="ListBullet"/>
        <w:spacing w:after="60"/>
        <w:ind w:left="425"/>
      </w:pPr>
      <w:r>
        <w:rPr>
          <w:sz w:val="22"/>
        </w:rPr>
        <w:t>Owner: CIO.</w:t>
      </w:r>
    </w:p>
    <w:p>
      <w:pPr>
        <w:pStyle w:val="ListBullet"/>
        <w:spacing w:after="60"/>
        <w:ind w:left="425"/>
      </w:pPr>
      <w:r>
        <w:rPr>
          <w:sz w:val="22"/>
        </w:rPr>
        <w:t>Performance auditada, reconciliación con el sistema contable, impuestos, recalibración de targets.</w:t>
      </w:r>
    </w:p>
    <w:p>
      <w:pPr>
        <w:spacing w:after="120"/>
      </w:pPr>
      <w:r>
        <w:rPr>
          <w:b/>
          <w:i w:val="0"/>
          <w:sz w:val="22"/>
        </w:rPr>
        <w:t>Carta Anual a Stakeholders — Febrero (dos semanas)</w:t>
      </w:r>
    </w:p>
    <w:p>
      <w:pPr>
        <w:pStyle w:val="ListBullet"/>
        <w:spacing w:after="60"/>
        <w:ind w:left="425"/>
      </w:pPr>
      <w:r>
        <w:rPr>
          <w:sz w:val="22"/>
        </w:rPr>
        <w:t>Owner: CIO firma.</w:t>
      </w:r>
    </w:p>
    <w:p>
      <w:pPr>
        <w:pStyle w:val="ListBullet"/>
        <w:spacing w:after="60"/>
        <w:ind w:left="425"/>
      </w:pPr>
      <w:r>
        <w:rPr>
          <w:sz w:val="22"/>
        </w:rPr>
        <w:t>Filosofía revisitada, top tres aciertos y errores del año con post-mortem, lecturas relevantes, outlook.</w:t>
      </w:r>
    </w:p>
    <w:p>
      <w:pPr>
        <w:pStyle w:val="ListBullet"/>
        <w:spacing w:after="60"/>
        <w:ind w:left="425"/>
      </w:pPr>
      <w:r>
        <w:rPr>
          <w:sz w:val="22"/>
        </w:rPr>
        <w:t>Output: carta anual archivada.</w:t>
      </w:r>
    </w:p>
    <w:p>
      <w:pPr>
        <w:spacing w:after="120"/>
      </w:pPr>
      <w:r>
        <w:rPr>
          <w:b/>
          <w:i w:val="0"/>
          <w:sz w:val="22"/>
        </w:rPr>
        <w:t>Annual Review Extraordinario — Cuando se dispare por Governance</w:t>
      </w:r>
    </w:p>
    <w:p>
      <w:pPr>
        <w:pStyle w:val="ListBullet"/>
        <w:spacing w:after="60"/>
        <w:ind w:left="425"/>
      </w:pPr>
      <w:r>
        <w:rPr>
          <w:sz w:val="22"/>
        </w:rPr>
        <w:t>Triggers definidos en el Governance Framework v5.1: cruce del umbral de 10M USD AUM, eventos de incapacidad o fallecimiento del CIO.</w:t>
      </w:r>
    </w:p>
    <w:p>
      <w:pPr>
        <w:spacing w:after="120"/>
      </w:pPr>
      <w:r>
        <w:rPr>
          <w:b/>
          <w:i w:val="0"/>
          <w:sz w:val="22"/>
        </w:rPr>
        <w:t>OS Self-Audit — Diciembre (tres días)</w:t>
      </w:r>
    </w:p>
    <w:p>
      <w:pPr>
        <w:pStyle w:val="ListBullet"/>
        <w:spacing w:after="60"/>
        <w:ind w:left="425"/>
      </w:pPr>
      <w:r>
        <w:rPr>
          <w:sz w:val="22"/>
        </w:rPr>
        <w:t>Owner: CIO y, cuando exista, un Associate sénior rotativo.</w:t>
      </w:r>
    </w:p>
    <w:p>
      <w:pPr>
        <w:pStyle w:val="ListBullet"/>
        <w:spacing w:after="60"/>
        <w:ind w:left="425"/>
      </w:pPr>
      <w:r>
        <w:rPr>
          <w:sz w:val="22"/>
        </w:rPr>
        <w:t>Review del cumplimiento de las rutinas durante el año.</w:t>
      </w:r>
    </w:p>
    <w:p>
      <w:pPr>
        <w:pStyle w:val="ListBullet"/>
        <w:spacing w:after="60"/>
        <w:ind w:left="425"/>
      </w:pPr>
      <w:r>
        <w:rPr>
          <w:sz w:val="22"/>
        </w:rPr>
        <w:t>Review del estado del toolchain (gaps, duplicidades, deprecaciones) — el detalle vive en el Anexo Técnico.</w:t>
      </w:r>
    </w:p>
    <w:p>
      <w:pPr>
        <w:pStyle w:val="ListBullet"/>
        <w:spacing w:after="60"/>
        <w:ind w:left="425"/>
      </w:pPr>
      <w:r>
        <w:rPr>
          <w:sz w:val="22"/>
        </w:rPr>
        <w:t>Bump de versión de este Operations Manual.</w:t>
      </w:r>
    </w:p>
    <w:p>
      <w:r>
        <w:br w:type="page"/>
      </w:r>
    </w:p>
    <w:p>
      <w:pPr>
        <w:keepNext/>
        <w:spacing w:before="240" w:after="120"/>
      </w:pPr>
      <w:r>
        <w:rPr>
          <w:rFonts w:ascii="Calibri" w:hAnsi="Calibri"/>
          <w:b/>
          <w:color w:val="142A45"/>
          <w:sz w:val="44"/>
        </w:rPr>
        <w:t>7.0 Gates de calidad</w:t>
      </w:r>
    </w:p>
    <w:p>
      <w:pPr>
        <w:spacing w:after="120"/>
      </w:pPr>
      <w:r>
        <w:rPr>
          <w:b w:val="0"/>
          <w:i w:val="0"/>
          <w:sz w:val="22"/>
        </w:rPr>
        <w:t>El proceso DCE opera con gates de calidad explícitos entre etapas. Ningún ticker avanza a la siguiente etapa sin pasar el gate correspondiente.</w:t>
      </w:r>
    </w:p>
    <w:p>
      <w:pPr>
        <w:spacing w:after="120"/>
      </w:pPr>
      <w:r>
        <w:rPr>
          <w:b w:val="0"/>
          <w:i w:val="0"/>
          <w:sz w:val="22"/>
        </w:rPr>
        <w:t>Los gates aplican a tickers individuales dentro del ciclo de inversión (3.0). El estado del universo de empresas elegibles (4.1) NO es un gate sobre tickers: es un check de infraestructura que se valida durante el refresh mensual.</w:t>
      </w:r>
    </w:p>
    <w:tbl>
      <w:tblPr>
        <w:tblStyle w:val="LightGrid-Accent1"/>
        <w:tblW w:type="auto" w:w="0"/>
        <w:tblLayout w:type="autofit"/>
        <w:tblLook w:firstColumn="1" w:firstRow="1" w:lastColumn="0" w:lastRow="0" w:noHBand="0" w:noVBand="1" w:val="04A0"/>
      </w:tblPr>
      <w:tblGrid>
        <w:gridCol w:w="3135"/>
        <w:gridCol w:w="3135"/>
        <w:gridCol w:w="3135"/>
      </w:tblGrid>
      <w:tr>
        <w:tc>
          <w:tcPr>
            <w:tcW w:type="dxa" w:w="3135"/>
            <w:shd w:val="clear" w:color="auto" w:fill="142A45"/>
          </w:tcPr>
          <w:p>
            <w:r/>
            <w:r>
              <w:rPr>
                <w:b/>
                <w:color w:val="FFFFFF"/>
                <w:sz w:val="20"/>
              </w:rPr>
              <w:t>Gate</w:t>
            </w:r>
          </w:p>
        </w:tc>
        <w:tc>
          <w:tcPr>
            <w:tcW w:type="dxa" w:w="3135"/>
            <w:shd w:val="clear" w:color="auto" w:fill="142A45"/>
          </w:tcPr>
          <w:p>
            <w:r/>
            <w:r>
              <w:rPr>
                <w:b/>
                <w:color w:val="FFFFFF"/>
                <w:sz w:val="20"/>
              </w:rPr>
              <w:t>Transición</w:t>
            </w:r>
          </w:p>
        </w:tc>
        <w:tc>
          <w:tcPr>
            <w:tcW w:type="dxa" w:w="3135"/>
            <w:shd w:val="clear" w:color="auto" w:fill="142A45"/>
          </w:tcPr>
          <w:p>
            <w:r/>
            <w:r>
              <w:rPr>
                <w:b/>
                <w:color w:val="FFFFFF"/>
                <w:sz w:val="20"/>
              </w:rPr>
              <w:t>Mecánica</w:t>
            </w:r>
          </w:p>
        </w:tc>
      </w:tr>
      <w:tr>
        <w:tc>
          <w:tcPr>
            <w:tcW w:type="dxa" w:w="3135"/>
          </w:tcPr>
          <w:p>
            <w:r/>
            <w:r>
              <w:rPr>
                <w:sz w:val="20"/>
              </w:rPr>
              <w:t>G1</w:t>
            </w:r>
          </w:p>
        </w:tc>
        <w:tc>
          <w:tcPr>
            <w:tcW w:type="dxa" w:w="3135"/>
          </w:tcPr>
          <w:p>
            <w:r/>
            <w:r>
              <w:rPr>
                <w:sz w:val="20"/>
              </w:rPr>
              <w:t>Triage → Quick Review</w:t>
            </w:r>
          </w:p>
        </w:tc>
        <w:tc>
          <w:tcPr>
            <w:tcW w:type="dxa" w:w="3135"/>
          </w:tcPr>
          <w:p>
            <w:r/>
            <w:r>
              <w:rPr>
                <w:sz w:val="20"/>
              </w:rPr>
              <w:t>El verdict del Triage es Listo para Quick Review</w:t>
            </w:r>
          </w:p>
        </w:tc>
      </w:tr>
      <w:tr>
        <w:tc>
          <w:tcPr>
            <w:tcW w:type="dxa" w:w="3135"/>
          </w:tcPr>
          <w:p>
            <w:r/>
            <w:r>
              <w:rPr>
                <w:sz w:val="20"/>
              </w:rPr>
              <w:t>G1-bis</w:t>
            </w:r>
          </w:p>
        </w:tc>
        <w:tc>
          <w:tcPr>
            <w:tcW w:type="dxa" w:w="3135"/>
          </w:tcPr>
          <w:p>
            <w:r/>
            <w:r>
              <w:rPr>
                <w:sz w:val="20"/>
              </w:rPr>
              <w:t>Triage → Deep Dive directo</w:t>
            </w:r>
          </w:p>
        </w:tc>
        <w:tc>
          <w:tcPr>
            <w:tcW w:type="dxa" w:w="3135"/>
          </w:tcPr>
          <w:p>
            <w:r/>
            <w:r>
              <w:rPr>
                <w:sz w:val="20"/>
              </w:rPr>
              <w:t>El verdict del Triage es Convicción Alta</w:t>
            </w:r>
          </w:p>
        </w:tc>
      </w:tr>
      <w:tr>
        <w:tc>
          <w:tcPr>
            <w:tcW w:type="dxa" w:w="3135"/>
          </w:tcPr>
          <w:p>
            <w:r/>
            <w:r>
              <w:rPr>
                <w:sz w:val="20"/>
              </w:rPr>
              <w:t>G2</w:t>
            </w:r>
          </w:p>
        </w:tc>
        <w:tc>
          <w:tcPr>
            <w:tcW w:type="dxa" w:w="3135"/>
          </w:tcPr>
          <w:p>
            <w:r/>
            <w:r>
              <w:rPr>
                <w:sz w:val="20"/>
              </w:rPr>
              <w:t>Quick Review → Deep Dive</w:t>
            </w:r>
          </w:p>
        </w:tc>
        <w:tc>
          <w:tcPr>
            <w:tcW w:type="dxa" w:w="3135"/>
          </w:tcPr>
          <w:p>
            <w:r/>
            <w:r>
              <w:rPr>
                <w:sz w:val="20"/>
              </w:rPr>
              <w:t>Verdict GO DEEP DIVE, o excepción documentada autorizada por el CIO</w:t>
            </w:r>
          </w:p>
        </w:tc>
      </w:tr>
      <w:tr>
        <w:tc>
          <w:tcPr>
            <w:tcW w:type="dxa" w:w="3135"/>
          </w:tcPr>
          <w:p>
            <w:r/>
            <w:r>
              <w:rPr>
                <w:sz w:val="20"/>
              </w:rPr>
              <w:t>G3</w:t>
            </w:r>
          </w:p>
        </w:tc>
        <w:tc>
          <w:tcPr>
            <w:tcW w:type="dxa" w:w="3135"/>
          </w:tcPr>
          <w:p>
            <w:r/>
            <w:r>
              <w:rPr>
                <w:sz w:val="20"/>
              </w:rPr>
              <w:t>Deep Dive → Fase adversarial</w:t>
            </w:r>
          </w:p>
        </w:tc>
        <w:tc>
          <w:tcPr>
            <w:tcW w:type="dxa" w:w="3135"/>
          </w:tcPr>
          <w:p>
            <w:r/>
            <w:r>
              <w:rPr>
                <w:sz w:val="20"/>
              </w:rPr>
              <w:t>Audit Gate del Company Brief = PASS (no negociable; auditoría automatizada del skill verificada por el Associate)</w:t>
            </w:r>
          </w:p>
        </w:tc>
      </w:tr>
      <w:tr>
        <w:tc>
          <w:tcPr>
            <w:tcW w:type="dxa" w:w="3135"/>
          </w:tcPr>
          <w:p>
            <w:r/>
            <w:r>
              <w:rPr>
                <w:sz w:val="20"/>
              </w:rPr>
              <w:t>G4</w:t>
            </w:r>
          </w:p>
        </w:tc>
        <w:tc>
          <w:tcPr>
            <w:tcW w:type="dxa" w:w="3135"/>
          </w:tcPr>
          <w:p>
            <w:r/>
            <w:r>
              <w:rPr>
                <w:sz w:val="20"/>
              </w:rPr>
              <w:t>Adversarial → Decisión</w:t>
            </w:r>
          </w:p>
        </w:tc>
        <w:tc>
          <w:tcPr>
            <w:tcW w:type="dxa" w:w="3135"/>
          </w:tcPr>
          <w:p>
            <w:r/>
            <w:r>
              <w:rPr>
                <w:sz w:val="20"/>
              </w:rPr>
              <w:t>Bull Memo y Bear Memo listos antes del debate</w:t>
            </w:r>
          </w:p>
        </w:tc>
      </w:tr>
      <w:tr>
        <w:tc>
          <w:tcPr>
            <w:tcW w:type="dxa" w:w="3135"/>
          </w:tcPr>
          <w:p>
            <w:r/>
            <w:r>
              <w:rPr>
                <w:sz w:val="20"/>
              </w:rPr>
              <w:t>G5</w:t>
            </w:r>
          </w:p>
        </w:tc>
        <w:tc>
          <w:tcPr>
            <w:tcW w:type="dxa" w:w="3135"/>
          </w:tcPr>
          <w:p>
            <w:r/>
            <w:r>
              <w:rPr>
                <w:sz w:val="20"/>
              </w:rPr>
              <w:t>Probability Worksheet → Decisión</w:t>
            </w:r>
          </w:p>
        </w:tc>
        <w:tc>
          <w:tcPr>
            <w:tcW w:type="dxa" w:w="3135"/>
          </w:tcPr>
          <w:p>
            <w:r/>
            <w:r>
              <w:rPr>
                <w:sz w:val="20"/>
              </w:rPr>
              <w:t>Worksheet completado con asignación de pesos Bear/Base/Bull, justificación escrita y verificación de los cuatro gates (hurdle ≥12%, asimetría ≥2x, expected loss ≥-3%, downside Bear ≥-20%). El veredicto del worksheet es input al Journal Entry; no sustituye la decisión del CIO.</w:t>
            </w:r>
          </w:p>
        </w:tc>
      </w:tr>
      <w:tr>
        <w:tc>
          <w:tcPr>
            <w:tcW w:type="dxa" w:w="3135"/>
          </w:tcPr>
          <w:p>
            <w:r/>
            <w:r>
              <w:rPr>
                <w:sz w:val="20"/>
              </w:rPr>
              <w:t>G6</w:t>
            </w:r>
          </w:p>
        </w:tc>
        <w:tc>
          <w:tcPr>
            <w:tcW w:type="dxa" w:w="3135"/>
          </w:tcPr>
          <w:p>
            <w:r/>
            <w:r>
              <w:rPr>
                <w:sz w:val="20"/>
              </w:rPr>
              <w:t>Decisión</w:t>
            </w:r>
          </w:p>
        </w:tc>
        <w:tc>
          <w:tcPr>
            <w:tcW w:type="dxa" w:w="3135"/>
          </w:tcPr>
          <w:p>
            <w:r/>
            <w:r>
              <w:rPr>
                <w:sz w:val="20"/>
              </w:rPr>
              <w:t>La distribución segregada Bull / Bear / CIO se respetó durante toda la fase adversarial</w:t>
            </w:r>
          </w:p>
        </w:tc>
      </w:tr>
      <w:tr>
        <w:tc>
          <w:tcPr>
            <w:tcW w:type="dxa" w:w="3135"/>
          </w:tcPr>
          <w:p>
            <w:r/>
            <w:r>
              <w:rPr>
                <w:sz w:val="20"/>
              </w:rPr>
              <w:t>G7</w:t>
            </w:r>
          </w:p>
        </w:tc>
        <w:tc>
          <w:tcPr>
            <w:tcW w:type="dxa" w:w="3135"/>
          </w:tcPr>
          <w:p>
            <w:r/>
            <w:r>
              <w:rPr>
                <w:sz w:val="20"/>
              </w:rPr>
              <w:t>Ejecución</w:t>
            </w:r>
          </w:p>
        </w:tc>
        <w:tc>
          <w:tcPr>
            <w:tcW w:type="dxa" w:w="3135"/>
          </w:tcPr>
          <w:p>
            <w:r/>
            <w:r>
              <w:rPr>
                <w:sz w:val="20"/>
              </w:rPr>
              <w:t>Sizing y pricing del Journal Entry registrados antes de operar en el broker</w:t>
            </w:r>
          </w:p>
        </w:tc>
      </w:tr>
      <w:tr>
        <w:tc>
          <w:tcPr>
            <w:tcW w:type="dxa" w:w="3135"/>
          </w:tcPr>
          <w:p>
            <w:r/>
            <w:r>
              <w:rPr>
                <w:sz w:val="20"/>
              </w:rPr>
              <w:t>G8</w:t>
            </w:r>
          </w:p>
        </w:tc>
        <w:tc>
          <w:tcPr>
            <w:tcW w:type="dxa" w:w="3135"/>
          </w:tcPr>
          <w:p>
            <w:r/>
            <w:r>
              <w:rPr>
                <w:sz w:val="20"/>
              </w:rPr>
              <w:t>Monitoring</w:t>
            </w:r>
          </w:p>
        </w:tc>
        <w:tc>
          <w:tcPr>
            <w:tcW w:type="dxa" w:w="3135"/>
          </w:tcPr>
          <w:p>
            <w:r/>
            <w:r>
              <w:rPr>
                <w:sz w:val="20"/>
              </w:rPr>
              <w:t>Ningún Re-Underwriting Due pendiente más de sesenta días y cada Quarterly Re-Underwriting completado con las ocho secciones obligatorias antes de firma</w:t>
            </w:r>
          </w:p>
        </w:tc>
      </w:tr>
      <w:tr>
        <w:tc>
          <w:tcPr>
            <w:tcW w:type="dxa" w:w="3135"/>
          </w:tcPr>
          <w:p>
            <w:r/>
            <w:r>
              <w:rPr>
                <w:sz w:val="20"/>
              </w:rPr>
              <w:t>G9</w:t>
            </w:r>
          </w:p>
        </w:tc>
        <w:tc>
          <w:tcPr>
            <w:tcW w:type="dxa" w:w="3135"/>
          </w:tcPr>
          <w:p>
            <w:r/>
            <w:r>
              <w:rPr>
                <w:sz w:val="20"/>
              </w:rPr>
              <w:t>Ajustes y cierres de posición</w:t>
            </w:r>
          </w:p>
        </w:tc>
        <w:tc>
          <w:tcPr>
            <w:tcW w:type="dxa" w:w="3135"/>
          </w:tcPr>
          <w:p>
            <w:r/>
            <w:r>
              <w:rPr>
                <w:sz w:val="20"/>
              </w:rPr>
              <w:t>Position Close Memo aprobado y firmado por el CIO antes de ejecutar cualquier SELL total; Position Adjustment Memo aprobado y firmado por el CIO antes de ejecutar cualquier trim o add parcial</w:t>
            </w:r>
          </w:p>
        </w:tc>
      </w:tr>
    </w:tbl>
    <w:p>
      <w:pPr>
        <w:spacing w:after="120"/>
      </w:pPr>
      <w:r>
        <w:rPr>
          <w:b w:val="0"/>
          <w:i w:val="0"/>
          <w:sz w:val="22"/>
        </w:rPr>
        <w:t>El gate G3 — Audit Gate del Company Brief es la pieza más crítica del sistema. Si una base case no pasa la auditoría cruzada de números y narrativa, el ticker no avanza al debate adversarial. El propósito es asegurar que el debate se construya sobre números reconciliados, no sobre intuiciones contaminadas. El detalle técnico de los cruces que ejecuta la auditoría automatizada vive en el Anexo Técnico.</w:t>
      </w:r>
    </w:p>
    <w:p>
      <w:r>
        <w:br w:type="page"/>
      </w:r>
    </w:p>
    <w:p>
      <w:pPr>
        <w:keepNext/>
        <w:spacing w:before="240" w:after="120"/>
      </w:pPr>
      <w:r>
        <w:rPr>
          <w:rFonts w:ascii="Calibri" w:hAnsi="Calibri"/>
          <w:b/>
          <w:color w:val="142A45"/>
          <w:sz w:val="44"/>
        </w:rPr>
        <w:t>8.0 Documentación, archivo y memoria institucional</w:t>
      </w:r>
    </w:p>
    <w:p>
      <w:pPr>
        <w:keepNext/>
        <w:spacing w:before="240" w:after="120"/>
      </w:pPr>
      <w:r>
        <w:rPr>
          <w:rFonts w:ascii="Calibri" w:hAnsi="Calibri"/>
          <w:b/>
          <w:color w:val="142A45"/>
          <w:sz w:val="32"/>
        </w:rPr>
        <w:t>8.1 Naming convention</w:t>
      </w:r>
    </w:p>
    <w:p>
      <w:pPr>
        <w:spacing w:after="120"/>
      </w:pPr>
      <w:r>
        <w:rPr>
          <w:b w:val="0"/>
          <w:i w:val="0"/>
          <w:sz w:val="22"/>
        </w:rPr>
        <w:t>Todo entregable archivado en el Data Room sigue el formato:</w:t>
      </w:r>
    </w:p>
    <w:p>
      <w:pPr>
        <w:spacing w:after="120"/>
        <w:jc w:val="center"/>
      </w:pPr>
      <w:r>
        <w:rPr>
          <w:b/>
          <w:i w:val="0"/>
          <w:color w:val="142A45"/>
          <w:sz w:val="22"/>
        </w:rPr>
        <w:t>AAAA-MM - Tipo - Detalle [v#]</w:t>
      </w:r>
    </w:p>
    <w:p>
      <w:pPr>
        <w:spacing w:after="120"/>
      </w:pPr>
      <w:r>
        <w:rPr>
          <w:b w:val="0"/>
          <w:i w:val="0"/>
          <w:sz w:val="22"/>
        </w:rPr>
        <w:t>Ejemplos:</w:t>
      </w:r>
    </w:p>
    <w:p>
      <w:pPr>
        <w:pStyle w:val="ListBullet"/>
        <w:spacing w:after="60"/>
        <w:ind w:left="425"/>
      </w:pPr>
      <w:r>
        <w:rPr>
          <w:sz w:val="22"/>
        </w:rPr>
        <w:t>2026-05 - Universe - S&amp;P 500 Top 200 v1.csv</w:t>
      </w:r>
    </w:p>
    <w:p>
      <w:pPr>
        <w:pStyle w:val="ListBullet"/>
        <w:spacing w:after="60"/>
        <w:ind w:left="425"/>
      </w:pPr>
      <w:r>
        <w:rPr>
          <w:sz w:val="22"/>
        </w:rPr>
        <w:t>2026-05 - Triage Brief - Mayo 2026 v1.pdf</w:t>
      </w:r>
    </w:p>
    <w:p>
      <w:pPr>
        <w:pStyle w:val="ListBullet"/>
        <w:spacing w:after="60"/>
        <w:ind w:left="425"/>
      </w:pPr>
      <w:r>
        <w:rPr>
          <w:sz w:val="22"/>
        </w:rPr>
        <w:t>2026-05 - Quick Review - MSFT v1.pdf</w:t>
      </w:r>
    </w:p>
    <w:p>
      <w:pPr>
        <w:pStyle w:val="ListBullet"/>
        <w:spacing w:after="60"/>
        <w:ind w:left="425"/>
      </w:pPr>
      <w:r>
        <w:rPr>
          <w:sz w:val="22"/>
        </w:rPr>
        <w:t>2026-05 - Company Brief - Microsoft (MSFT) v1.0.docx</w:t>
      </w:r>
    </w:p>
    <w:p>
      <w:pPr>
        <w:pStyle w:val="ListBullet"/>
        <w:spacing w:after="60"/>
        <w:ind w:left="425"/>
      </w:pPr>
      <w:r>
        <w:rPr>
          <w:sz w:val="22"/>
        </w:rPr>
        <w:t>2026-Q1 - Investment Decision Pack v1.0.pdf</w:t>
      </w:r>
    </w:p>
    <w:p>
      <w:pPr>
        <w:pStyle w:val="ListBullet"/>
        <w:spacing w:after="60"/>
        <w:ind w:left="425"/>
      </w:pPr>
      <w:r>
        <w:rPr>
          <w:sz w:val="22"/>
        </w:rPr>
        <w:t>2026-05 - Quarterly Re-Underwriting - LULU v2.pdf</w:t>
      </w:r>
    </w:p>
    <w:p>
      <w:pPr>
        <w:pStyle w:val="ListBullet"/>
        <w:spacing w:after="60"/>
        <w:ind w:left="425"/>
      </w:pPr>
      <w:r>
        <w:rPr>
          <w:sz w:val="22"/>
        </w:rPr>
        <w:t>2026-05 - Position Adjustment Memo - LULU v1.pdf</w:t>
      </w:r>
    </w:p>
    <w:p>
      <w:pPr>
        <w:pStyle w:val="ListBullet"/>
        <w:spacing w:after="60"/>
        <w:ind w:left="425"/>
      </w:pPr>
      <w:r>
        <w:rPr>
          <w:sz w:val="22"/>
        </w:rPr>
        <w:t>2026-05 - Position Close Memo - LULU v1.pdf</w:t>
      </w:r>
    </w:p>
    <w:p>
      <w:pPr>
        <w:pStyle w:val="ListBullet"/>
        <w:spacing w:after="60"/>
        <w:ind w:left="425"/>
      </w:pPr>
      <w:r>
        <w:rPr>
          <w:sz w:val="22"/>
        </w:rPr>
        <w:t>2026-FY - Annual Letter v1.0.pdf</w:t>
      </w:r>
    </w:p>
    <w:p>
      <w:pPr>
        <w:pStyle w:val="ListBullet"/>
        <w:spacing w:after="60"/>
        <w:ind w:left="425"/>
      </w:pPr>
      <w:r>
        <w:rPr>
          <w:sz w:val="22"/>
        </w:rPr>
        <w:t>2026-12 - OS Self-Audit v1.docx</w:t>
      </w:r>
    </w:p>
    <w:p>
      <w:pPr>
        <w:keepNext/>
        <w:spacing w:before="240" w:after="120"/>
      </w:pPr>
      <w:r>
        <w:rPr>
          <w:rFonts w:ascii="Calibri" w:hAnsi="Calibri"/>
          <w:b/>
          <w:color w:val="142A45"/>
          <w:sz w:val="32"/>
        </w:rPr>
        <w:t>8.2 Estructura del Data Room</w:t>
      </w:r>
    </w:p>
    <w:p>
      <w:pPr>
        <w:spacing w:after="120"/>
      </w:pPr>
      <w:r>
        <w:rPr>
          <w:b w:val="0"/>
          <w:i w:val="0"/>
          <w:sz w:val="22"/>
        </w:rPr>
        <w:t>El Data Room se organiza en nueve carpetas raíz:</w:t>
      </w:r>
    </w:p>
    <w:tbl>
      <w:tblPr>
        <w:tblStyle w:val="LightGrid-Accent1"/>
        <w:tblW w:type="auto" w:w="0"/>
        <w:tblLayout w:type="autofit"/>
        <w:tblLook w:firstColumn="1" w:firstRow="1" w:lastColumn="0" w:lastRow="0" w:noHBand="0" w:noVBand="1" w:val="04A0"/>
      </w:tblPr>
      <w:tblGrid>
        <w:gridCol w:w="4703"/>
        <w:gridCol w:w="4703"/>
      </w:tblGrid>
      <w:tr>
        <w:tc>
          <w:tcPr>
            <w:tcW w:type="dxa" w:w="4703"/>
            <w:shd w:val="clear" w:color="auto" w:fill="142A45"/>
          </w:tcPr>
          <w:p>
            <w:r/>
            <w:r>
              <w:rPr>
                <w:b/>
                <w:color w:val="FFFFFF"/>
                <w:sz w:val="20"/>
              </w:rPr>
              <w:t>Carpeta</w:t>
            </w:r>
          </w:p>
        </w:tc>
        <w:tc>
          <w:tcPr>
            <w:tcW w:type="dxa" w:w="4703"/>
            <w:shd w:val="clear" w:color="auto" w:fill="142A45"/>
          </w:tcPr>
          <w:p>
            <w:r/>
            <w:r>
              <w:rPr>
                <w:b/>
                <w:color w:val="FFFFFF"/>
                <w:sz w:val="20"/>
              </w:rPr>
              <w:t>Contenido</w:t>
            </w:r>
          </w:p>
        </w:tc>
      </w:tr>
      <w:tr>
        <w:tc>
          <w:tcPr>
            <w:tcW w:type="dxa" w:w="4703"/>
          </w:tcPr>
          <w:p>
            <w:r/>
            <w:r>
              <w:rPr>
                <w:sz w:val="20"/>
              </w:rPr>
              <w:t>01 Marco Normativo</w:t>
            </w:r>
          </w:p>
        </w:tc>
        <w:tc>
          <w:tcPr>
            <w:tcW w:type="dxa" w:w="4703"/>
          </w:tcPr>
          <w:p>
            <w:r/>
            <w:r>
              <w:rPr>
                <w:sz w:val="20"/>
              </w:rPr>
              <w:t>Charter (v3.3), IPS (v11.0), Operations Manual (v4.5), Governance &amp; Succession Framework (v5.1)</w:t>
            </w:r>
          </w:p>
        </w:tc>
      </w:tr>
      <w:tr>
        <w:tc>
          <w:tcPr>
            <w:tcW w:type="dxa" w:w="4703"/>
          </w:tcPr>
          <w:p>
            <w:r/>
            <w:r>
              <w:rPr>
                <w:sz w:val="20"/>
              </w:rPr>
              <w:t>02 Investment Universe</w:t>
            </w:r>
          </w:p>
        </w:tc>
        <w:tc>
          <w:tcPr>
            <w:tcW w:type="dxa" w:w="4703"/>
          </w:tcPr>
          <w:p>
            <w:r/>
            <w:r>
              <w:rPr>
                <w:sz w:val="20"/>
              </w:rPr>
              <w:t>Subcarpetas por ticker con todo el historial analítico</w:t>
            </w:r>
          </w:p>
        </w:tc>
      </w:tr>
      <w:tr>
        <w:tc>
          <w:tcPr>
            <w:tcW w:type="dxa" w:w="4703"/>
          </w:tcPr>
          <w:p>
            <w:r/>
            <w:r>
              <w:rPr>
                <w:sz w:val="20"/>
              </w:rPr>
              <w:t>03 Models and Briefs</w:t>
            </w:r>
          </w:p>
        </w:tc>
        <w:tc>
          <w:tcPr>
            <w:tcW w:type="dxa" w:w="4703"/>
          </w:tcPr>
          <w:p>
            <w:r/>
            <w:r>
              <w:rPr>
                <w:sz w:val="20"/>
              </w:rPr>
              <w:t>Modelos transversales no asociados a un ticker específico</w:t>
            </w:r>
          </w:p>
        </w:tc>
      </w:tr>
      <w:tr>
        <w:tc>
          <w:tcPr>
            <w:tcW w:type="dxa" w:w="4703"/>
          </w:tcPr>
          <w:p>
            <w:r/>
            <w:r>
              <w:rPr>
                <w:sz w:val="20"/>
              </w:rPr>
              <w:t>04 Decision Pack</w:t>
            </w:r>
          </w:p>
        </w:tc>
        <w:tc>
          <w:tcPr>
            <w:tcW w:type="dxa" w:w="4703"/>
          </w:tcPr>
          <w:p>
            <w:r/>
            <w:r>
              <w:rPr>
                <w:sz w:val="20"/>
              </w:rPr>
              <w:t>Investment Decision Packs trimestrales</w:t>
            </w:r>
          </w:p>
        </w:tc>
      </w:tr>
      <w:tr>
        <w:tc>
          <w:tcPr>
            <w:tcW w:type="dxa" w:w="4703"/>
          </w:tcPr>
          <w:p>
            <w:r/>
            <w:r>
              <w:rPr>
                <w:sz w:val="20"/>
              </w:rPr>
              <w:t>05 Reporting</w:t>
            </w:r>
          </w:p>
        </w:tc>
        <w:tc>
          <w:tcPr>
            <w:tcW w:type="dxa" w:w="4703"/>
          </w:tcPr>
          <w:p>
            <w:r/>
            <w:r>
              <w:rPr>
                <w:sz w:val="20"/>
              </w:rPr>
              <w:t>Subcarpetas mensual / trimestral / anual</w:t>
            </w:r>
          </w:p>
        </w:tc>
      </w:tr>
      <w:tr>
        <w:tc>
          <w:tcPr>
            <w:tcW w:type="dxa" w:w="4703"/>
          </w:tcPr>
          <w:p>
            <w:r/>
            <w:r>
              <w:rPr>
                <w:sz w:val="20"/>
              </w:rPr>
              <w:t>06 Audit Trail</w:t>
            </w:r>
          </w:p>
        </w:tc>
        <w:tc>
          <w:tcPr>
            <w:tcW w:type="dxa" w:w="4703"/>
          </w:tcPr>
          <w:p>
            <w:r/>
            <w:r>
              <w:rPr>
                <w:sz w:val="20"/>
              </w:rPr>
              <w:t>Logs de auditoría del proceso</w:t>
            </w:r>
          </w:p>
        </w:tc>
      </w:tr>
      <w:tr>
        <w:tc>
          <w:tcPr>
            <w:tcW w:type="dxa" w:w="4703"/>
          </w:tcPr>
          <w:p>
            <w:r/>
            <w:r>
              <w:rPr>
                <w:sz w:val="20"/>
              </w:rPr>
              <w:t>07 Brand and Templates</w:t>
            </w:r>
          </w:p>
        </w:tc>
        <w:tc>
          <w:tcPr>
            <w:tcW w:type="dxa" w:w="4703"/>
          </w:tcPr>
          <w:p>
            <w:r/>
            <w:r>
              <w:rPr>
                <w:sz w:val="20"/>
              </w:rPr>
              <w:t>Brandbook y plantillas</w:t>
            </w:r>
          </w:p>
        </w:tc>
      </w:tr>
      <w:tr>
        <w:tc>
          <w:tcPr>
            <w:tcW w:type="dxa" w:w="4703"/>
          </w:tcPr>
          <w:p>
            <w:r/>
            <w:r>
              <w:rPr>
                <w:sz w:val="20"/>
              </w:rPr>
              <w:t>08 Operations and OS</w:t>
            </w:r>
          </w:p>
        </w:tc>
        <w:tc>
          <w:tcPr>
            <w:tcW w:type="dxa" w:w="4703"/>
          </w:tcPr>
          <w:p>
            <w:r/>
            <w:r>
              <w:rPr>
                <w:sz w:val="20"/>
              </w:rPr>
              <w:t>Documentación operativa y técnica</w:t>
            </w:r>
          </w:p>
        </w:tc>
      </w:tr>
      <w:tr>
        <w:tc>
          <w:tcPr>
            <w:tcW w:type="dxa" w:w="4703"/>
          </w:tcPr>
          <w:p>
            <w:r/>
            <w:r>
              <w:rPr>
                <w:sz w:val="20"/>
              </w:rPr>
              <w:t>09 Decision Journal</w:t>
            </w:r>
          </w:p>
        </w:tc>
        <w:tc>
          <w:tcPr>
            <w:tcW w:type="dxa" w:w="4703"/>
          </w:tcPr>
          <w:p>
            <w:r/>
            <w:r>
              <w:rPr>
                <w:sz w:val="20"/>
              </w:rPr>
              <w:t>Archivo institucional inmutable del Decision Journal: un PDF firmado por entrada cerrada (BUY, PASS, SELL) exportado desde la capa operativa de dceholdings.app. Las entradas de corrección se archivan como PDFs adicionales sin reemplazar a los originales (8.3).</w:t>
            </w:r>
          </w:p>
        </w:tc>
      </w:tr>
    </w:tbl>
    <w:p>
      <w:pPr>
        <w:spacing w:after="120"/>
      </w:pPr>
      <w:r>
        <w:rPr>
          <w:b w:val="0"/>
          <w:i w:val="0"/>
          <w:sz w:val="22"/>
        </w:rPr>
        <w:t>Cada subcarpeta por ticker contiene a su vez:</w:t>
      </w:r>
    </w:p>
    <w:p>
      <w:pPr>
        <w:pStyle w:val="ListBullet"/>
        <w:spacing w:after="60"/>
        <w:ind w:left="425"/>
      </w:pPr>
      <w:r>
        <w:rPr>
          <w:sz w:val="22"/>
        </w:rPr>
        <w:t>quick_reviews — Quick Reviews por versión.</w:t>
      </w:r>
    </w:p>
    <w:p>
      <w:pPr>
        <w:pStyle w:val="ListBullet"/>
        <w:spacing w:after="60"/>
        <w:ind w:left="425"/>
      </w:pPr>
      <w:r>
        <w:rPr>
          <w:sz w:val="22"/>
        </w:rPr>
        <w:t>models — modelos financieros y actualizaciones incrementales.</w:t>
      </w:r>
    </w:p>
    <w:p>
      <w:pPr>
        <w:pStyle w:val="ListBullet"/>
        <w:spacing w:after="60"/>
        <w:ind w:left="425"/>
      </w:pPr>
      <w:r>
        <w:rPr>
          <w:sz w:val="22"/>
        </w:rPr>
        <w:t>briefs — Company Briefs por versión.</w:t>
      </w:r>
    </w:p>
    <w:p>
      <w:pPr>
        <w:pStyle w:val="ListBullet"/>
        <w:spacing w:after="60"/>
        <w:ind w:left="425"/>
      </w:pPr>
      <w:r>
        <w:rPr>
          <w:sz w:val="22"/>
        </w:rPr>
        <w:t>adversarial — insumos cuantitativos Bull / Bear / CIO.</w:t>
      </w:r>
    </w:p>
    <w:p>
      <w:pPr>
        <w:pStyle w:val="ListBullet"/>
        <w:spacing w:after="60"/>
        <w:ind w:left="425"/>
      </w:pPr>
      <w:r>
        <w:rPr>
          <w:sz w:val="22"/>
        </w:rPr>
        <w:t>memos — Bull Memo y Bear Memo.</w:t>
      </w:r>
    </w:p>
    <w:p>
      <w:pPr>
        <w:pStyle w:val="ListBullet"/>
        <w:spacing w:after="60"/>
        <w:ind w:left="425"/>
      </w:pPr>
      <w:r>
        <w:rPr>
          <w:sz w:val="22"/>
        </w:rPr>
        <w:t>probability_worksheets — Probability Worksheet firmado por debate (snapshot del tab Probability con pesos y justificación escrita).</w:t>
      </w:r>
    </w:p>
    <w:p>
      <w:pPr>
        <w:pStyle w:val="ListBullet"/>
        <w:spacing w:after="60"/>
        <w:ind w:left="425"/>
      </w:pPr>
      <w:r>
        <w:rPr>
          <w:sz w:val="22"/>
        </w:rPr>
        <w:t>reunderwriting — un Quarterly Re-Underwriting de ocho secciones por trimestre.</w:t>
      </w:r>
    </w:p>
    <w:p>
      <w:pPr>
        <w:pStyle w:val="ListBullet"/>
        <w:spacing w:after="60"/>
        <w:ind w:left="425"/>
      </w:pPr>
      <w:r>
        <w:rPr>
          <w:sz w:val="22"/>
        </w:rPr>
        <w:t>adjustments — Position Adjustment Memos firmados durante la vida de la posición.</w:t>
      </w:r>
    </w:p>
    <w:p>
      <w:pPr>
        <w:pStyle w:val="ListBullet"/>
        <w:spacing w:after="60"/>
        <w:ind w:left="425"/>
      </w:pPr>
      <w:r>
        <w:rPr>
          <w:sz w:val="22"/>
        </w:rPr>
        <w:t>closeout — Position Close Memo final cuando se cierra la posición.</w:t>
      </w:r>
    </w:p>
    <w:p>
      <w:pPr>
        <w:pStyle w:val="ListBullet"/>
        <w:spacing w:after="60"/>
        <w:ind w:left="425"/>
      </w:pPr>
      <w:r>
        <w:rPr>
          <w:sz w:val="22"/>
        </w:rPr>
        <w:t>monitoring — KPIs principales en formato estructurado.</w:t>
      </w:r>
    </w:p>
    <w:p>
      <w:pPr>
        <w:keepNext/>
        <w:spacing w:before="240" w:after="120"/>
      </w:pPr>
      <w:r>
        <w:rPr>
          <w:rFonts w:ascii="Calibri" w:hAnsi="Calibri"/>
          <w:b/>
          <w:color w:val="142A45"/>
          <w:sz w:val="32"/>
        </w:rPr>
        <w:t>8.3 Decision Journal</w:t>
      </w:r>
    </w:p>
    <w:p>
      <w:pPr>
        <w:spacing w:after="120"/>
      </w:pPr>
      <w:r>
        <w:rPr>
          <w:b w:val="0"/>
          <w:i w:val="0"/>
          <w:sz w:val="22"/>
        </w:rPr>
        <w:t>El Journal es la memoria institucional viviente del holding. No es opcional ni cosmético: es donde se materializa el principio Proceso sobre Resultado.</w:t>
      </w:r>
    </w:p>
    <w:p>
      <w:pPr>
        <w:spacing w:after="120"/>
      </w:pPr>
      <w:r>
        <w:rPr>
          <w:b/>
          <w:i w:val="0"/>
          <w:sz w:val="22"/>
        </w:rPr>
        <w:t>Tipos de entrada</w:t>
      </w:r>
    </w:p>
    <w:tbl>
      <w:tblPr>
        <w:tblStyle w:val="LightGrid-Accent1"/>
        <w:tblW w:type="auto" w:w="0"/>
        <w:tblLayout w:type="autofit"/>
        <w:tblLook w:firstColumn="1" w:firstRow="1" w:lastColumn="0" w:lastRow="0" w:noHBand="0" w:noVBand="1" w:val="04A0"/>
      </w:tblPr>
      <w:tblGrid>
        <w:gridCol w:w="3135"/>
        <w:gridCol w:w="3135"/>
        <w:gridCol w:w="3135"/>
      </w:tblGrid>
      <w:tr>
        <w:tc>
          <w:tcPr>
            <w:tcW w:type="dxa" w:w="3135"/>
            <w:shd w:val="clear" w:color="auto" w:fill="142A45"/>
          </w:tcPr>
          <w:p>
            <w:r/>
            <w:r>
              <w:rPr>
                <w:b/>
                <w:color w:val="FFFFFF"/>
                <w:sz w:val="20"/>
              </w:rPr>
              <w:t>Tipo</w:t>
            </w:r>
          </w:p>
        </w:tc>
        <w:tc>
          <w:tcPr>
            <w:tcW w:type="dxa" w:w="3135"/>
            <w:shd w:val="clear" w:color="auto" w:fill="142A45"/>
          </w:tcPr>
          <w:p>
            <w:r/>
            <w:r>
              <w:rPr>
                <w:b/>
                <w:color w:val="FFFFFF"/>
                <w:sz w:val="20"/>
              </w:rPr>
              <w:t>Origen</w:t>
            </w:r>
          </w:p>
        </w:tc>
        <w:tc>
          <w:tcPr>
            <w:tcW w:type="dxa" w:w="3135"/>
            <w:shd w:val="clear" w:color="auto" w:fill="142A45"/>
          </w:tcPr>
          <w:p>
            <w:r/>
            <w:r>
              <w:rPr>
                <w:b/>
                <w:color w:val="FFFFFF"/>
                <w:sz w:val="20"/>
              </w:rPr>
              <w:t>Contenido obligatorio</w:t>
            </w:r>
          </w:p>
        </w:tc>
      </w:tr>
      <w:tr>
        <w:tc>
          <w:tcPr>
            <w:tcW w:type="dxa" w:w="3135"/>
          </w:tcPr>
          <w:p>
            <w:r/>
            <w:r>
              <w:rPr>
                <w:sz w:val="20"/>
              </w:rPr>
              <w:t>BUY</w:t>
            </w:r>
          </w:p>
        </w:tc>
        <w:tc>
          <w:tcPr>
            <w:tcW w:type="dxa" w:w="3135"/>
          </w:tcPr>
          <w:p>
            <w:r/>
            <w:r>
              <w:rPr>
                <w:sz w:val="20"/>
              </w:rPr>
              <w:t>3.5</w:t>
            </w:r>
          </w:p>
        </w:tc>
        <w:tc>
          <w:tcPr>
            <w:tcW w:type="dxa" w:w="3135"/>
          </w:tcPr>
          <w:p>
            <w:r/>
            <w:r>
              <w:rPr>
                <w:sz w:val="20"/>
              </w:rPr>
              <w:t>Tesis estructurada, pre-mortem con failure modes, sizing, precio de entrada, snapshot del Probability Worksheet con pesos firmados y verdict de los cuatro gates</w:t>
            </w:r>
          </w:p>
        </w:tc>
      </w:tr>
      <w:tr>
        <w:tc>
          <w:tcPr>
            <w:tcW w:type="dxa" w:w="3135"/>
          </w:tcPr>
          <w:p>
            <w:r/>
            <w:r>
              <w:rPr>
                <w:sz w:val="20"/>
              </w:rPr>
              <w:t>FOLLOW</w:t>
            </w:r>
          </w:p>
        </w:tc>
        <w:tc>
          <w:tcPr>
            <w:tcW w:type="dxa" w:w="3135"/>
          </w:tcPr>
          <w:p>
            <w:r/>
            <w:r>
              <w:rPr>
                <w:sz w:val="20"/>
              </w:rPr>
              <w:t>3.5</w:t>
            </w:r>
          </w:p>
        </w:tc>
        <w:tc>
          <w:tcPr>
            <w:tcW w:type="dxa" w:w="3135"/>
          </w:tcPr>
          <w:p>
            <w:r/>
            <w:r>
              <w:rPr>
                <w:sz w:val="20"/>
              </w:rPr>
              <w:t>Resumen del research, condiciones que reactivarían la idea, alta en el followed universe, snapshot del Probability Worksheet con pesos firmados</w:t>
            </w:r>
          </w:p>
        </w:tc>
      </w:tr>
      <w:tr>
        <w:tc>
          <w:tcPr>
            <w:tcW w:type="dxa" w:w="3135"/>
          </w:tcPr>
          <w:p>
            <w:r/>
            <w:r>
              <w:rPr>
                <w:sz w:val="20"/>
              </w:rPr>
              <w:t>PASS</w:t>
            </w:r>
          </w:p>
        </w:tc>
        <w:tc>
          <w:tcPr>
            <w:tcW w:type="dxa" w:w="3135"/>
          </w:tcPr>
          <w:p>
            <w:r/>
            <w:r>
              <w:rPr>
                <w:sz w:val="20"/>
              </w:rPr>
              <w:t>3.5</w:t>
            </w:r>
          </w:p>
        </w:tc>
        <w:tc>
          <w:tcPr>
            <w:tcW w:type="dxa" w:w="3135"/>
          </w:tcPr>
          <w:p>
            <w:r/>
            <w:r>
              <w:rPr>
                <w:sz w:val="20"/>
              </w:rPr>
              <w:t>Razón estructurada del descarte tras research completo, snapshot del Probability Worksheet con pesos firmados. No genera seguimiento.</w:t>
            </w:r>
          </w:p>
        </w:tc>
      </w:tr>
      <w:tr>
        <w:tc>
          <w:tcPr>
            <w:tcW w:type="dxa" w:w="3135"/>
          </w:tcPr>
          <w:p>
            <w:r/>
            <w:r>
              <w:rPr>
                <w:sz w:val="20"/>
              </w:rPr>
              <w:t>SELL</w:t>
            </w:r>
          </w:p>
        </w:tc>
        <w:tc>
          <w:tcPr>
            <w:tcW w:type="dxa" w:w="3135"/>
          </w:tcPr>
          <w:p>
            <w:r/>
            <w:r>
              <w:rPr>
                <w:sz w:val="20"/>
              </w:rPr>
              <w:t>5.3</w:t>
            </w:r>
          </w:p>
        </w:tc>
        <w:tc>
          <w:tcPr>
            <w:tcW w:type="dxa" w:w="3135"/>
          </w:tcPr>
          <w:p>
            <w:r/>
            <w:r>
              <w:rPr>
                <w:sz w:val="20"/>
              </w:rPr>
              <w:t>Position Close Memo: motivo de salida, valoración al cierre, retorno realizado, post-mortem, lección aprendida, enlace al BUY original</w:t>
            </w:r>
          </w:p>
        </w:tc>
      </w:tr>
    </w:tbl>
    <w:p>
      <w:pPr>
        <w:spacing w:after="120"/>
      </w:pPr>
      <w:r>
        <w:rPr>
          <w:b w:val="0"/>
          <w:i w:val="0"/>
          <w:sz w:val="22"/>
        </w:rPr>
        <w:t>Los ajustes parciales (trim o add) NO abren una nueva entrada en el Journal. Se documentan como anexos a la posición original mediante el Position Adjustment Memo (5.5) y mantienen la trazabilidad con la entrada BUY que abrió la posición.</w:t>
      </w:r>
    </w:p>
    <w:p>
      <w:pPr>
        <w:spacing w:after="120"/>
      </w:pPr>
      <w:r>
        <w:rPr>
          <w:b/>
          <w:i w:val="0"/>
          <w:sz w:val="22"/>
        </w:rPr>
        <w:t>Reglas del Journal</w:t>
      </w:r>
    </w:p>
    <w:p>
      <w:pPr>
        <w:spacing w:after="60"/>
        <w:ind w:left="425" w:hanging="283"/>
      </w:pPr>
      <w:r>
        <w:rPr>
          <w:b/>
          <w:sz w:val="22"/>
        </w:rPr>
        <w:t xml:space="preserve">1. </w:t>
      </w:r>
      <w:r>
        <w:rPr>
          <w:sz w:val="22"/>
        </w:rPr>
        <w:t>Toda decisión post-debate adversarial se registra sin excepción.</w:t>
      </w:r>
    </w:p>
    <w:p>
      <w:pPr>
        <w:spacing w:after="60"/>
        <w:ind w:left="425" w:hanging="283"/>
      </w:pPr>
      <w:r>
        <w:rPr>
          <w:b/>
          <w:sz w:val="22"/>
        </w:rPr>
        <w:t xml:space="preserve">2. </w:t>
      </w:r>
      <w:r>
        <w:rPr>
          <w:sz w:val="22"/>
        </w:rPr>
        <w:t>Las entradas son inmutables: si se descubre un error, se crea una entrada de corrección que enlaza con la original.</w:t>
      </w:r>
    </w:p>
    <w:p>
      <w:pPr>
        <w:spacing w:after="60"/>
        <w:ind w:left="425" w:hanging="283"/>
      </w:pPr>
      <w:r>
        <w:rPr>
          <w:b/>
          <w:sz w:val="22"/>
        </w:rPr>
        <w:t xml:space="preserve">3. </w:t>
      </w:r>
      <w:r>
        <w:rPr>
          <w:sz w:val="22"/>
        </w:rPr>
        <w:t>Cada BUY genera automáticamente su pre-mortem inicial (failure modes y KPIs de seguimiento).</w:t>
      </w:r>
    </w:p>
    <w:p>
      <w:pPr>
        <w:spacing w:after="60"/>
        <w:ind w:left="425" w:hanging="283"/>
      </w:pPr>
      <w:r>
        <w:rPr>
          <w:b/>
          <w:sz w:val="22"/>
        </w:rPr>
        <w:t xml:space="preserve">4. </w:t>
      </w:r>
      <w:r>
        <w:rPr>
          <w:sz w:val="22"/>
        </w:rPr>
        <w:t>Cada SELL cierra el loop: archiva el pre-mortem original, crea el post-mortem y compara research vs. outcome.</w:t>
      </w:r>
    </w:p>
    <w:p>
      <w:pPr>
        <w:spacing w:after="60"/>
        <w:ind w:left="425" w:hanging="283"/>
      </w:pPr>
      <w:r>
        <w:rPr>
          <w:b/>
          <w:sz w:val="22"/>
        </w:rPr>
        <w:t xml:space="preserve">5. </w:t>
      </w:r>
      <w:r>
        <w:rPr>
          <w:sz w:val="22"/>
        </w:rPr>
        <w:t>Toda entrada BUY, FOLLOW o PASS lleva adjunto el snapshot del Probability Worksheet firmado por el CIO al momento del debate (pesos Bear/Base/Bull, IRRs base, justificación escrita y verdict de los cuatro gates).</w:t>
      </w:r>
    </w:p>
    <w:p>
      <w:pPr>
        <w:spacing w:after="120"/>
      </w:pPr>
      <w:r>
        <w:rPr>
          <w:b/>
          <w:i w:val="0"/>
          <w:sz w:val="22"/>
        </w:rPr>
        <w:t>Implementación física</w:t>
      </w:r>
    </w:p>
    <w:p>
      <w:pPr>
        <w:spacing w:after="120"/>
      </w:pPr>
      <w:r>
        <w:rPr>
          <w:b w:val="0"/>
          <w:i w:val="0"/>
          <w:sz w:val="22"/>
        </w:rPr>
        <w:t>El Decision Journal opera bajo arquitectura híbrida especificada en IPS §4.6. La capa operativa viva reside en la base de datos de dceholdings.app, donde una tabla append-only registra cada entrada con timestamp inmutable y autor identificado. La capa de archivo institucional reside en la carpeta 09 Decision Journal del Data Room, donde cada entrada cerrada queda como PDF firmado.</w:t>
      </w:r>
    </w:p>
    <w:p>
      <w:pPr>
        <w:pStyle w:val="ListBullet"/>
        <w:spacing w:after="60"/>
        <w:ind w:left="425"/>
      </w:pPr>
      <w:r>
        <w:rPr>
          <w:sz w:val="22"/>
        </w:rPr>
        <w:t>Capa operativa (Supabase): tabla con triggers que bloquean UPDATE y DELETE a nivel de motor de base de datos. Cada entrada lleva identificador único, timestamp, tipo (BUY / FOLLOW / PASS / SELL), CIO firmante y referencias cruzadas al Data Room (Company Brief, memos adversariales, Probability Worksheet, Position Close Memo cuando aplique).</w:t>
      </w:r>
    </w:p>
    <w:p>
      <w:pPr>
        <w:pStyle w:val="ListBullet"/>
        <w:spacing w:after="60"/>
        <w:ind w:left="425"/>
      </w:pPr>
      <w:r>
        <w:rPr>
          <w:sz w:val="22"/>
        </w:rPr>
        <w:t>Capa de archivo (Data Room 09): al ratificar el CIO una entrada BUY, PASS o SELL, el sistema exporta la entrada a PDF firmado (con el Probability Worksheet embebido para BUY/FOLLOW/PASS) y lo deposita en 09 Decision Journal del Data Room. Las entradas FOLLOW viven solo en base de datos hasta que se conviertan en BUY o se cierren como PASS, momento en el cual se materializan en PDF.</w:t>
      </w:r>
    </w:p>
    <w:p>
      <w:pPr>
        <w:pStyle w:val="ListBullet"/>
        <w:spacing w:after="60"/>
        <w:ind w:left="425"/>
      </w:pPr>
      <w:r>
        <w:rPr>
          <w:sz w:val="22"/>
        </w:rPr>
        <w:t>Procedimiento de corrección: ante un error material descubierto post-cierre, el CIO crea una entrada de corrección nueva en la base de datos que (i) referencia el identificador de la entrada corregida, (ii) describe el error y la enmienda, (iii) queda vinculada a la entrada original sin sobreescribirla. La entrada original permanece consultable en ambas capas; el PDF original en 09 Decision Journal no se reemplaza, se añade el PDF de la corrección.</w:t>
      </w:r>
    </w:p>
    <w:p>
      <w:pPr>
        <w:pStyle w:val="ListBullet"/>
        <w:spacing w:after="60"/>
        <w:ind w:left="425"/>
      </w:pPr>
      <w:r>
        <w:rPr>
          <w:sz w:val="22"/>
        </w:rPr>
        <w:t>Skills que escriben en el Journal: dce-decision-buy, dce-decision-pass y dce-decision-sell son los únicos procesos autorizados a insertar entradas. Cualquier escritura manual queda bloqueada por RLS a nivel de Supabase.</w:t>
      </w:r>
    </w:p>
    <w:p>
      <w:r>
        <w:br w:type="page"/>
      </w:r>
    </w:p>
    <w:p>
      <w:pPr>
        <w:keepNext/>
        <w:spacing w:before="240" w:after="120"/>
      </w:pPr>
      <w:r>
        <w:rPr>
          <w:rFonts w:ascii="Calibri" w:hAnsi="Calibri"/>
          <w:b/>
          <w:color w:val="142A45"/>
          <w:sz w:val="44"/>
        </w:rPr>
        <w:t>9.0 Triggers de recalibración</w:t>
      </w:r>
    </w:p>
    <w:p>
      <w:pPr>
        <w:spacing w:after="120"/>
      </w:pPr>
      <w:r>
        <w:rPr>
          <w:b w:val="0"/>
          <w:i w:val="0"/>
          <w:sz w:val="22"/>
        </w:rPr>
        <w:t>Los siguientes triggers, definidos en los documentos fundacionales (Charter, IPS y Governance), disparan una recalibración coordinada del manual:</w:t>
      </w:r>
    </w:p>
    <w:tbl>
      <w:tblPr>
        <w:tblStyle w:val="LightGrid-Accent1"/>
        <w:tblW w:type="auto" w:w="0"/>
        <w:tblLayout w:type="autofit"/>
        <w:tblLook w:firstColumn="1" w:firstRow="1" w:lastColumn="0" w:lastRow="0" w:noHBand="0" w:noVBand="1" w:val="04A0"/>
      </w:tblPr>
      <w:tblGrid>
        <w:gridCol w:w="4703"/>
        <w:gridCol w:w="4703"/>
      </w:tblGrid>
      <w:tr>
        <w:tc>
          <w:tcPr>
            <w:tcW w:type="dxa" w:w="4703"/>
            <w:shd w:val="clear" w:color="auto" w:fill="142A45"/>
          </w:tcPr>
          <w:p>
            <w:r/>
            <w:r>
              <w:rPr>
                <w:b/>
                <w:color w:val="FFFFFF"/>
                <w:sz w:val="20"/>
              </w:rPr>
              <w:t>Trigger</w:t>
            </w:r>
          </w:p>
        </w:tc>
        <w:tc>
          <w:tcPr>
            <w:tcW w:type="dxa" w:w="4703"/>
            <w:shd w:val="clear" w:color="auto" w:fill="142A45"/>
          </w:tcPr>
          <w:p>
            <w:r/>
            <w:r>
              <w:rPr>
                <w:b/>
                <w:color w:val="FFFFFF"/>
                <w:sz w:val="20"/>
              </w:rPr>
              <w:t>Tipo de cambio operativo</w:t>
            </w:r>
          </w:p>
        </w:tc>
      </w:tr>
      <w:tr>
        <w:tc>
          <w:tcPr>
            <w:tcW w:type="dxa" w:w="4703"/>
          </w:tcPr>
          <w:p>
            <w:r/>
            <w:r>
              <w:rPr>
                <w:sz w:val="20"/>
              </w:rPr>
              <w:t>Umbral de AUM del portafolio financiero del holding definido en Governance (excluye participaciones en empresas operativas controladas como Corporación DCE, que cuentan con gobierno corporativo propio)</w:t>
            </w:r>
          </w:p>
        </w:tc>
        <w:tc>
          <w:tcPr>
            <w:tcW w:type="dxa" w:w="4703"/>
          </w:tcPr>
          <w:p>
            <w:r/>
            <w:r>
              <w:rPr>
                <w:sz w:val="20"/>
              </w:rPr>
              <w:t>Revisión de la estructura del equipo de inversión y eventual reinstauración de un Comité de Inversiones</w:t>
            </w:r>
          </w:p>
        </w:tc>
      </w:tr>
      <w:tr>
        <w:tc>
          <w:tcPr>
            <w:tcW w:type="dxa" w:w="4703"/>
          </w:tcPr>
          <w:p>
            <w:r/>
            <w:r>
              <w:rPr>
                <w:sz w:val="20"/>
              </w:rPr>
              <w:t>Evento de incapacidad o fallecimiento del CIO</w:t>
            </w:r>
          </w:p>
        </w:tc>
        <w:tc>
          <w:tcPr>
            <w:tcW w:type="dxa" w:w="4703"/>
          </w:tcPr>
          <w:p>
            <w:r/>
            <w:r>
              <w:rPr>
                <w:sz w:val="20"/>
              </w:rPr>
              <w:t>Activación del Protocolo de Liquidación bajo régimen actual (Governance §5.2), o del proceso de sucesión operativa bajo régimen objetivo cuando exista Comité de Inversiones constituido.</w:t>
            </w:r>
          </w:p>
        </w:tc>
      </w:tr>
    </w:tbl>
    <w:p>
      <w:pPr>
        <w:spacing w:after="120"/>
      </w:pPr>
      <w:r>
        <w:rPr>
          <w:b w:val="0"/>
          <w:i w:val="0"/>
          <w:sz w:val="22"/>
        </w:rPr>
        <w:t>Cuando se dispara cualquier trigger, se convoca un Annual Review extraordinario y se actualiza este manual junto con los otros tres documentos fundacionales en una pasada coordinada.</w:t>
      </w:r>
    </w:p>
    <w:p>
      <w:r>
        <w:br w:type="page"/>
      </w:r>
    </w:p>
    <w:p>
      <w:pPr>
        <w:keepNext/>
        <w:spacing w:before="240" w:after="120"/>
      </w:pPr>
      <w:r>
        <w:rPr>
          <w:rFonts w:ascii="Calibri" w:hAnsi="Calibri"/>
          <w:b/>
          <w:color w:val="142A45"/>
          <w:sz w:val="44"/>
        </w:rPr>
        <w:t>10.0 Versioning y mantenimiento del manual</w:t>
      </w:r>
    </w:p>
    <w:p>
      <w:pPr>
        <w:spacing w:after="120"/>
      </w:pPr>
      <w:r>
        <w:rPr>
          <w:b w:val="0"/>
          <w:i w:val="0"/>
          <w:sz w:val="22"/>
        </w:rPr>
        <w:t>Este manual se actualiza únicamente cuando cambia el proceso institucional. Los cambios en herramientas internas, parámetros operativos vigentes o versiones de software se reflejan en el Anexo Técnico paralelo, no en este documento.</w:t>
      </w:r>
    </w:p>
    <w:p>
      <w:pPr>
        <w:spacing w:after="120"/>
      </w:pPr>
      <w:r>
        <w:rPr>
          <w:b/>
          <w:i w:val="0"/>
          <w:sz w:val="22"/>
        </w:rPr>
        <w:t>Cadencia mínima de revisión: anual, durante el OS Self-Audit de diciembre.</w:t>
      </w:r>
    </w:p>
    <w:p>
      <w:pPr>
        <w:spacing w:after="120"/>
      </w:pPr>
      <w:r>
        <w:rPr>
          <w:b/>
          <w:i w:val="0"/>
          <w:sz w:val="22"/>
        </w:rPr>
        <w:t>Cadencia extraordinaria: cuando se dispara cualquier trigger de recalibración (ver 9.0).</w:t>
      </w:r>
    </w:p>
    <w:p>
      <w:pPr>
        <w:spacing w:after="120"/>
      </w:pPr>
      <w:r>
        <w:rPr>
          <w:b/>
          <w:i w:val="0"/>
          <w:sz w:val="22"/>
        </w:rPr>
        <w:t>Bumps de versión</w:t>
      </w:r>
    </w:p>
    <w:p>
      <w:pPr>
        <w:pStyle w:val="ListBullet"/>
        <w:spacing w:after="60"/>
        <w:ind w:left="425"/>
      </w:pPr>
      <w:r>
        <w:rPr>
          <w:sz w:val="22"/>
        </w:rPr>
        <w:t>Cambio de major version (vN+1.0): cambio estructural en el ciclo de inversión, en los roles o en los gates.</w:t>
      </w:r>
    </w:p>
    <w:p>
      <w:pPr>
        <w:pStyle w:val="ListBullet"/>
        <w:spacing w:after="60"/>
        <w:ind w:left="425"/>
      </w:pPr>
      <w:r>
        <w:rPr>
          <w:sz w:val="22"/>
        </w:rPr>
        <w:t>Cambio de minor version (vN.x+1): actualización de cadencias, refinamiento de descripciones, incorporación de un nuevo macroproceso al equipo.</w:t>
      </w:r>
    </w:p>
    <w:p>
      <w:pPr>
        <w:spacing w:after="120"/>
      </w:pPr>
      <w:r>
        <w:rPr>
          <w:b w:val="0"/>
          <w:i w:val="0"/>
          <w:sz w:val="22"/>
        </w:rPr>
        <w:t>Aprobación: cualquier cambio al manual lleva la firma del CIO y queda registrado con su justificación en el Data Room.</w:t>
      </w:r>
    </w:p>
    <w:p>
      <w:pPr>
        <w:spacing w:after="120"/>
      </w:pPr>
      <w:r>
        <w:rPr>
          <w:b/>
          <w:i w:val="0"/>
          <w:sz w:val="22"/>
        </w:rPr>
        <w:t>Registro de cambios materiales</w:t>
      </w:r>
    </w:p>
    <w:p>
      <w:pPr>
        <w:spacing w:after="60"/>
        <w:ind w:left="425" w:hanging="283"/>
      </w:pPr>
      <w:r>
        <w:rPr>
          <w:b/>
          <w:sz w:val="22"/>
        </w:rPr>
        <w:t xml:space="preserve">1. </w:t>
      </w:r>
      <w:r>
        <w:rPr>
          <w:b/>
          <w:sz w:val="22"/>
        </w:rPr>
        <w:t>v4.5 — 27 de mayo de 2026:</w:t>
      </w:r>
      <w:r>
        <w:rPr>
          <w:sz w:val="22"/>
        </w:rPr>
        <w:t xml:space="preserve"> Incorpora el Probability Worksheet como paso obligatorio del debate adversarial (§3.5) entre Pre-Mortem refinement y registro en el Journal. El worksheet vive en el dashboard de la compañía (tab Probability de /company.html) y consiste en asignación explícita de pesos Bear/Base/Bull sobre los IRRs heredados del Thesis Builder y del Thesis Breaker, con justificación escrita y verificación de cuatro gates institucionales (hurdle ≥12%, asimetría ≥2x, expected loss ≥-3%, downside Bear ≥-20%). Su veredicto (BUY CANDIDATE / BORDERLINE / REVISAR / PASS) es input al Journal Entry, no sustituye la decisión del CIO. Cambios derivados: nuevo gate G5 ampliado (§7.0), nueva subcarpeta probability_worksheets bajo cada ticker en el Data Room (§8.2), snapshot del worksheet firmado adjunto a toda entrada BUY/FOLLOW/PASS del Decision Journal (§8.3), y bloque de quince minutos agregado al Debate Adversarial en cadencias semanales (§6.2). Compatible con el ciclo operativo y la jerarquía documental establecidos en v4.4.</w:t>
      </w:r>
    </w:p>
    <w:p>
      <w:pPr>
        <w:spacing w:after="60"/>
        <w:ind w:left="425" w:hanging="283"/>
      </w:pPr>
      <w:r>
        <w:rPr>
          <w:b/>
          <w:sz w:val="22"/>
        </w:rPr>
        <w:t xml:space="preserve">2. </w:t>
      </w:r>
      <w:r>
        <w:rPr>
          <w:b/>
          <w:sz w:val="22"/>
        </w:rPr>
        <w:t>v4.4 — 1 de abril de 2026:</w:t>
      </w:r>
      <w:r>
        <w:rPr>
          <w:sz w:val="22"/>
        </w:rPr>
        <w:t xml:space="preserve"> versión inicial pre-publicación. El Operations Manual aterriza el proceso operativo de DCE Holdings bajo régimen vigente (AUM &lt; USD 10M) y se alinea con Charter v3.3, IPS v11.0 y Governance v5.1. Contenido: jerarquía documental (Charter &gt; IPS &gt; Operations Manual; Governance como marco institucional paralelo), roles operativos (CIO + Investment Associate), ciclo de inversión completo (Triage, Quick Review, Deep Dive, Fase Adversarial con Bull Memo / Bear Memo, Decisión y Journal, Ejecución del trade), disciplina post-decisión (Quarterly Re-Underwriting de ocho secciones, Position Close Memo en SELL, Position Adjustment Memo en trims/adds, reporting mensual/trimestral/anual), cadencias operativas (diarias, semanales, mensuales, trimestrales, anuales), ocho gates de calidad, Data Room en nueve carpetas con Decision Journal en carpeta 09 (arquitectura híbrida Supabase append-only + PDF firmado), triggers de recalibración (umbral USD 10M AUM e incapacidad/fallecimiento del CIO), y glosario completo. Documento de referencia: ningún párrafo ha sido publicado antes de esta versión.</w:t>
      </w:r>
    </w:p>
    <w:p>
      <w:r>
        <w:br w:type="page"/>
      </w:r>
    </w:p>
    <w:p>
      <w:pPr>
        <w:keepNext/>
        <w:spacing w:before="240" w:after="120"/>
      </w:pPr>
      <w:r>
        <w:rPr>
          <w:rFonts w:ascii="Calibri" w:hAnsi="Calibri"/>
          <w:b/>
          <w:color w:val="142A45"/>
          <w:sz w:val="44"/>
        </w:rPr>
        <w:t>11.0 Glosario</w:t>
      </w:r>
    </w:p>
    <w:p>
      <w:pPr>
        <w:spacing w:after="120"/>
      </w:pPr>
      <w:r>
        <w:rPr>
          <w:b w:val="0"/>
          <w:i w:val="0"/>
          <w:sz w:val="22"/>
        </w:rPr>
        <w:t>Términos clave del proceso institucional de DCE Holdings. Las herramientas técnicas específicas que implementan cada concepto se documentan en el Anexo Técnico paralelo.</w:t>
      </w:r>
    </w:p>
    <w:p>
      <w:pPr>
        <w:spacing w:after="160"/>
      </w:pPr>
      <w:r>
        <w:rPr>
          <w:b/>
          <w:color w:val="142A45"/>
          <w:sz w:val="22"/>
        </w:rPr>
        <w:t>Adversarial.</w:t>
      </w:r>
      <w:r>
        <w:rPr>
          <w:sz w:val="22"/>
        </w:rPr>
        <w:t xml:space="preserve"> Fase institucional donde una tesis es construida (Bull) y atacada (Bear) en paralelo, con distribución segregada de información y debate moderado por el CIO. Vive en 3.4 del ciclo de inversión.</w:t>
      </w:r>
    </w:p>
    <w:p>
      <w:pPr>
        <w:spacing w:after="160"/>
      </w:pPr>
      <w:r>
        <w:rPr>
          <w:b/>
          <w:color w:val="142A45"/>
          <w:sz w:val="22"/>
        </w:rPr>
        <w:t>Audit Gate.</w:t>
      </w:r>
      <w:r>
        <w:rPr>
          <w:sz w:val="22"/>
        </w:rPr>
        <w:t xml:space="preserve"> Auditoría cruzada entre el modelo financiero y la narrativa del Company Brief al cierre del Deep Dive. La auditoría técnica la ejecuta automáticamente el skill correspondiente; el Associate verifica que el Brief queda completo y respaldado. Si falla, el ticker no avanza a la fase adversarial.</w:t>
      </w:r>
    </w:p>
    <w:p>
      <w:pPr>
        <w:spacing w:after="160"/>
      </w:pPr>
      <w:r>
        <w:rPr>
          <w:b/>
          <w:color w:val="142A45"/>
          <w:sz w:val="22"/>
        </w:rPr>
        <w:t>Base case.</w:t>
      </w:r>
      <w:r>
        <w:rPr>
          <w:sz w:val="22"/>
        </w:rPr>
        <w:t xml:space="preserve"> Documento descriptivo-cuantitativo (Company Brief) sobre una empresa, deliberadamente sin tesis de inversión ni recomendación. Es el punto de partida común para Bull y Bear en la fase adversarial.</w:t>
      </w:r>
    </w:p>
    <w:p>
      <w:pPr>
        <w:spacing w:after="160"/>
      </w:pPr>
      <w:r>
        <w:rPr>
          <w:b/>
          <w:color w:val="142A45"/>
          <w:sz w:val="22"/>
        </w:rPr>
        <w:t>Bull Memo.</w:t>
      </w:r>
      <w:r>
        <w:rPr>
          <w:sz w:val="22"/>
        </w:rPr>
        <w:t xml:space="preserve"> Memo cualitativo construido por el Bull Analyst que defiende la tesis de compra, respaldado por los insumos cuantitativos del lado bull.</w:t>
      </w:r>
    </w:p>
    <w:p>
      <w:pPr>
        <w:spacing w:after="160"/>
      </w:pPr>
      <w:r>
        <w:rPr>
          <w:b/>
          <w:color w:val="142A45"/>
          <w:sz w:val="22"/>
        </w:rPr>
        <w:t>Bear Memo.</w:t>
      </w:r>
      <w:r>
        <w:rPr>
          <w:sz w:val="22"/>
        </w:rPr>
        <w:t xml:space="preserve"> Memo cualitativo construido por el Bear Analyst que estresa la tesis, respaldado por los insumos cuantitativos del lado bear.</w:t>
      </w:r>
    </w:p>
    <w:p>
      <w:pPr>
        <w:spacing w:after="160"/>
      </w:pPr>
      <w:r>
        <w:rPr>
          <w:b/>
          <w:color w:val="142A45"/>
          <w:sz w:val="22"/>
        </w:rPr>
        <w:t>BUY.</w:t>
      </w:r>
      <w:r>
        <w:rPr>
          <w:sz w:val="22"/>
        </w:rPr>
        <w:t xml:space="preserve"> Outcome del ciclo 3.0 en el que la empresa entra a la cartera. Registra en el Journal pre-mortem, sizing, pricing y snapshot del Probability Worksheet firmado, y dispara la ejecución del trade en 3.6.</w:t>
      </w:r>
    </w:p>
    <w:p>
      <w:pPr>
        <w:spacing w:after="160"/>
      </w:pPr>
      <w:r>
        <w:rPr>
          <w:b/>
          <w:color w:val="142A45"/>
          <w:sz w:val="22"/>
        </w:rPr>
        <w:t>Company Brief.</w:t>
      </w:r>
      <w:r>
        <w:rPr>
          <w:sz w:val="22"/>
        </w:rPr>
        <w:t xml:space="preserve"> Ver Base case.</w:t>
      </w:r>
    </w:p>
    <w:p>
      <w:pPr>
        <w:spacing w:after="160"/>
      </w:pPr>
      <w:r>
        <w:rPr>
          <w:b/>
          <w:color w:val="142A45"/>
          <w:sz w:val="22"/>
        </w:rPr>
        <w:t>Cross-examination.</w:t>
      </w:r>
      <w:r>
        <w:rPr>
          <w:sz w:val="22"/>
        </w:rPr>
        <w:t xml:space="preserve"> Bloque del debate en el que el CIO interroga a Bull y Bear con base en su Munger Digital y en la munición cuanti completa.</w:t>
      </w:r>
    </w:p>
    <w:p>
      <w:pPr>
        <w:spacing w:after="160"/>
      </w:pPr>
      <w:r>
        <w:rPr>
          <w:b/>
          <w:color w:val="142A45"/>
          <w:sz w:val="22"/>
        </w:rPr>
        <w:t>Decision Journal.</w:t>
      </w:r>
      <w:r>
        <w:rPr>
          <w:sz w:val="22"/>
        </w:rPr>
        <w:t xml:space="preserve"> Memoria institucional inmutable de todas las decisiones (BUY, FOLLOW, PASS, SELL) tomadas por el holding. Implementación híbrida (IPS §4.6, Operations §8.3): capa operativa viva en base de datos append-only de dceholdings.app con bloqueo técnico de UPDATE/DELETE; capa de archivo en la carpeta 09 Decision Journal del Data Room como PDF firmado por entrada cerrada con Probability Worksheet embebido. Las correcciones se materializan como entrada nueva que referencia la entrada corregida, sin sobreescribir la original.</w:t>
      </w:r>
    </w:p>
    <w:p>
      <w:pPr>
        <w:spacing w:after="160"/>
      </w:pPr>
      <w:r>
        <w:rPr>
          <w:b/>
          <w:color w:val="142A45"/>
          <w:sz w:val="22"/>
        </w:rPr>
        <w:t>Deep Dive.</w:t>
      </w:r>
      <w:r>
        <w:rPr>
          <w:sz w:val="22"/>
        </w:rPr>
        <w:t xml:space="preserve"> Trabajo analítico de una semana para construir la base case auditada de una empresa (3.3).</w:t>
      </w:r>
    </w:p>
    <w:p>
      <w:pPr>
        <w:spacing w:after="160"/>
      </w:pPr>
      <w:r>
        <w:rPr>
          <w:b/>
          <w:color w:val="142A45"/>
          <w:sz w:val="22"/>
        </w:rPr>
        <w:t>Distribución segregada.</w:t>
      </w:r>
      <w:r>
        <w:rPr>
          <w:sz w:val="22"/>
        </w:rPr>
        <w:t xml:space="preserve"> Política institucional que asegura que durante la fase adversarial cada rol recibe únicamente el insumo que le corresponde; los Associates ven sólo su lado, el CIO ve ambos lados más su Munger Digital.</w:t>
      </w:r>
    </w:p>
    <w:p>
      <w:pPr>
        <w:spacing w:after="160"/>
      </w:pPr>
      <w:r>
        <w:rPr>
          <w:b/>
          <w:color w:val="142A45"/>
          <w:sz w:val="22"/>
        </w:rPr>
        <w:t>Failure mode.</w:t>
      </w:r>
      <w:r>
        <w:rPr>
          <w:sz w:val="22"/>
        </w:rPr>
        <w:t xml:space="preserve"> Modo de falla específico de una tesis de inversión, formulado como un KPI cuantificable que dispararía reconsideración o venta.</w:t>
      </w:r>
    </w:p>
    <w:p>
      <w:pPr>
        <w:spacing w:after="160"/>
      </w:pPr>
      <w:r>
        <w:rPr>
          <w:b/>
          <w:color w:val="142A45"/>
          <w:sz w:val="22"/>
        </w:rPr>
        <w:t>FOLLOW.</w:t>
      </w:r>
      <w:r>
        <w:rPr>
          <w:sz w:val="22"/>
        </w:rPr>
        <w:t xml:space="preserve"> Outcome del ciclo 3.0 en el que la empresa no entra ahora pero merece seguimiento activo. Genera alta en el followed universe con tablero de seguimiento trimestral y condiciones documentadas que reactivarían la idea, junto al snapshot del Probability Worksheet firmado.</w:t>
      </w:r>
    </w:p>
    <w:p>
      <w:pPr>
        <w:spacing w:after="160"/>
      </w:pPr>
      <w:r>
        <w:rPr>
          <w:b/>
          <w:color w:val="142A45"/>
          <w:sz w:val="22"/>
        </w:rPr>
        <w:t>Followed universe.</w:t>
      </w:r>
      <w:r>
        <w:rPr>
          <w:sz w:val="22"/>
        </w:rPr>
        <w:t xml:space="preserve"> Conjunto de empresas con decisión FOLLOW en el Journal: investigadas a fondo, sin compra inmediata, esperando condiciones que reactiven el caso. Recibe Refresh trimestral pero NO Re-underwriting (5.2).</w:t>
      </w:r>
    </w:p>
    <w:p>
      <w:pPr>
        <w:spacing w:after="160"/>
      </w:pPr>
      <w:r>
        <w:rPr>
          <w:b/>
          <w:color w:val="142A45"/>
          <w:sz w:val="22"/>
        </w:rPr>
        <w:t>Hurdle.</w:t>
      </w:r>
      <w:r>
        <w:rPr>
          <w:sz w:val="22"/>
        </w:rPr>
        <w:t xml:space="preserve"> Tasa mínima de retorno esperada que una inversión debe ofrecer en el caso base para ser aceptada. Definida institucionalmente en el IPS. Constituye además uno de los cuatro gates del Probability Worksheet (hurdle ≥12%).</w:t>
      </w:r>
    </w:p>
    <w:p>
      <w:pPr>
        <w:spacing w:after="160"/>
      </w:pPr>
      <w:r>
        <w:rPr>
          <w:b/>
          <w:color w:val="142A45"/>
          <w:sz w:val="22"/>
        </w:rPr>
        <w:t>Idea Feed.</w:t>
      </w:r>
      <w:r>
        <w:rPr>
          <w:sz w:val="22"/>
        </w:rPr>
        <w:t xml:space="preserve"> Pipeline bottom-up de ideas externas (movimientos de superinvestores, lectura, recomendaciones de la red, exposiciones sectoriales puntuales) que el CIO cura mensualmente. Es un insumo del ciclo — no una etapa: las ideas curadas se promueven a Shortlist o entran al Quick Review como leads externos. Vive en 4.2.</w:t>
      </w:r>
    </w:p>
    <w:p>
      <w:pPr>
        <w:spacing w:after="160"/>
      </w:pPr>
      <w:r>
        <w:rPr>
          <w:b/>
          <w:color w:val="142A45"/>
          <w:sz w:val="22"/>
        </w:rPr>
        <w:t>Kill criteria.</w:t>
      </w:r>
      <w:r>
        <w:rPr>
          <w:sz w:val="22"/>
        </w:rPr>
        <w:t xml:space="preserve"> Eventos o métricas predefinidos que, si se materializan, disparan una reconsideración inmediata de una posición invertida.</w:t>
      </w:r>
    </w:p>
    <w:p>
      <w:pPr>
        <w:spacing w:after="160"/>
      </w:pPr>
      <w:r>
        <w:rPr>
          <w:b/>
          <w:color w:val="142A45"/>
          <w:sz w:val="22"/>
        </w:rPr>
        <w:t>KPIs principales.</w:t>
      </w:r>
      <w:r>
        <w:rPr>
          <w:sz w:val="22"/>
        </w:rPr>
        <w:t xml:space="preserve"> Indicadores cuantificables que sirven como vigilancia continua de una tesis activa. Se definen al cerrar el BUY y se monitorean durante el re-underwriting trimestral.</w:t>
      </w:r>
    </w:p>
    <w:p>
      <w:pPr>
        <w:spacing w:after="160"/>
      </w:pPr>
      <w:r>
        <w:rPr>
          <w:b/>
          <w:color w:val="142A45"/>
          <w:sz w:val="22"/>
        </w:rPr>
        <w:t>Lecciones aprendidas.</w:t>
      </w:r>
      <w:r>
        <w:rPr>
          <w:sz w:val="22"/>
        </w:rPr>
        <w:t xml:space="preserve"> Repositorio institucional de las lecciones extraídas en los post-mortem de cada SELL. Se documentan al cerrar la posición (5.3) y se revisan agregadamente en el OS Self-Audit anual para detectar patrones recurrentes en los modos de falla.</w:t>
      </w:r>
    </w:p>
    <w:p>
      <w:pPr>
        <w:spacing w:after="160"/>
      </w:pPr>
      <w:r>
        <w:rPr>
          <w:b/>
          <w:color w:val="142A45"/>
          <w:sz w:val="22"/>
        </w:rPr>
        <w:t>Munger Digital.</w:t>
      </w:r>
      <w:r>
        <w:rPr>
          <w:sz w:val="22"/>
        </w:rPr>
        <w:t xml:space="preserve"> Briefing exclusivo del CIO en cuatro secciones (incentivos del management, sesgos previsibles del debate, pre-mortem preliminar, pregunta incómoda) que prepara la cross-examination del debate adversarial.</w:t>
      </w:r>
    </w:p>
    <w:p>
      <w:pPr>
        <w:spacing w:after="160"/>
      </w:pPr>
      <w:r>
        <w:rPr>
          <w:b/>
          <w:color w:val="142A45"/>
          <w:sz w:val="22"/>
        </w:rPr>
        <w:t>Naming convention.</w:t>
      </w:r>
      <w:r>
        <w:rPr>
          <w:sz w:val="22"/>
        </w:rPr>
        <w:t xml:space="preserve"> Formato institucional obligatorio para todo entregable archivado en el Data Room.</w:t>
      </w:r>
    </w:p>
    <w:p>
      <w:pPr>
        <w:spacing w:after="160"/>
      </w:pPr>
      <w:r>
        <w:rPr>
          <w:b/>
          <w:color w:val="142A45"/>
          <w:sz w:val="22"/>
        </w:rPr>
        <w:t>PASS.</w:t>
      </w:r>
      <w:r>
        <w:rPr>
          <w:sz w:val="22"/>
        </w:rPr>
        <w:t xml:space="preserve"> Outcome del ciclo 3.0 en el que la empresa se descarta tras research completo. La idea no genera seguimiento ni vuelve a entrar al funnel salvo evidencia material nueva. Distinto de FOLLOW (que sí se sigue) y de SELL (que aplica a posiciones ya compradas). El snapshot del Probability Worksheet firmado se adjunta a la entrada PASS.</w:t>
      </w:r>
    </w:p>
    <w:p>
      <w:pPr>
        <w:spacing w:after="160"/>
      </w:pPr>
      <w:r>
        <w:rPr>
          <w:b/>
          <w:color w:val="142A45"/>
          <w:sz w:val="22"/>
        </w:rPr>
        <w:t>Post-mortem.</w:t>
      </w:r>
      <w:r>
        <w:rPr>
          <w:sz w:val="22"/>
        </w:rPr>
        <w:t xml:space="preserve"> Documento de cierre que se crea cuando se vende una posición, comparando la tesis original con el outcome real y extrayendo la lección aprendida.</w:t>
      </w:r>
    </w:p>
    <w:p>
      <w:pPr>
        <w:spacing w:after="160"/>
      </w:pPr>
      <w:r>
        <w:rPr>
          <w:b/>
          <w:color w:val="142A45"/>
          <w:sz w:val="22"/>
        </w:rPr>
        <w:t>Pre-Mortem.</w:t>
      </w:r>
      <w:r>
        <w:rPr>
          <w:sz w:val="22"/>
        </w:rPr>
        <w:t xml:space="preserve"> Documento que anticipa los modos de falla específicos que podrían invalidar la tesis. Ciclo de vida en cinco estados (IPS §4.6): borrador formulado por el Bear Analyst dentro del Bear Memo de la semana adversarial; refinement consensuado en el bloque dedicado del debate; versión final ratificada por el CIO al firmar la entrada BUY del Decision Journal; estado vivo monitoreado trimestralmente en la sección Premortem Tracking del Quarterly Re-Underwriting; cerrado y comparado contra outcome real en el Position Close Memo al SELL. No nace en el Company Brief: el Brief es base case sin tesis y por tanto sin pre-mortem.</w:t>
      </w:r>
    </w:p>
    <w:p>
      <w:pPr>
        <w:spacing w:after="160"/>
      </w:pPr>
      <w:r>
        <w:rPr>
          <w:b/>
          <w:color w:val="142A45"/>
          <w:sz w:val="22"/>
        </w:rPr>
        <w:t>Probability Worksheet.</w:t>
      </w:r>
      <w:r>
        <w:rPr>
          <w:sz w:val="22"/>
        </w:rPr>
        <w:t xml:space="preserve"> Entregable obligatorio del debate adversarial (§3.5) que asigna explícitamente pesos de probabilidad Bear/Base/Bull sobre los IRRs heredados del Thesis Builder y del Thesis Breaker. Vive en el dashboard de la compañía (tab Probability de /company.html), con default 25/50/25 modificable por el CIO con justificación escrita adjunta. Verifica cuatro gates institucionales: hurdle ≥12%, asimetría ≥2x, expected loss ≥-3%, downside Bear ≥-20%. Su veredicto (BUY CANDIDATE / BORDERLINE / REVISAR / PASS) es un input cuantitativo al Journal Entry, no sustituye la decisión del CIO. Snapshot firmado se adjunta a toda entrada BUY/FOLLOW/PASS del Decision Journal y se archiva en la subcarpeta probability_worksheets del ticker.</w:t>
      </w:r>
    </w:p>
    <w:p>
      <w:pPr>
        <w:spacing w:after="160"/>
      </w:pPr>
      <w:r>
        <w:rPr>
          <w:b/>
          <w:color w:val="142A45"/>
          <w:sz w:val="22"/>
        </w:rPr>
        <w:t>Quality Gate.</w:t>
      </w:r>
      <w:r>
        <w:rPr>
          <w:sz w:val="22"/>
        </w:rPr>
        <w:t xml:space="preserve"> Conjunto de thresholds cuantitativos institucionales que una empresa debe pasar en el Quick Review para avanzar a Deep Dive.</w:t>
      </w:r>
    </w:p>
    <w:p>
      <w:pPr>
        <w:spacing w:after="160"/>
      </w:pPr>
      <w:r>
        <w:rPr>
          <w:b/>
          <w:color w:val="142A45"/>
          <w:sz w:val="22"/>
        </w:rPr>
        <w:t>Quick Review.</w:t>
      </w:r>
      <w:r>
        <w:rPr>
          <w:sz w:val="22"/>
        </w:rPr>
        <w:t xml:space="preserve"> Filtro intermedio cuantitativo entre el Triage masivo y el Deep Dive (3.2). Una empresa puede iniciar el ciclo aquí si entra como lead externo desde el Idea Feed.</w:t>
      </w:r>
    </w:p>
    <w:p>
      <w:pPr>
        <w:spacing w:after="160"/>
      </w:pPr>
      <w:r>
        <w:rPr>
          <w:b/>
          <w:color w:val="142A45"/>
          <w:sz w:val="22"/>
        </w:rPr>
        <w:t>Refresh trimestral.</w:t>
      </w:r>
      <w:r>
        <w:rPr>
          <w:sz w:val="22"/>
        </w:rPr>
        <w:t xml:space="preserve"> Revisión trimestral del followed universe que verifica si se cumplieron las condiciones documentadas para reactivar la idea. No es un re-underwriting completo; sólo activa el regreso de la empresa al Quick Review si corresponde (5.2).</w:t>
      </w:r>
    </w:p>
    <w:p>
      <w:pPr>
        <w:spacing w:after="160"/>
      </w:pPr>
      <w:r>
        <w:rPr>
          <w:b/>
          <w:color w:val="142A45"/>
          <w:sz w:val="22"/>
        </w:rPr>
        <w:t>Quarterly Re-Underwriting.</w:t>
      </w:r>
      <w:r>
        <w:rPr>
          <w:sz w:val="22"/>
        </w:rPr>
        <w:t xml:space="preserve"> Revisión trimestral obligatoria de cada tesis activa en cartera, disparada por filings nuevos de la empresa. Consta de ocho secciones obligatorias institucionalmente fijadas en IPS §4.7: Investment Snapshot (identidad y métricas headline de la posición), Executive Summary (verdict ejecutivo del trimestre), What Changed Since Last Quarter (delta material vs. el Re-Underwriting anterior), Thesis Tracking (verificación pilar por pilar de la tesis original), Premortem Tracking (estado de cada failure mode con semáforo), KPI Dashboard (KPIs principales contra umbrales en semáforo), Valuation Update (re-valoración y comparación con caso base original), Final Re-Underwriting Conclusion (verdict formal del trimestre y outcome asignado). Reemplaza el Quarterly Scorecard, el Indicador de Salud Financiera y el ejercicio de Desconfirmación de marcos anteriores. Firmado por el Associate (exactitud técnica) y por el CIO (conclusión final). Cuatro outcomes posibles, incluyendo tesis rota que dispara el Position Close Memo (5.3); cualquier semáforo rojo en el KPI Dashboard dispara un Position Adjustment Memo (5.5).</w:t>
      </w:r>
    </w:p>
    <w:p>
      <w:pPr>
        <w:spacing w:after="160"/>
      </w:pPr>
      <w:r>
        <w:rPr>
          <w:b/>
          <w:color w:val="142A45"/>
          <w:sz w:val="22"/>
        </w:rPr>
        <w:t>Position Close Memo.</w:t>
      </w:r>
      <w:r>
        <w:rPr>
          <w:sz w:val="22"/>
        </w:rPr>
        <w:t xml:space="preserve"> Documento obligatorio que el CIO firma antes de ejecutar la venta total de una posición (IPS §4.6, Operations §5.3). Contiene motivo de salida, valoración al cierre, retorno realizado (P&amp;L e IRR), post-mortem comparando tesis original vs. outcome con thesis_outcome y failure mode triggered, y lecciones transferibles al repositorio institucional. Genera la entrada SELL en el Decision Journal.</w:t>
      </w:r>
    </w:p>
    <w:p>
      <w:pPr>
        <w:spacing w:after="160"/>
      </w:pPr>
      <w:r>
        <w:rPr>
          <w:b/>
          <w:color w:val="142A45"/>
          <w:sz w:val="22"/>
        </w:rPr>
        <w:t>Position Adjustment Memo.</w:t>
      </w:r>
      <w:r>
        <w:rPr>
          <w:sz w:val="22"/>
        </w:rPr>
        <w:t xml:space="preserve"> Documento obligatorio que el CIO firma antes de ejecutar cualquier trim o add parcial de una posición existente (IPS §4.6, Operations §5.5). Contiene dirección y magnitud del ajuste, motivo (semáforo rojo del KPI Dashboard, evento favorable, rebalanceo o límite institucional), valoración actual contra el caso base original, verificación anti-sesgo (descartar reacción ante ruido de corto plazo) e impacto sobre el portafolio. No abre nueva entrada en el Decision Journal: se archiva como anexo a la posición original.</w:t>
      </w:r>
    </w:p>
    <w:p>
      <w:pPr>
        <w:spacing w:after="160"/>
      </w:pPr>
      <w:r>
        <w:rPr>
          <w:b/>
          <w:color w:val="142A45"/>
          <w:sz w:val="22"/>
        </w:rPr>
        <w:t>SELL.</w:t>
      </w:r>
      <w:r>
        <w:rPr>
          <w:sz w:val="22"/>
        </w:rPr>
        <w:t xml:space="preserve"> Decisión de salida de una posición ya comprada. No forma parte del ciclo 3.0; vive en 5.3 como consecuencia del re-underwriting (tesis rota) o de un evento material entre trimestres. La lección aprendida del post-mortem alimenta el repositorio de lecciones del holding, revisado en el OS Self-Audit anual.</w:t>
      </w:r>
    </w:p>
    <w:p>
      <w:pPr>
        <w:spacing w:after="160"/>
      </w:pPr>
      <w:r>
        <w:rPr>
          <w:b/>
          <w:color w:val="142A45"/>
          <w:sz w:val="22"/>
        </w:rPr>
        <w:t>Shortlist.</w:t>
      </w:r>
      <w:r>
        <w:rPr>
          <w:sz w:val="22"/>
        </w:rPr>
        <w:t xml:space="preserve"> Lista de empresas de alta calidad sin trigger fundamental o de precio actual, que esperan condiciones favorables.</w:t>
      </w:r>
    </w:p>
    <w:p>
      <w:pPr>
        <w:spacing w:after="160"/>
      </w:pPr>
      <w:r>
        <w:rPr>
          <w:b/>
          <w:color w:val="142A45"/>
          <w:sz w:val="22"/>
        </w:rPr>
        <w:t>Sourcing.</w:t>
      </w:r>
      <w:r>
        <w:rPr>
          <w:sz w:val="22"/>
        </w:rPr>
        <w:t xml:space="preserve"> Conjunto de canales por los que entran ideas al funnel (Triage automatizado, movimientos de superinvestores, Idea Feed manual, sector tracking).</w:t>
      </w:r>
    </w:p>
    <w:p>
      <w:pPr>
        <w:spacing w:after="160"/>
      </w:pPr>
      <w:r>
        <w:rPr>
          <w:b/>
          <w:color w:val="142A45"/>
          <w:sz w:val="22"/>
        </w:rPr>
        <w:t>Thesis (tesis).</w:t>
      </w:r>
      <w:r>
        <w:rPr>
          <w:sz w:val="22"/>
        </w:rPr>
        <w:t xml:space="preserve"> Hipótesis estructurada sobre por qué una empresa debe estar (o no) en la cartera de DCE. Construida y atacada durante la fase adversarial.</w:t>
      </w:r>
    </w:p>
    <w:p>
      <w:pPr>
        <w:spacing w:after="160"/>
      </w:pPr>
      <w:r>
        <w:rPr>
          <w:b/>
          <w:color w:val="142A45"/>
          <w:sz w:val="22"/>
        </w:rPr>
        <w:t>Triage.</w:t>
      </w:r>
      <w:r>
        <w:rPr>
          <w:sz w:val="22"/>
        </w:rPr>
        <w:t xml:space="preserve"> Filtro masivo cuantitativo que procesa el universo y produce verdicts de ruteo (Convicción Alta, Listo para Quick Review, Shortlist, Watchlist, Rechazado, Excluido por framework). Es el primer paso del ciclo de inversión (3.1).</w:t>
      </w:r>
    </w:p>
    <w:p>
      <w:pPr>
        <w:spacing w:after="160"/>
      </w:pPr>
      <w:r>
        <w:rPr>
          <w:b/>
          <w:color w:val="142A45"/>
          <w:sz w:val="22"/>
        </w:rPr>
        <w:t>Universe.</w:t>
      </w:r>
      <w:r>
        <w:rPr>
          <w:sz w:val="22"/>
        </w:rPr>
        <w:t xml:space="preserve"> Conjunto de empresas elegibles para ser consideradas por el ciclo de inversión, construido a partir de constituyentes de índices de referencia y filtros institucionales. Es un insumo del ciclo — no una etapa: ningún ticker se decide ni se descarta al construir el universo. Se mantiene mensualmente en 4.1.</w:t>
      </w:r>
    </w:p>
    <w:p>
      <w:pPr>
        <w:spacing w:after="160"/>
      </w:pPr>
      <w:r>
        <w:rPr>
          <w:b/>
          <w:color w:val="142A45"/>
          <w:sz w:val="22"/>
        </w:rPr>
        <w:t>Watchlist.</w:t>
      </w:r>
      <w:r>
        <w:rPr>
          <w:sz w:val="22"/>
        </w:rPr>
        <w:t xml:space="preserve"> Lista de empresas seguidas pasivamente que no superaron el filtro de Triage o Quick Review pero podrían reactivarse si cambian las condiciones. Distinta del followed universe (que sale de una decisión formal FOLLOW post-debate).</w:t>
      </w:r>
    </w:p>
    <w:p>
      <w:pPr>
        <w:spacing w:before="800"/>
      </w:pPr>
    </w:p>
    <w:p>
      <w:pPr>
        <w:jc w:val="center"/>
      </w:pPr>
      <w:r>
        <w:rPr>
          <w:b/>
          <w:i/>
          <w:color w:val="142A45"/>
          <w:sz w:val="24"/>
        </w:rPr>
        <w:t>Fin del Operations Manual v4.5</w:t>
      </w:r>
    </w:p>
    <w:p>
      <w:pPr>
        <w:jc w:val="center"/>
      </w:pPr>
      <w:r>
        <w:rPr>
          <w:i/>
          <w:color w:val="555555"/>
          <w:sz w:val="18"/>
        </w:rPr>
        <w:t>El inventario de herramientas internas, parámetros operativos vigentes y versiones de software se mantiene en el Anexo Técnico paralelo, que se actualiza con cadencia independiente.</w:t>
      </w:r>
    </w:p>
    <w:sectPr w:rsidR="00FC693F" w:rsidRPr="0006063C" w:rsidSect="00034616">
      <w:footerReference w:type="default" r:id="rId9"/>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55555"/>
        <w:sz w:val="18"/>
      </w:rPr>
      <w:t>Confidencial — DCE Holdings   ·   Operations Manual v4.5</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B2B2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