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746"/>
      </w:tblGrid>
      <w:tr>
        <w:trPr>
          <w:trHeight w:val="4000" w:hRule="exact"/>
        </w:trPr>
        <w:tc>
          <w:tcPr>
            <w:tcW w:type="dxa" w:w="9360"/>
            <w:shd w:val="clear" w:color="auto" w:fill="1B2642"/>
          </w:tcPr>
          <w:p>
            <w:pPr>
              <w:spacing w:before="800"/>
              <w:jc w:val="left"/>
            </w:pPr>
            <w:r/>
            <w:r>
              <w:rPr>
                <w:rFonts w:ascii="Calibri" w:hAnsi="Calibri"/>
                <w:b/>
                <w:i w:val="0"/>
                <w:color w:val="FFFFFF"/>
                <w:sz w:val="24"/>
              </w:rPr>
              <w:t>DCE HOLDINGS</w:t>
            </w:r>
          </w:p>
        </w:tc>
      </w:tr>
    </w:tbl>
    <w:p>
      <w:pPr>
        <w:spacing w:after="0" w:before="0"/>
        <w:pBdr>
          <w:bottom w:val="single" w:sz="24" w:space="1" w:color="B88B47"/>
        </w:pBdr>
      </w:pPr>
    </w:p>
    <w:p/>
    <w:p/>
    <w:p/>
    <w:p>
      <w:pPr>
        <w:spacing w:after="160"/>
        <w:jc w:val="left"/>
      </w:pPr>
      <w:r>
        <w:rPr>
          <w:rFonts w:ascii="Calibri" w:hAnsi="Calibri"/>
          <w:b/>
          <w:i w:val="0"/>
          <w:color w:val="1B2642"/>
          <w:sz w:val="56"/>
        </w:rPr>
        <w:t>INFORME DE VALORACIÓN</w:t>
      </w:r>
    </w:p>
    <w:p>
      <w:pPr>
        <w:spacing w:after="480"/>
      </w:pPr>
      <w:r>
        <w:rPr>
          <w:rFonts w:ascii="Calibri" w:hAnsi="Calibri"/>
          <w:b w:val="0"/>
          <w:i w:val="0"/>
          <w:color w:val="606060"/>
          <w:sz w:val="28"/>
        </w:rPr>
        <w:t>Ferrari N.V. (RACE)</w:t>
      </w:r>
    </w:p>
    <w:p>
      <w:pPr>
        <w:spacing w:after="40"/>
      </w:pPr>
      <w:r>
        <w:rPr>
          <w:rFonts w:ascii="Calibri" w:hAnsi="Calibri"/>
          <w:b/>
          <w:i w:val="0"/>
          <w:color w:val="1B2642"/>
          <w:sz w:val="22"/>
        </w:rPr>
        <w:t xml:space="preserve">Fecha: </w:t>
      </w:r>
      <w:r>
        <w:rPr>
          <w:rFonts w:ascii="Calibri" w:hAnsi="Calibri"/>
          <w:b w:val="0"/>
          <w:i w:val="0"/>
          <w:color w:val="0D0D0D"/>
          <w:sz w:val="22"/>
        </w:rPr>
        <w:t>23 de mayo de 2026</w:t>
      </w:r>
    </w:p>
    <w:p>
      <w:pPr>
        <w:spacing w:after="40"/>
      </w:pPr>
      <w:r>
        <w:rPr>
          <w:rFonts w:ascii="Calibri" w:hAnsi="Calibri"/>
          <w:b/>
          <w:i w:val="0"/>
          <w:color w:val="1B2642"/>
          <w:sz w:val="22"/>
        </w:rPr>
        <w:t xml:space="preserve">Analista: </w:t>
      </w:r>
      <w:r>
        <w:rPr>
          <w:rFonts w:ascii="Calibri" w:hAnsi="Calibri"/>
          <w:b w:val="0"/>
          <w:i w:val="0"/>
          <w:color w:val="0D0D0D"/>
          <w:sz w:val="22"/>
        </w:rPr>
        <w:t>DCE Investment Team</w:t>
      </w:r>
    </w:p>
    <w:p>
      <w:pPr>
        <w:spacing w:after="40"/>
      </w:pPr>
      <w:r>
        <w:rPr>
          <w:rFonts w:ascii="Calibri" w:hAnsi="Calibri"/>
          <w:b/>
          <w:i w:val="0"/>
          <w:color w:val="1B2642"/>
          <w:sz w:val="22"/>
        </w:rPr>
        <w:t xml:space="preserve">Marco metodológico: </w:t>
      </w:r>
      <w:r>
        <w:rPr>
          <w:rFonts w:ascii="Calibri" w:hAnsi="Calibri"/>
          <w:b w:val="0"/>
          <w:i w:val="0"/>
          <w:color w:val="0D0D0D"/>
          <w:sz w:val="22"/>
        </w:rPr>
        <w:t>Columbia + GARP moderno</w:t>
      </w:r>
    </w:p>
    <w:p>
      <w:pPr>
        <w:spacing w:after="40"/>
      </w:pPr>
      <w:r>
        <w:rPr>
          <w:rFonts w:ascii="Calibri" w:hAnsi="Calibri"/>
          <w:b/>
          <w:i w:val="0"/>
          <w:color w:val="1B2642"/>
          <w:sz w:val="22"/>
        </w:rPr>
        <w:t xml:space="preserve">Precio actual: </w:t>
      </w:r>
      <w:r>
        <w:rPr>
          <w:rFonts w:ascii="Calibri" w:hAnsi="Calibri"/>
          <w:b w:val="0"/>
          <w:i w:val="0"/>
          <w:color w:val="0D0D0D"/>
          <w:sz w:val="22"/>
        </w:rPr>
        <w:t>€317,63 ($349,39 USD)</w:t>
      </w:r>
    </w:p>
    <w:p>
      <w:pPr>
        <w:spacing w:after="40"/>
      </w:pPr>
      <w:r>
        <w:rPr>
          <w:rFonts w:ascii="Calibri" w:hAnsi="Calibri"/>
          <w:b/>
          <w:i w:val="0"/>
          <w:color w:val="1B2642"/>
          <w:sz w:val="22"/>
        </w:rPr>
        <w:t xml:space="preserve">Moneda del modelo: </w:t>
      </w:r>
      <w:r>
        <w:rPr>
          <w:rFonts w:ascii="Calibri" w:hAnsi="Calibri"/>
          <w:b w:val="0"/>
          <w:i w:val="0"/>
          <w:color w:val="0D0D0D"/>
          <w:sz w:val="22"/>
        </w:rPr>
        <w:t>EUR</w:t>
      </w:r>
    </w:p>
    <w:p>
      <w:pPr>
        <w:spacing w:after="40"/>
      </w:pPr>
      <w:r>
        <w:rPr>
          <w:rFonts w:ascii="Calibri" w:hAnsi="Calibri"/>
          <w:b/>
          <w:i w:val="0"/>
          <w:color w:val="1B2642"/>
          <w:sz w:val="22"/>
        </w:rPr>
        <w:t xml:space="preserve">Documento: </w:t>
      </w:r>
      <w:r>
        <w:rPr>
          <w:rFonts w:ascii="Calibri" w:hAnsi="Calibri"/>
          <w:b w:val="0"/>
          <w:i w:val="0"/>
          <w:color w:val="0D0D0D"/>
          <w:sz w:val="22"/>
        </w:rPr>
        <w:t>Company Brief v2.0</w:t>
      </w:r>
    </w:p>
    <w:p/>
    <w:p/>
    <w:p/>
    <w:p/>
    <w:p/>
    <w:p/>
    <w:p/>
    <w:p/>
    <w:p>
      <w:pPr>
        <w:jc w:val="center"/>
      </w:pPr>
      <w:r>
        <w:rPr>
          <w:rFonts w:ascii="Calibri" w:hAnsi="Calibri"/>
          <w:b w:val="0"/>
          <w:i/>
          <w:color w:val="606060"/>
          <w:sz w:val="18"/>
        </w:rPr>
        <w:t>Confidencial — Solo para uso interno</w:t>
      </w:r>
    </w:p>
    <w:p>
      <w:pPr>
        <w:sectPr>
          <w:pgSz w:w="12240" w:h="15840"/>
          <w:pgMar w:top="1247" w:right="1247" w:bottom="1247" w:left="1247" w:header="720" w:footer="720" w:gutter="0"/>
          <w:cols w:space="720"/>
          <w:titlePg/>
          <w:docGrid w:linePitch="360"/>
        </w:sectPr>
      </w:pPr>
    </w:p>
    <w:p>
      <w:pPr>
        <w:keepNext/>
        <w:spacing w:before="360" w:after="160"/>
        <w:pBdr>
          <w:bottom w:val="single" w:sz="12" w:space="4" w:color="B88B47"/>
        </w:pBdr>
      </w:pPr>
      <w:r>
        <w:rPr>
          <w:rFonts w:ascii="Calibri" w:hAnsi="Calibri"/>
          <w:b/>
          <w:i w:val="0"/>
          <w:color w:val="1B2642"/>
          <w:sz w:val="32"/>
        </w:rPr>
        <w:t>§0 — Resumen Ejecutivo</w:t>
      </w:r>
    </w:p>
    <w:p>
      <w:pPr>
        <w:keepNext/>
        <w:spacing w:before="240" w:after="80"/>
      </w:pPr>
      <w:r>
        <w:rPr>
          <w:rFonts w:ascii="Calibri" w:hAnsi="Calibri"/>
          <w:b/>
          <w:i w:val="0"/>
          <w:color w:val="1B2642"/>
          <w:sz w:val="26"/>
        </w:rPr>
        <w:t>§0.1 Tesis Central</w:t>
      </w:r>
    </w:p>
    <w:p>
      <w:pPr>
        <w:spacing w:after="120" w:before="0" w:line="276" w:lineRule="auto"/>
        <w:jc w:val="both"/>
      </w:pPr>
      <w:r>
        <w:rPr>
          <w:rFonts w:ascii="Calibri" w:hAnsi="Calibri"/>
          <w:b w:val="0"/>
          <w:i w:val="0"/>
          <w:color w:val="0D0D0D"/>
          <w:sz w:val="22"/>
        </w:rPr>
        <w:t>Ferrari N.V. (RACE) es, en sentido estricto, una empresa de bienes de lujo ultra-premium que utiliza automóviles como vehículo de expresión de su moat. El negocio combina escasez voluntaria (cap &lt;14.000 unidades/año), pricing power documentado (expansión de margen EBIT de 17% en 2015 a 29,5% LTM 2025), ROIC ~19,0% sostenidamente por encima de un WACC de 7,75% (spread +11,3pp) y un order book que se extiende hasta finales de 2027. El precio de mercado (€317,63) ya descuenta un compounder de alta calidad; la pregunta relevante para el inversor no es si Ferrari es un buen negocio, sino si el precio refleja todo el franchise value o si todavía hay TIR esperada superior al hurdle del 12%.</w:t>
      </w:r>
    </w:p>
    <w:p>
      <w:pPr>
        <w:spacing w:after="120" w:before="0" w:line="276" w:lineRule="auto"/>
        <w:jc w:val="both"/>
      </w:pPr>
      <w:r>
        <w:rPr>
          <w:rFonts w:ascii="Calibri" w:hAnsi="Calibri"/>
          <w:b w:val="0"/>
          <w:i w:val="0"/>
          <w:color w:val="0D0D0D"/>
          <w:sz w:val="22"/>
        </w:rPr>
        <w:t>Los outputs del modelo Columbia v4.2 ofrecen un marco escalonado: Valor de Reproducción (RV) €70,19/acción, Earning Power Value (EPV) €111,75/acción, ratio EPV/RV de 1,59x (franchise confirmado), Implied IRR Equity de 15,06% (MoS +3,05pp vs. hurdle 12%) y un downside Bear de -15,2%. La Declaración de Escalera es Caso 3 (FV &gt; Precio): el franchise con crecimiento orgánico del 2% y reinversión disciplinada justifica el precio actual con margen positivo, aunque acotado.</w:t>
      </w:r>
    </w:p>
    <w:p>
      <w:pPr>
        <w:keepNext/>
        <w:spacing w:before="240" w:after="80"/>
      </w:pPr>
      <w:r>
        <w:rPr>
          <w:rFonts w:ascii="Calibri" w:hAnsi="Calibri"/>
          <w:b/>
          <w:i w:val="0"/>
          <w:color w:val="1B2642"/>
          <w:sz w:val="26"/>
        </w:rPr>
        <w:t>§0.2 Mapa de Valoración Greenwald</w:t>
      </w:r>
    </w:p>
    <w:tbl>
      <w:tblPr>
        <w:tblW w:type="auto" w:w="0"/>
        <w:jc w:val="left"/>
        <w:tblLayout w:type="autofit"/>
        <w:tblLook w:firstColumn="1" w:firstRow="1" w:lastColumn="0" w:lastRow="0" w:noHBand="0" w:noVBand="1" w:val="04A0"/>
      </w:tblPr>
      <w:tblGrid>
        <w:gridCol w:w="3249"/>
        <w:gridCol w:w="3249"/>
        <w:gridCol w:w="3249"/>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Método</w:t>
            </w:r>
          </w:p>
        </w:tc>
        <w:tc>
          <w:tcPr>
            <w:tcW w:type="dxa" w:w="201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Valor / acción</w:t>
            </w:r>
          </w:p>
        </w:tc>
        <w:tc>
          <w:tcPr>
            <w:tcW w:type="dxa" w:w="475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Observación</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Reproduction Value (RV)</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€70,19</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Activos tangibles + intangibles capitalizados; sin goodwill, brand €3B, F1 €1,68B incluidos</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Earning Power Value (EPV)</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€111,75</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NOPAT normalizado / WACC; sin crecimiento; θ_firm &gt; WACC</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Franchise Test (EPV/RV)</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1,59x</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FRANCHISE CONFIRMADO — moat genera valor incremental sobre activos</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Precio de mercado actual</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€317,63</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$349,39 USD convertido a 1,10 EUR/USD</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Implied IRR Equity</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15,06%</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MoS +3,05pp vs. hurdle 12%; Caso 3 (FV &gt; Precio)</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Bear Case IRR</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-3,19%</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Downside -15,2% si la franquicia se erosiona</w:t>
            </w:r>
          </w:p>
        </w:tc>
      </w:tr>
    </w:tbl>
    <w:p>
      <w:pPr>
        <w:spacing w:after="0"/>
      </w:pPr>
    </w:p>
    <w:p>
      <w:pPr>
        <w:keepNext/>
        <w:spacing w:before="240" w:after="80"/>
      </w:pPr>
      <w:r>
        <w:rPr>
          <w:rFonts w:ascii="Calibri" w:hAnsi="Calibri"/>
          <w:b/>
          <w:i w:val="0"/>
          <w:color w:val="1B2642"/>
          <w:sz w:val="26"/>
        </w:rPr>
        <w:t>§0.3 Highlights Cuantitativos LTM</w:t>
      </w:r>
    </w:p>
    <w:tbl>
      <w:tblPr>
        <w:tblW w:type="auto" w:w="0"/>
        <w:jc w:val="left"/>
        <w:tblLayout w:type="autofit"/>
        <w:tblLook w:firstColumn="1" w:firstRow="1" w:lastColumn="0" w:lastRow="0" w:noHBand="0" w:noVBand="1" w:val="04A0"/>
      </w:tblPr>
      <w:tblGrid>
        <w:gridCol w:w="3249"/>
        <w:gridCol w:w="3249"/>
        <w:gridCol w:w="3249"/>
      </w:tblGrid>
      <w:tr>
        <w:tc>
          <w:tcPr>
            <w:tcW w:type="dxa" w:w="28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Métrica</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Valor LTM</w:t>
            </w:r>
          </w:p>
        </w:tc>
        <w:tc>
          <w:tcPr>
            <w:tcW w:type="dxa" w:w="475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Comentario</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Revenue</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€7.146M</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FY25 = LTM; +7% i/a</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Op Income (EBIT)</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€2.110M</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Margen 29,5% (+1.250pp vs. 2015)</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Net Income</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€1.605M</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IS Ferrari 20-F autoritativo</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EPS Diluido</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€8,96</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FCF</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€2.657M</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FY25 CFO €4.179M atípico por release de WC</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Market Cap</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€56.640M</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€317,63 EUR/acción</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Enterprise Value</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€58.052M</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Estructura casi sin deuda neta</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ROIC (FY25 seleccionado)</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19,0%</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Sostenido &gt; 19% en ventana FY22-25</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WACC</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7,75%</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Rf 2,5% Bund + β 1,0 + ERP 5,5%; Kd 3,5%</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Spread ROIC − WACC</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+11,3pp</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Moat económico claramente confirmado</w:t>
            </w:r>
          </w:p>
        </w:tc>
      </w:tr>
    </w:tbl>
    <w:p>
      <w:pPr>
        <w:spacing w:after="0"/>
      </w:pPr>
    </w:p>
    <w:p>
      <w:pPr>
        <w:keepNext/>
        <w:spacing w:before="240" w:after="80"/>
      </w:pPr>
      <w:r>
        <w:rPr>
          <w:rFonts w:ascii="Calibri" w:hAnsi="Calibri"/>
          <w:b/>
          <w:i w:val="0"/>
          <w:color w:val="1B2642"/>
          <w:sz w:val="26"/>
        </w:rPr>
        <w:t>§0.4 Conclusión del Resumen</w:t>
      </w:r>
    </w:p>
    <w:p>
      <w:pPr>
        <w:spacing w:after="120" w:before="0" w:line="276" w:lineRule="auto"/>
        <w:jc w:val="both"/>
      </w:pPr>
      <w:r>
        <w:rPr>
          <w:rFonts w:ascii="Calibri" w:hAnsi="Calibri"/>
          <w:b w:val="0"/>
          <w:i w:val="0"/>
          <w:color w:val="0D0D0D"/>
          <w:sz w:val="22"/>
        </w:rPr>
        <w:t>Ferrari califica como compounder excepcional con barreras fuertes y tendencias favorables. La Escalera de Valoración se cierra en Caso 3: FV &gt; Precio con MoS positivo pero acotado (+3,05pp). La consensual base case es de compounding ordenado hacia el plan 2030 (€9B revenue, ≥40% EBITDA margin). Este documento no emite recomendación BUY/PASS/MONITOREAR — esa decisión es prerrogativa exclusiva del CIO.</w:t>
      </w:r>
    </w:p>
    <w:p>
      <w:pPr>
        <w:keepNext/>
        <w:spacing w:before="360" w:after="160"/>
        <w:pBdr>
          <w:bottom w:val="single" w:sz="12" w:space="4" w:color="B88B47"/>
        </w:pBdr>
      </w:pPr>
      <w:r>
        <w:rPr>
          <w:rFonts w:ascii="Calibri" w:hAnsi="Calibri"/>
          <w:b/>
          <w:i w:val="0"/>
          <w:color w:val="1B2642"/>
          <w:sz w:val="32"/>
        </w:rPr>
        <w:t>§1 — Información General</w:t>
      </w:r>
    </w:p>
    <w:tbl>
      <w:tblPr>
        <w:tblW w:type="auto" w:w="0"/>
        <w:jc w:val="left"/>
        <w:tblLayout w:type="autofit"/>
        <w:tblLook w:firstColumn="1" w:firstRow="1" w:lastColumn="0" w:lastRow="0" w:noHBand="0" w:noVBand="1" w:val="04A0"/>
      </w:tblPr>
      <w:tblGrid>
        <w:gridCol w:w="4873"/>
        <w:gridCol w:w="4873"/>
      </w:tblGrid>
      <w:tr>
        <w:tc>
          <w:tcPr>
            <w:tcW w:type="dxa" w:w="28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Campo</w:t>
            </w:r>
          </w:p>
        </w:tc>
        <w:tc>
          <w:tcPr>
            <w:tcW w:type="dxa" w:w="64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Dato</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Empresa</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Ferrari N.V.</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Ticker</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RACE (NYSE) / RACE (Euronext Milan)</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Sede</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Maranello, Italia (domicilio Países Bajos)</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Año de fundación</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1947 (primera línea de coches de calle)</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IPO</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Octubre 2015 (NYSE, precio $52/acción)</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CEO</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Benedetto Vigna (desde septiembre 2021)</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Chairman</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John Elkann (Exor)</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CFO</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Antonio Picca Piccon</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Sector</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Bienes de lujo personales (absolute luxury)</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Año fiscal</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Calendario natural (1 enero – 31 diciembre)</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Moneda funcional</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EUR</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Free float</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~58,8% del capital / ~48,0% de los derechos de voto</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Precio de referencia</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€317,63 ($349,39 USD)</w:t>
            </w:r>
          </w:p>
        </w:tc>
      </w:tr>
      <w:tr>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Market Cap</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€56.640M</w:t>
            </w:r>
          </w:p>
        </w:tc>
      </w:tr>
      <w:tr>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Fecha de cierre del modelo</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22 de mayo de 2026</w:t>
            </w:r>
          </w:p>
        </w:tc>
      </w:tr>
    </w:tbl>
    <w:p>
      <w:pPr>
        <w:spacing w:after="0"/>
      </w:pPr>
    </w:p>
    <w:p>
      <w:pPr>
        <w:keepNext/>
        <w:spacing w:before="360" w:after="160"/>
        <w:pBdr>
          <w:bottom w:val="single" w:sz="12" w:space="4" w:color="B88B47"/>
        </w:pBdr>
      </w:pPr>
      <w:r>
        <w:rPr>
          <w:rFonts w:ascii="Calibri" w:hAnsi="Calibri"/>
          <w:b/>
          <w:i w:val="0"/>
          <w:color w:val="1B2642"/>
          <w:sz w:val="32"/>
        </w:rPr>
        <w:t>§2 — Descripción del Negocio</w:t>
      </w:r>
    </w:p>
    <w:p>
      <w:pPr>
        <w:keepNext/>
        <w:spacing w:before="240" w:after="80"/>
      </w:pPr>
      <w:r>
        <w:rPr>
          <w:rFonts w:ascii="Calibri" w:hAnsi="Calibri"/>
          <w:b/>
          <w:i w:val="0"/>
          <w:color w:val="1B2642"/>
          <w:sz w:val="26"/>
        </w:rPr>
        <w:t>§2.1 Historia y Evolución Corporativa</w:t>
      </w:r>
    </w:p>
    <w:p>
      <w:pPr>
        <w:spacing w:after="120" w:before="0" w:line="276" w:lineRule="auto"/>
        <w:jc w:val="both"/>
      </w:pPr>
      <w:r>
        <w:rPr>
          <w:rFonts w:ascii="Calibri" w:hAnsi="Calibri"/>
          <w:b w:val="0"/>
          <w:i w:val="0"/>
          <w:color w:val="0D0D0D"/>
          <w:sz w:val="22"/>
        </w:rPr>
        <w:t>Ferrari fue fundada en 1947 por Enzo Ferrari (línea de coches de calle), con orígenes en la Scuderia Ferrari fundada en 1929 como equipo de carreras. En 1969 Fiat adquirió el 50% del capital, preservando un 10% para Enzo (hoy en manos de Piero Ferrari). En 2014 Sergio Marchionne destituyó a Montezemolo y catalizó la transformación de Ferrari de fabricante premium a empresa de lujo; en octubre 2015 Ferrari salió a bolsa en NYSE a $52/acción con valoración hasta $9,8B, y en enero 2016 se constituyó como Ferrari N.V., holding independiente domiciliado en Países Bajos. Tras la era Camilleri (2018-2020) y el interinato de Elkann, en septiembre 2021 Benedetto Vigna (ex-CEO de STMicroelectronics, perfil semiconductor) asumió la dirección, marcando el giro hacia la electrificación controlada y la expansión del lifestyle.</w:t>
      </w:r>
    </w:p>
    <w:p>
      <w:pPr>
        <w:keepNext/>
        <w:spacing w:before="240" w:after="80"/>
      </w:pPr>
      <w:r>
        <w:rPr>
          <w:rFonts w:ascii="Calibri" w:hAnsi="Calibri"/>
          <w:b/>
          <w:i w:val="0"/>
          <w:color w:val="1B2642"/>
          <w:sz w:val="26"/>
        </w:rPr>
        <w:t>§2.2 Productos y Gama Actual</w:t>
      </w:r>
    </w:p>
    <w:p>
      <w:pPr>
        <w:spacing w:after="120" w:before="0" w:line="276" w:lineRule="auto"/>
        <w:jc w:val="both"/>
      </w:pPr>
      <w:r>
        <w:rPr>
          <w:rFonts w:ascii="Calibri" w:hAnsi="Calibri"/>
          <w:b w:val="0"/>
          <w:i w:val="0"/>
          <w:color w:val="0D0D0D"/>
          <w:sz w:val="22"/>
        </w:rPr>
        <w:t>Ferrari organiza su oferta en seis categorías estratificadas por precio y exclusividad: Sports Cars (296 GTB/GTS, 12Cilindri, Amalfi, Roma Spider — €240k–€370k), GT/SUV (Purosangue, ~€428k base, primer SUV Ferrari lanzado en 2022), Special Series (296 Speciale, SF90 XX Stradale, 812 Competizione), Icona/Limited Series (Daytona SP3, 849 Testarossa), Hypercars (F80, sucesor del LaFerrari a ~$3,9M, 799 unidades — todas vendidas antes de su revelación), y Racing/F1 Clienti.</w:t>
      </w:r>
    </w:p>
    <w:p>
      <w:pPr>
        <w:spacing w:after="120" w:before="0" w:line="276" w:lineRule="auto"/>
        <w:jc w:val="both"/>
      </w:pPr>
      <w:r>
        <w:rPr>
          <w:rFonts w:ascii="Calibri" w:hAnsi="Calibri"/>
          <w:b w:val="0"/>
          <w:i w:val="0"/>
          <w:color w:val="0D0D0D"/>
          <w:sz w:val="22"/>
        </w:rPr>
        <w:t>Ferrari Luce (primer EV): estreno mundial mayo 2026, ~1.000 CV, cuatro motores eléctricos por rueda (tracción + dirección + suspensión activa) más caja de cambios real, precio estimado &gt;$500k. El Luce está diseñado deliberadamente para que no suene ni se sienta como un EV convencional, preservando driving thrills.</w:t>
      </w:r>
    </w:p>
    <w:p>
      <w:pPr>
        <w:spacing w:after="120" w:before="0" w:line="276" w:lineRule="auto"/>
        <w:jc w:val="both"/>
      </w:pPr>
      <w:r>
        <w:rPr>
          <w:rFonts w:ascii="Calibri" w:hAnsi="Calibri"/>
          <w:b w:val="0"/>
          <w:i w:val="0"/>
          <w:color w:val="0D0D0D"/>
          <w:sz w:val="22"/>
        </w:rPr>
        <w:t>Negocio Lifestyle: colecciones de moda (primera pasarela junio 2021), accesorios, licencias, experiencias, flagship store en Old Bond Street (Londres, 2026).</w:t>
      </w:r>
    </w:p>
    <w:p>
      <w:pPr>
        <w:keepNext/>
        <w:spacing w:before="240" w:after="80"/>
      </w:pPr>
      <w:r>
        <w:rPr>
          <w:rFonts w:ascii="Calibri" w:hAnsi="Calibri"/>
          <w:b/>
          <w:i w:val="0"/>
          <w:color w:val="1B2642"/>
          <w:sz w:val="26"/>
        </w:rPr>
        <w:t>§2.3 Desglose de Ingresos por Segmento (últimos 5 años)</w:t>
      </w:r>
    </w:p>
    <w:tbl>
      <w:tblPr>
        <w:tblW w:type="auto" w:w="0"/>
        <w:jc w:val="left"/>
        <w:tblLayout w:type="autofit"/>
        <w:tblLook w:firstColumn="1" w:firstRow="1" w:lastColumn="0" w:lastRow="0" w:noHBand="0" w:noVBand="1" w:val="04A0"/>
      </w:tblPr>
      <w:tblGrid>
        <w:gridCol w:w="1624"/>
        <w:gridCol w:w="1624"/>
        <w:gridCol w:w="1624"/>
        <w:gridCol w:w="1624"/>
        <w:gridCol w:w="1624"/>
        <w:gridCol w:w="1624"/>
      </w:tblGrid>
      <w:tr>
        <w:tc>
          <w:tcPr>
            <w:tcW w:type="dxa" w:w="316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Segmento</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FY2024 (€M)</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FY2023 (€M)</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FY2022 (€M)</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FY2021 (€M)</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FY2020 (€M)</w:t>
            </w:r>
          </w:p>
        </w:tc>
      </w:tr>
      <w:tr>
        <w:tc>
          <w:tcPr>
            <w:tcW w:type="dxa" w:w="316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Coches y repuestos</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5.728</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~5.120</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~4.300</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~3.580</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~2.840</w:t>
            </w:r>
          </w:p>
        </w:tc>
      </w:tr>
      <w:tr>
        <w:tc>
          <w:tcPr>
            <w:tcW w:type="dxa" w:w="316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Sponsorship, commercial &amp; brand</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670</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~572</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~481</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~431</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~390</w:t>
            </w:r>
          </w:p>
        </w:tc>
      </w:tr>
      <w:tr>
        <w:tc>
          <w:tcPr>
            <w:tcW w:type="dxa" w:w="316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Motores Maserati (expirado 2023)</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0</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127</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~187</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~140</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~239</w:t>
            </w:r>
          </w:p>
        </w:tc>
      </w:tr>
      <w:tr>
        <w:tc>
          <w:tcPr>
            <w:tcW w:type="dxa" w:w="316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Otros</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279</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~152</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~117</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~78</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~84</w:t>
            </w:r>
          </w:p>
        </w:tc>
      </w:tr>
      <w:tr>
        <w:tc>
          <w:tcPr>
            <w:tcW w:type="dxa" w:w="316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Total</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6.677</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~5.971</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~5.085</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~4.229</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~3.553</w:t>
            </w:r>
          </w:p>
        </w:tc>
      </w:tr>
    </w:tbl>
    <w:p>
      <w:pPr>
        <w:spacing w:after="0"/>
      </w:pPr>
    </w:p>
    <w:p>
      <w:pPr>
        <w:spacing w:after="120" w:before="0" w:line="276" w:lineRule="auto"/>
        <w:jc w:val="both"/>
      </w:pPr>
      <w:r>
        <w:rPr>
          <w:rFonts w:ascii="Calibri" w:hAnsi="Calibri"/>
          <w:b w:val="0"/>
          <w:i w:val="0"/>
          <w:color w:val="0D0D0D"/>
          <w:sz w:val="22"/>
        </w:rPr>
        <w:t>FY2025 (más reciente): ingresos totales €7.146M (+7% i/a). Mix FY2024: Coches y repuestos 85,8%, Sponsorship/brand 10,0% (+17% i/a), Motores Maserati 0% (expirado dic-2023), Otros 4,2%.</w:t>
      </w:r>
    </w:p>
    <w:p>
      <w:pPr>
        <w:keepNext/>
        <w:spacing w:before="240" w:after="80"/>
      </w:pPr>
      <w:r>
        <w:rPr>
          <w:rFonts w:ascii="Calibri" w:hAnsi="Calibri"/>
          <w:b/>
          <w:i w:val="0"/>
          <w:color w:val="1B2642"/>
          <w:sz w:val="26"/>
        </w:rPr>
        <w:t>§2.4 Desglose de Ingresos por Geografía</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Región</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Unidades 2024</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Unidades 2023</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 del total 2024</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EMEA</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6.204</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6.063</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45,1%</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Americas</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4.003</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3.811</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29,1%</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China-HK-Taiwán</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1.162</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1.490</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8,5%</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Resto APAC</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2.383</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2.299</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17,3%</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Total</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13.752</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13.663</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100%</w:t>
            </w:r>
          </w:p>
        </w:tc>
      </w:tr>
    </w:tbl>
    <w:p>
      <w:pPr>
        <w:spacing w:after="0"/>
      </w:pPr>
    </w:p>
    <w:p>
      <w:pPr>
        <w:spacing w:after="120" w:before="0" w:line="276" w:lineRule="auto"/>
        <w:jc w:val="both"/>
      </w:pPr>
      <w:r>
        <w:rPr>
          <w:rFonts w:ascii="Calibri" w:hAnsi="Calibri"/>
          <w:b w:val="0"/>
          <w:i w:val="0"/>
          <w:color w:val="0D0D0D"/>
          <w:sz w:val="22"/>
        </w:rPr>
        <w:t>FY2025: EMEA 6.346 (46%), Americas 3.937 (29%, model changeover), Resto APAC 2.416 (18%), China-HK-Taiwán 941 (7%, mínimo reciente por desaceleración del lujo chino). China pasó de ~11% (2022) a ~7% (2025); EMEA y Americas compensan estructuralmente.</w:t>
      </w:r>
    </w:p>
    <w:p>
      <w:pPr>
        <w:keepNext/>
        <w:spacing w:before="240" w:after="80"/>
      </w:pPr>
      <w:r>
        <w:rPr>
          <w:rFonts w:ascii="Calibri" w:hAnsi="Calibri"/>
          <w:b/>
          <w:i w:val="0"/>
          <w:color w:val="1B2642"/>
          <w:sz w:val="26"/>
        </w:rPr>
        <w:t>§2.5 Distribución y Red de Concesionarios</w:t>
      </w:r>
    </w:p>
    <w:p>
      <w:pPr>
        <w:spacing w:after="120" w:before="0" w:line="276" w:lineRule="auto"/>
        <w:jc w:val="both"/>
      </w:pPr>
      <w:r>
        <w:rPr>
          <w:rFonts w:ascii="Calibri" w:hAnsi="Calibri"/>
          <w:b w:val="0"/>
          <w:i w:val="0"/>
          <w:color w:val="0D0D0D"/>
          <w:sz w:val="22"/>
        </w:rPr>
        <w:t>167+ concesionarios autorizados en más de 60 mercados. La red es deliberadamente pequeña — disciplina de precios y exclusividad percibida. El programa Tailor Made/Atelier Ferrari permite personalización premium con el equipo de diseño de Maranello, generando ~20% de los ingresos de Cars &amp; Spare Parts en Q1 2026 a margen prácticamente puro. Lista de espera: 1–3 años para modelos estándar, 3–5 años para Special Series e Icona; el F80 fue completamente asignado antes de su revelación pública. Order book extendido hasta finales de 2027.</w:t>
      </w:r>
    </w:p>
    <w:p>
      <w:pPr>
        <w:keepNext/>
        <w:spacing w:before="240" w:after="80"/>
      </w:pPr>
      <w:r>
        <w:rPr>
          <w:rFonts w:ascii="Calibri" w:hAnsi="Calibri"/>
          <w:b/>
          <w:i w:val="0"/>
          <w:color w:val="1B2642"/>
          <w:sz w:val="26"/>
        </w:rPr>
        <w:t>§2.6 Cadena de Valor y Modelo de Negocio</w:t>
      </w:r>
    </w:p>
    <w:p>
      <w:pPr>
        <w:spacing w:after="120" w:before="0" w:line="276" w:lineRule="auto"/>
        <w:jc w:val="both"/>
      </w:pPr>
      <w:r>
        <w:rPr>
          <w:rFonts w:ascii="Calibri" w:hAnsi="Calibri"/>
          <w:b w:val="0"/>
          <w:i w:val="0"/>
          <w:color w:val="0D0D0D"/>
          <w:sz w:val="22"/>
        </w:rPr>
        <w:t>Integración vertical en Maranello: diseño in-house, ingeniería de motor, manufactura de bloques motor, ensamblaje de chasis, desarrollo electrónico de híbridos/EV y operaciones de F1. Se subcontratan componentes de menor especificidad (neumáticos Pirelli, interiores de piel, ciertos sistemas electrónicos), pero los activos críticos de conocimiento (bloque motor, transmisión híbrida, aerodinámica) son 100% propietarios. F1 como motor de valor: budget anual estimado ~€400-500M [parcialmente no verificado] que se amortiza globalmente en la valuación de marca y genera ~€670M en ingresos de sponsorship/brand.</w:t>
      </w:r>
    </w:p>
    <w:p>
      <w:pPr>
        <w:keepNext/>
        <w:spacing w:before="240" w:after="80"/>
      </w:pPr>
      <w:r>
        <w:rPr>
          <w:rFonts w:ascii="Calibri" w:hAnsi="Calibri"/>
          <w:b/>
          <w:i w:val="0"/>
          <w:color w:val="1B2642"/>
          <w:sz w:val="26"/>
        </w:rPr>
        <w:t>§2.7 Centralización y Cap de Producción</w:t>
      </w:r>
    </w:p>
    <w:p>
      <w:pPr>
        <w:spacing w:after="120" w:before="0" w:line="276" w:lineRule="auto"/>
        <w:jc w:val="both"/>
      </w:pPr>
      <w:r>
        <w:rPr>
          <w:rFonts w:ascii="Calibri" w:hAnsi="Calibri"/>
          <w:b w:val="0"/>
          <w:i w:val="0"/>
          <w:color w:val="0D0D0D"/>
          <w:sz w:val="22"/>
        </w:rPr>
        <w:t>Una sola fábrica en Maranello. Cap de producción voluntario &lt;14.000 unidades/año — no por limitación física sino por política estratégica de escasez. Evolución: 2019 10.131 (primer año &gt;10k), 2022 13.221 (+19%), 2024 13.752 (+0,7%), 2025 13.640 (-0,8% por model changeover). Ferrari crece en precio y mix (ASP), no en volumen — la clave de la expansión sostenida de márgenes. ASP 2024 ~€470k/coche vs. ~€372k en 2015.</w:t>
      </w:r>
    </w:p>
    <w:p>
      <w:pPr>
        <w:keepNext/>
        <w:spacing w:before="240" w:after="80"/>
      </w:pPr>
      <w:r>
        <w:rPr>
          <w:rFonts w:ascii="Calibri" w:hAnsi="Calibri"/>
          <w:b/>
          <w:i w:val="0"/>
          <w:color w:val="1B2642"/>
          <w:sz w:val="26"/>
        </w:rPr>
        <w:t>§2.8 Equipo Directivo</w:t>
      </w:r>
    </w:p>
    <w:p>
      <w:pPr>
        <w:spacing w:after="120" w:before="0" w:line="276" w:lineRule="auto"/>
        <w:jc w:val="both"/>
      </w:pPr>
      <w:r>
        <w:rPr>
          <w:rFonts w:ascii="Calibri" w:hAnsi="Calibri"/>
          <w:b w:val="0"/>
          <w:i w:val="0"/>
          <w:color w:val="0D0D0D"/>
          <w:sz w:val="22"/>
        </w:rPr>
        <w:t>CEO Benedetto Vigna (desde septiembre 2021): físico de formación, ex-CEO de STMicroelectronics; primer CEO Ferrari con perfil semiconductor/tech, crítico para la transición EV. Estrategia declarada: "technology-neutral portfolio" (ICE + híbrido + EV en paralelo). CFO Antonio Picca Piccon: gestión conservadora documentada en calls trimestrales. Chairman John Elkann (Agnelli): continuidad de la familia accionista en un board de 11 miembros con mayoría de independientes. Compensación CEO 2024: base ~€740k más componentes variables ligados a ROIC/EPS/FCF [LTI no publicado íntegramente].</w:t>
      </w:r>
    </w:p>
    <w:p>
      <w:pPr>
        <w:keepNext/>
        <w:spacing w:before="240" w:after="80"/>
      </w:pPr>
      <w:r>
        <w:rPr>
          <w:rFonts w:ascii="Calibri" w:hAnsi="Calibri"/>
          <w:b/>
          <w:i w:val="0"/>
          <w:color w:val="1B2642"/>
          <w:sz w:val="26"/>
        </w:rPr>
        <w:t>§2.9 Estructura Accionarial</w:t>
      </w:r>
    </w:p>
    <w:p>
      <w:pPr>
        <w:keepNext/>
        <w:spacing w:before="160" w:after="40"/>
      </w:pPr>
      <w:r>
        <w:rPr>
          <w:rFonts w:ascii="Calibri" w:hAnsi="Calibri"/>
          <w:b/>
          <w:i w:val="0"/>
          <w:color w:val="1B2642"/>
          <w:sz w:val="22"/>
        </w:rPr>
        <w:t>§2.9.1 Distribución de capital</w:t>
      </w:r>
    </w:p>
    <w:tbl>
      <w:tblPr>
        <w:tblW w:type="auto" w:w="0"/>
        <w:jc w:val="left"/>
        <w:tblLayout w:type="autofit"/>
        <w:tblLook w:firstColumn="1" w:firstRow="1" w:lastColumn="0" w:lastRow="0" w:noHBand="0" w:noVBand="1" w:val="04A0"/>
      </w:tblPr>
      <w:tblGrid>
        <w:gridCol w:w="3249"/>
        <w:gridCol w:w="3249"/>
        <w:gridCol w:w="3249"/>
      </w:tblGrid>
      <w:tr>
        <w:tc>
          <w:tcPr>
            <w:tcW w:type="dxa" w:w="432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Accionista</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Capital %</w:t>
            </w:r>
          </w:p>
        </w:tc>
        <w:tc>
          <w:tcPr>
            <w:tcW w:type="dxa" w:w="28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Derechos de voto %</w:t>
            </w:r>
          </w:p>
        </w:tc>
      </w:tr>
      <w:tr>
        <w:tc>
          <w:tcPr>
            <w:tcW w:type="dxa" w:w="432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Exor N.V. (familia Agnelli)</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24,65%</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36,48%</w:t>
            </w:r>
          </w:p>
        </w:tc>
      </w:tr>
      <w:tr>
        <w:tc>
          <w:tcPr>
            <w:tcW w:type="dxa" w:w="432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Piero Ferrari (Trust Piero Ferrari)</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10,48%</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15,51%</w:t>
            </w:r>
          </w:p>
        </w:tc>
      </w:tr>
      <w:tr>
        <w:tc>
          <w:tcPr>
            <w:tcW w:type="dxa" w:w="432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Free float (público)</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~58,8%</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~48,01%</w:t>
            </w:r>
          </w:p>
        </w:tc>
      </w:tr>
      <w:tr>
        <w:tc>
          <w:tcPr>
            <w:tcW w:type="dxa" w:w="432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Control combinado Exor + Piero</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~35,1%</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~51,99%</w:t>
            </w:r>
          </w:p>
        </w:tc>
      </w:tr>
    </w:tbl>
    <w:p>
      <w:pPr>
        <w:spacing w:after="0"/>
      </w:pPr>
    </w:p>
    <w:p>
      <w:pPr>
        <w:keepNext/>
        <w:spacing w:before="160" w:after="40"/>
      </w:pPr>
      <w:r>
        <w:rPr>
          <w:rFonts w:ascii="Calibri" w:hAnsi="Calibri"/>
          <w:b/>
          <w:i w:val="0"/>
          <w:color w:val="1B2642"/>
          <w:sz w:val="22"/>
        </w:rPr>
        <w:t>§2.9.2 Comportamiento de insiders y pacto de accionistas</w:t>
      </w:r>
    </w:p>
    <w:p>
      <w:pPr>
        <w:spacing w:after="120" w:before="0" w:line="276" w:lineRule="auto"/>
        <w:jc w:val="both"/>
      </w:pPr>
      <w:r>
        <w:rPr>
          <w:rFonts w:ascii="Calibri" w:hAnsi="Calibri"/>
          <w:b w:val="0"/>
          <w:i w:val="0"/>
          <w:color w:val="0D0D0D"/>
          <w:sz w:val="22"/>
        </w:rPr>
        <w:t>El 3 de enero de 2026, Exor y Piero Ferrari renovaron su pacto de accionistas por tres años adicionales (hasta enero 2029, con renovación automática por otros tres años), confirmando coordinación de voto en juntas y derechos de tanteo recíprocos. El control combinado de ~52% de los derechos de voto les otorga control de facto sobre nombramientos del consejo y decisiones estratégicas. Programa de recompras: &gt;€500M/año en 2024-2025 y €3,5B acumulados previstos 2026-2030 — el peso relativo de Exor y Piero Ferrari aumenta progresivamente (dilución inversa del free float).</w:t>
      </w:r>
    </w:p>
    <w:p>
      <w:pPr>
        <w:keepNext/>
        <w:spacing w:before="160" w:after="40"/>
      </w:pPr>
      <w:r>
        <w:rPr>
          <w:rFonts w:ascii="Calibri" w:hAnsi="Calibri"/>
          <w:b/>
          <w:i w:val="0"/>
          <w:color w:val="1B2642"/>
          <w:sz w:val="22"/>
        </w:rPr>
        <w:t>§2.9.3 Inversores institucionales (superinvestor holders)</w:t>
      </w:r>
    </w:p>
    <w:tbl>
      <w:tblPr>
        <w:tblW w:type="auto" w:w="0"/>
        <w:jc w:val="left"/>
        <w:tblLayout w:type="autofit"/>
        <w:tblLook w:firstColumn="1" w:firstRow="1" w:lastColumn="0" w:lastRow="0" w:noHBand="0" w:noVBand="1" w:val="04A0"/>
      </w:tblPr>
      <w:tblGrid>
        <w:gridCol w:w="3249"/>
        <w:gridCol w:w="3249"/>
        <w:gridCol w:w="3249"/>
      </w:tblGrid>
      <w:tr>
        <w:tc>
          <w:tcPr>
            <w:tcW w:type="dxa" w:w="403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Inversor</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Acciones aprox.</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Valor aprox.</w:t>
            </w:r>
          </w:p>
        </w:tc>
      </w:tr>
      <w:tr>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Vanguard Group</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5,1M</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$2,5B</w:t>
            </w:r>
          </w:p>
        </w:tc>
      </w:tr>
      <w:tr>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Baillie Gifford &amp; Co</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4,3M</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$2,1B</w:t>
            </w:r>
          </w:p>
        </w:tc>
      </w:tr>
      <w:tr>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Amundi</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2,8M</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$1,4B</w:t>
            </w:r>
          </w:p>
        </w:tc>
      </w:tr>
      <w:tr>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Banca d'Italia</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2,4M</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$1,2B</w:t>
            </w:r>
          </w:p>
        </w:tc>
      </w:tr>
      <w:tr>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AllianceBernstein</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1,9M</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$916M</w:t>
            </w:r>
          </w:p>
        </w:tc>
      </w:tr>
      <w:tr>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Jennison Associates</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1,8M</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$903M</w:t>
            </w:r>
          </w:p>
        </w:tc>
      </w:tr>
      <w:tr>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 Rowe Price</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1,8M</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$885M</w:t>
            </w:r>
          </w:p>
        </w:tc>
      </w:tr>
      <w:tr>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Capital Research (Division 3)</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1,3M</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$648M</w:t>
            </w:r>
          </w:p>
        </w:tc>
      </w:tr>
      <w:tr>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BlackRock</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1,2M</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$593M</w:t>
            </w:r>
          </w:p>
        </w:tc>
      </w:tr>
      <w:tr>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FMR (Fidelity)</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1,2M</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$579M</w:t>
            </w:r>
          </w:p>
        </w:tc>
      </w:tr>
    </w:tbl>
    <w:p>
      <w:pPr>
        <w:spacing w:after="0"/>
      </w:pPr>
    </w:p>
    <w:p>
      <w:pPr>
        <w:spacing w:after="120" w:before="0" w:line="276" w:lineRule="auto"/>
        <w:jc w:val="both"/>
      </w:pPr>
      <w:r>
        <w:rPr>
          <w:rFonts w:ascii="Calibri" w:hAnsi="Calibri"/>
          <w:b w:val="0"/>
          <w:i w:val="0"/>
          <w:color w:val="0D0D0D"/>
          <w:sz w:val="22"/>
        </w:rPr>
        <w:t>Berkshire Hathaway no aparece en datos 13F públicos para RACE [no verificado positivamente]. Baillie Gifford y T. Rowe Price son holders growth de alta convicción; Vanguard es indexado. Amundi es european institutional anchor. La presencia de la familia Exor + Piero Ferrari combinada con holders growth de calidad refuerza el perfil de "compounder largo plazo".</w:t>
      </w:r>
    </w:p>
    <w:p>
      <w:pPr>
        <w:keepNext/>
        <w:spacing w:before="360" w:after="160"/>
        <w:pBdr>
          <w:bottom w:val="single" w:sz="12" w:space="4" w:color="B88B47"/>
        </w:pBdr>
      </w:pPr>
      <w:r>
        <w:rPr>
          <w:rFonts w:ascii="Calibri" w:hAnsi="Calibri"/>
          <w:b/>
          <w:i w:val="0"/>
          <w:color w:val="1B2642"/>
          <w:sz w:val="32"/>
        </w:rPr>
        <w:t>§3 — Sector: Bienes de Lujo Personales + Auto Premium Híbrido</w:t>
      </w:r>
    </w:p>
    <w:p>
      <w:pPr>
        <w:keepNext/>
        <w:spacing w:before="240" w:after="80"/>
      </w:pPr>
      <w:r>
        <w:rPr>
          <w:rFonts w:ascii="Calibri" w:hAnsi="Calibri"/>
          <w:b/>
          <w:i w:val="0"/>
          <w:color w:val="1B2642"/>
          <w:sz w:val="26"/>
        </w:rPr>
        <w:t>§3.1 Definición del Sector</w:t>
      </w:r>
    </w:p>
    <w:p>
      <w:pPr>
        <w:spacing w:after="120" w:before="0" w:line="276" w:lineRule="auto"/>
        <w:jc w:val="both"/>
      </w:pPr>
      <w:r>
        <w:rPr>
          <w:rFonts w:ascii="Calibri" w:hAnsi="Calibri"/>
          <w:b w:val="0"/>
          <w:i w:val="0"/>
          <w:color w:val="0D0D0D"/>
          <w:sz w:val="22"/>
        </w:rPr>
        <w:t>Ferrari NO es una empresa de automóviles. Es una empresa de bienes de lujo personales que acontece producir automóviles. Los fabricantes de automóviles masivos cotizan a 5-10x EV/EBITDA; Ferrari cotiza a ~18-21x EV/EBITDA, comparable a Hermès. Valor de capitalización por coche: Ferrari ~$6,6M; Porsche ~$37k; BMW ~$6k. Bajo la taxonomía Bain &amp; Company, Ferrari pertenece al absolute luxury segment, junto con Hermès, Brunello Cucinelli, Patek Philippe y Audemars Piguet. El comparable más relevante es Hermès (Birkin = lista de espera + clientes seleccionados + escasez voluntaria + herencia = modelo Ferrari).</w:t>
      </w:r>
    </w:p>
    <w:p>
      <w:pPr>
        <w:keepNext/>
        <w:spacing w:before="240" w:after="80"/>
      </w:pPr>
      <w:r>
        <w:rPr>
          <w:rFonts w:ascii="Calibri" w:hAnsi="Calibri"/>
          <w:b/>
          <w:i w:val="0"/>
          <w:color w:val="1B2642"/>
          <w:sz w:val="26"/>
        </w:rPr>
        <w:t>§3.2 TAM y Mercado Accesible</w:t>
      </w:r>
    </w:p>
    <w:p>
      <w:pPr>
        <w:spacing w:after="120" w:before="0" w:line="276" w:lineRule="auto"/>
        <w:jc w:val="both"/>
      </w:pPr>
      <w:r>
        <w:rPr>
          <w:rFonts w:ascii="Calibri" w:hAnsi="Calibri"/>
          <w:b w:val="0"/>
          <w:i w:val="0"/>
          <w:color w:val="0D0D0D"/>
          <w:sz w:val="22"/>
        </w:rPr>
        <w:t>Personal luxury goods (Bain-Altagamma 2025): €364B en 2024, ~€358B en 2025 (-2%), retorno a +3-5% en 2026, proyección €525-640B para 2035. Ultra-luxury auto (&gt;$200k MSRP): $52,7B en 2024, CAGR 7,9% hasta 2033 ($103,4B). Ferrari representa ~13.750 unidades a ASP ~€470k. UHNWI base: ~52M individuos con &gt;$1M, riqueza global +4,6% en 2024 (Americas +11%). Transferencia intergeneracional &gt;$83T en próximos 20-25 años — tailwind secular.</w:t>
      </w:r>
    </w:p>
    <w:p>
      <w:pPr>
        <w:keepNext/>
        <w:spacing w:before="240" w:after="80"/>
      </w:pPr>
      <w:r>
        <w:rPr>
          <w:rFonts w:ascii="Calibri" w:hAnsi="Calibri"/>
          <w:b/>
          <w:i w:val="0"/>
          <w:color w:val="1B2642"/>
          <w:sz w:val="26"/>
        </w:rPr>
        <w:t>§3.3 Naturaleza Cíclica del Sector</w:t>
      </w:r>
    </w:p>
    <w:p>
      <w:pPr>
        <w:spacing w:after="120" w:before="0" w:line="276" w:lineRule="auto"/>
        <w:jc w:val="both"/>
      </w:pPr>
      <w:r>
        <w:rPr>
          <w:rFonts w:ascii="Calibri" w:hAnsi="Calibri"/>
          <w:b w:val="0"/>
          <w:i w:val="0"/>
          <w:color w:val="0D0D0D"/>
          <w:sz w:val="22"/>
        </w:rPr>
        <w:t>Ciclicidad moderada, inferior al auto masivo. 2008-2009: producción cayó de 6.587 a 6.250 (-5,1%), recuperación rápida sin pérdidas operativas. 2020 COVID: -10% en unidades, márgenes se mantuvieron en 20%+. El order book de 1-2 años (actualmente hasta finales de 2027) actúa como buffer estructural contra recesiones cortas — los pedidos son irrevocables con anticipos.</w:t>
      </w:r>
    </w:p>
    <w:p>
      <w:pPr>
        <w:keepNext/>
        <w:spacing w:before="240" w:after="80"/>
      </w:pPr>
      <w:r>
        <w:rPr>
          <w:rFonts w:ascii="Calibri" w:hAnsi="Calibri"/>
          <w:b/>
          <w:i w:val="0"/>
          <w:color w:val="1B2642"/>
          <w:sz w:val="26"/>
        </w:rPr>
        <w:t>§3.4 Ciclo Industrial 2024-2025</w:t>
      </w:r>
    </w:p>
    <w:p>
      <w:pPr>
        <w:spacing w:after="120" w:before="0" w:line="276" w:lineRule="auto"/>
        <w:jc w:val="both"/>
      </w:pPr>
      <w:r>
        <w:rPr>
          <w:rFonts w:ascii="Calibri" w:hAnsi="Calibri"/>
          <w:b w:val="0"/>
          <w:i w:val="0"/>
          <w:color w:val="0D0D0D"/>
          <w:sz w:val="22"/>
        </w:rPr>
        <w:t>Ralentización del lujo en 2024-2025: -1% en 2024, -2% en 2025; China -6 a -8% en 2025. Ferrari supera significativamente al sector: FY2024 +11,8%, FY2025 +7%, Q1 2026 +3% (+6% a tipos constantes). El modelo de scarcity + personalizaciones + mix-shift desacopla a Ferrari de la ciclicidad del lujo masivo.</w:t>
      </w:r>
    </w:p>
    <w:p>
      <w:pPr>
        <w:keepNext/>
        <w:spacing w:before="240" w:after="80"/>
      </w:pPr>
      <w:r>
        <w:rPr>
          <w:rFonts w:ascii="Calibri" w:hAnsi="Calibri"/>
          <w:b/>
          <w:i w:val="0"/>
          <w:color w:val="1B2642"/>
          <w:sz w:val="26"/>
        </w:rPr>
        <w:t>§3.5 Competidores</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01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Empresa</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Propietario</w:t>
            </w:r>
          </w:p>
        </w:tc>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Posición</w:t>
            </w:r>
          </w:p>
        </w:tc>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Comparabilidad Ferrari</w:t>
            </w:r>
          </w:p>
        </w:tc>
      </w:tr>
      <w:tr>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Lamborghini</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VW Group / Audi</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Modelo similar (Huracán, Urus)</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Alta en sports, menor en heritage</w:t>
            </w:r>
          </w:p>
        </w:tc>
      </w:tr>
      <w:tr>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Porsche AG</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Volkswagen Group</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Masiva vs. ultra-lujo; Cayenne diluye</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 — Porsche es más masivo</w:t>
            </w:r>
          </w:p>
        </w:tc>
      </w:tr>
      <w:tr>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Aston Martin</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PIF + Yew Tree</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Estructura financiera frágil</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Baja — estructuralmente débil</w:t>
            </w:r>
          </w:p>
        </w:tc>
      </w:tr>
      <w:tr>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McLaren</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Mumtalakat</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Volumen pequeño, pérdidas crónicas</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Baja</w:t>
            </w:r>
          </w:p>
        </w:tc>
      </w:tr>
      <w:tr>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Rolls-Royce</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BMW</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Ultra-lujo berlines; no sports</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Baja — segmento distinto</w:t>
            </w:r>
          </w:p>
        </w:tc>
      </w:tr>
      <w:tr>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Bentley</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VW Group</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GT de lujo</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 — cliente diferente</w:t>
            </w:r>
          </w:p>
        </w:tc>
      </w:tr>
      <w:tr>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Hermès</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Hermès Intl</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Bolsos, no coches — mejor modelo comparable</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El mejor comparable de valoración</w:t>
            </w:r>
          </w:p>
        </w:tc>
      </w:tr>
    </w:tbl>
    <w:p>
      <w:pPr>
        <w:spacing w:after="0"/>
      </w:pPr>
    </w:p>
    <w:p>
      <w:pPr>
        <w:spacing w:after="120" w:before="0" w:line="276" w:lineRule="auto"/>
        <w:jc w:val="both"/>
      </w:pPr>
      <w:r>
        <w:rPr>
          <w:rFonts w:ascii="Calibri" w:hAnsi="Calibri"/>
          <w:b w:val="0"/>
          <w:i w:val="0"/>
          <w:color w:val="0D0D0D"/>
          <w:sz w:val="22"/>
        </w:rPr>
        <w:t>Aston Martin: pérdidas pre-tax £255,5M en 2024 (+48,7%), deuda neta £1,16B, múltiples insolvencias históricas. Lección: marca de lujo sin disciplina operativa/financiera fracasa. Lamborghini fue adquirida por Audi por ~$110M en 1998 cuando estaba casi en quiebra — sin respaldo industrial fuerte, la marca sola no basta.</w:t>
      </w:r>
    </w:p>
    <w:p>
      <w:pPr>
        <w:keepNext/>
        <w:spacing w:before="240" w:after="80"/>
      </w:pPr>
      <w:r>
        <w:rPr>
          <w:rFonts w:ascii="Calibri" w:hAnsi="Calibri"/>
          <w:b/>
          <w:i w:val="0"/>
          <w:color w:val="1B2642"/>
          <w:sz w:val="26"/>
        </w:rPr>
        <w:t>§3.6 Cinco Fuerzas de Porter</w:t>
      </w:r>
    </w:p>
    <w:tbl>
      <w:tblPr>
        <w:tblW w:type="auto" w:w="0"/>
        <w:jc w:val="left"/>
        <w:tblLayout w:type="autofit"/>
        <w:tblLook w:firstColumn="1" w:firstRow="1" w:lastColumn="0" w:lastRow="0" w:noHBand="0" w:noVBand="1" w:val="04A0"/>
      </w:tblPr>
      <w:tblGrid>
        <w:gridCol w:w="3249"/>
        <w:gridCol w:w="3249"/>
        <w:gridCol w:w="3249"/>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Fuerza</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Intensidad</w:t>
            </w:r>
          </w:p>
        </w:tc>
        <w:tc>
          <w:tcPr>
            <w:tcW w:type="dxa" w:w="50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Análisis</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Amenaza nuevos entrantes</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MUY BAJA</w:t>
            </w:r>
          </w:p>
        </w:tc>
        <w:tc>
          <w:tcPr>
            <w:tcW w:type="dxa" w:w="50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Heritage 80 años irreplicable; F1 desde 1950; red de concesionarios; clientes aprobados</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Sustitutos</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MODERADO</w:t>
            </w:r>
          </w:p>
        </w:tc>
        <w:tc>
          <w:tcPr>
            <w:tcW w:type="dxa" w:w="50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Otros bienes de lujo compiten por wallet share UHNWI</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Poder cliente</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MUY BAJO</w:t>
            </w:r>
          </w:p>
        </w:tc>
        <w:tc>
          <w:tcPr>
            <w:tcW w:type="dxa" w:w="50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Ferrari elige a sus clientes; waitlist = poder negociación cero</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Poder proveedor</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MODERADO</w:t>
            </w:r>
          </w:p>
        </w:tc>
        <w:tc>
          <w:tcPr>
            <w:tcW w:type="dxa" w:w="50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Pirelli, carbono, electrónica de potencia; mitigado por integración vertical</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Rivalidad</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BAJA-MODERADA</w:t>
            </w:r>
          </w:p>
        </w:tc>
        <w:tc>
          <w:tcPr>
            <w:tcW w:type="dxa" w:w="50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Lamborghini competidor más directo; Ferrari opera en estrato propio</w:t>
            </w:r>
          </w:p>
        </w:tc>
      </w:tr>
    </w:tbl>
    <w:p>
      <w:pPr>
        <w:spacing w:after="0"/>
      </w:pPr>
    </w:p>
    <w:p>
      <w:pPr>
        <w:keepNext/>
        <w:spacing w:before="240" w:after="80"/>
      </w:pPr>
      <w:r>
        <w:rPr>
          <w:rFonts w:ascii="Calibri" w:hAnsi="Calibri"/>
          <w:b/>
          <w:i w:val="0"/>
          <w:color w:val="1B2642"/>
          <w:sz w:val="26"/>
        </w:rPr>
        <w:t>§3.7 Macro y Factores Externos</w:t>
      </w:r>
    </w:p>
    <w:p>
      <w:pPr>
        <w:spacing w:after="120" w:before="0" w:line="276" w:lineRule="auto"/>
        <w:jc w:val="both"/>
      </w:pPr>
      <w:r>
        <w:rPr>
          <w:rFonts w:ascii="Calibri" w:hAnsi="Calibri"/>
          <w:b w:val="0"/>
          <w:i w:val="0"/>
          <w:color w:val="0D0D0D"/>
          <w:sz w:val="22"/>
        </w:rPr>
        <w:t>Favorables: crecimiento estructural de riqueza UHNWI (+4,6% en 2024), expansión F1 (Las Vegas GP, Drive to Survive de Netflix), Oriente Medio como hub de lujo, transferencia intergeneracional de $83T+. Riesgos: regulación EU CO2/CAFE (mitigado por scarcity y estrategia tech-neutral), debilidad China (-22% en 2024, recorte adicional 2025), USD/EUR FX (headwind ~€200M en FY2026), aranceles US (+5% sobre coste de importación, parcialmente compensado por mix).</w:t>
      </w:r>
    </w:p>
    <w:p>
      <w:pPr>
        <w:keepNext/>
        <w:spacing w:before="240" w:after="80"/>
      </w:pPr>
      <w:r>
        <w:rPr>
          <w:rFonts w:ascii="Calibri" w:hAnsi="Calibri"/>
          <w:b/>
          <w:i w:val="0"/>
          <w:color w:val="1B2642"/>
          <w:sz w:val="26"/>
        </w:rPr>
        <w:t>§3.8 KPIs Industria</w:t>
      </w:r>
    </w:p>
    <w:p>
      <w:pPr>
        <w:spacing w:after="120" w:before="0" w:line="276" w:lineRule="auto"/>
        <w:jc w:val="both"/>
      </w:pPr>
      <w:r>
        <w:rPr>
          <w:rFonts w:ascii="Calibri" w:hAnsi="Calibri"/>
          <w:b w:val="0"/>
          <w:i w:val="0"/>
          <w:color w:val="0D0D0D"/>
          <w:sz w:val="22"/>
        </w:rPr>
        <w:t>Volumen anual, ASP, % personalización, longitud del order book, brand value rankings (Interbrand, Brand Finance), F1 Constructors' position (proxy de salud de marca), EBIT margin y ROIC.</w:t>
      </w:r>
    </w:p>
    <w:p>
      <w:pPr>
        <w:keepNext/>
        <w:spacing w:before="240" w:after="80"/>
      </w:pPr>
      <w:r>
        <w:rPr>
          <w:rFonts w:ascii="Calibri" w:hAnsi="Calibri"/>
          <w:b/>
          <w:i w:val="0"/>
          <w:color w:val="1B2642"/>
          <w:sz w:val="26"/>
        </w:rPr>
        <w:t>§3.9 Tendencias Sectoriales</w:t>
      </w:r>
    </w:p>
    <w:p>
      <w:pPr>
        <w:spacing w:after="120" w:before="0" w:line="276" w:lineRule="auto"/>
        <w:jc w:val="both"/>
      </w:pPr>
      <w:r>
        <w:rPr>
          <w:rFonts w:ascii="Calibri" w:hAnsi="Calibri"/>
          <w:b w:val="0"/>
          <w:i w:val="0"/>
          <w:color w:val="0D0D0D"/>
          <w:sz w:val="22"/>
        </w:rPr>
        <w:t>(1) Electrificación timing: Ferrari controla la transición vía Luce (mayo 2026) sin capitular. (2) Shift hacia modelos más caros (F80 $3,9M, SF90 XX, 296 Speciale) — expansión ASP/margen. (3) UHNWI jóvenes en India y MENA — pipeline secular nuevo. (4) F1 + Drive to Survive amplían audiencia +30-40%, funnel aspiracional. (5) Lifestyle como negocio independiente (+17%/año), Old Bond Street 2026.</w:t>
      </w:r>
    </w:p>
    <w:p>
      <w:pPr>
        <w:keepNext/>
        <w:spacing w:before="240" w:after="80"/>
      </w:pPr>
      <w:r>
        <w:rPr>
          <w:rFonts w:ascii="Calibri" w:hAnsi="Calibri"/>
          <w:b/>
          <w:i w:val="0"/>
          <w:color w:val="1B2642"/>
          <w:sz w:val="26"/>
        </w:rPr>
        <w:t>§3.10 Cuota de Mercado</w:t>
      </w:r>
    </w:p>
    <w:p>
      <w:pPr>
        <w:spacing w:after="120" w:before="0" w:line="276" w:lineRule="auto"/>
        <w:jc w:val="both"/>
      </w:pPr>
      <w:r>
        <w:rPr>
          <w:rFonts w:ascii="Calibri" w:hAnsi="Calibri"/>
          <w:b w:val="0"/>
          <w:i w:val="0"/>
          <w:color w:val="0D0D0D"/>
          <w:sz w:val="22"/>
        </w:rPr>
        <w:t>Ferrari controla aproximadamente ~25% del segmento de automóviles ultra-premium (&gt;$200k MSRP) a nivel global [estimación; cuota exacta no publicada]. En unidades absolutas Ferrari es uno de los nombres líderes, pero su valor económico (~$59B market cap) supera ampliamente al de competidores con volumen similar.</w:t>
      </w:r>
    </w:p>
    <w:p>
      <w:pPr>
        <w:keepNext/>
        <w:spacing w:before="240" w:after="80"/>
      </w:pPr>
      <w:r>
        <w:rPr>
          <w:rFonts w:ascii="Calibri" w:hAnsi="Calibri"/>
          <w:b/>
          <w:i w:val="0"/>
          <w:color w:val="1B2642"/>
          <w:sz w:val="26"/>
        </w:rPr>
        <w:t>§3.11 Fracasos de la Industria</w:t>
      </w:r>
    </w:p>
    <w:p>
      <w:pPr>
        <w:spacing w:after="120" w:before="0" w:line="276" w:lineRule="auto"/>
        <w:jc w:val="both"/>
      </w:pPr>
      <w:r>
        <w:rPr>
          <w:rFonts w:ascii="Calibri" w:hAnsi="Calibri"/>
          <w:b w:val="0"/>
          <w:i w:val="0"/>
          <w:color w:val="0D0D0D"/>
          <w:sz w:val="22"/>
        </w:rPr>
        <w:t>Aston Martin: 7+ insolvencias históricas, estructura deuda insostenible. Lección — heritage sin disciplina financiera fracasa. Lamborghini (1990s): near-death antes de Audi. Lección — sin respaldo industrial la marca sola no basta. Pagani/Koenigsegg: micro-volumen (&lt;200 u/año), sin economías de escala ni capacidad sostenida de inversión.</w:t>
      </w:r>
    </w:p>
    <w:p>
      <w:pPr>
        <w:keepNext/>
        <w:spacing w:before="360" w:after="160"/>
        <w:pBdr>
          <w:bottom w:val="single" w:sz="12" w:space="4" w:color="B88B47"/>
        </w:pBdr>
      </w:pPr>
      <w:r>
        <w:rPr>
          <w:rFonts w:ascii="Calibri" w:hAnsi="Calibri"/>
          <w:b/>
          <w:i w:val="0"/>
          <w:color w:val="1B2642"/>
          <w:sz w:val="32"/>
        </w:rPr>
        <w:t>§4 — Clientes</w:t>
      </w:r>
    </w:p>
    <w:p>
      <w:pPr>
        <w:keepNext/>
        <w:spacing w:before="240" w:after="80"/>
      </w:pPr>
      <w:r>
        <w:rPr>
          <w:rFonts w:ascii="Calibri" w:hAnsi="Calibri"/>
          <w:b/>
          <w:i w:val="0"/>
          <w:color w:val="1B2642"/>
          <w:sz w:val="26"/>
        </w:rPr>
        <w:t>§4.1 Perfil del Cliente Ferrari</w:t>
      </w:r>
    </w:p>
    <w:p>
      <w:pPr>
        <w:spacing w:after="120" w:before="0" w:line="276" w:lineRule="auto"/>
        <w:jc w:val="both"/>
      </w:pPr>
      <w:r>
        <w:rPr>
          <w:rFonts w:ascii="Calibri" w:hAnsi="Calibri"/>
          <w:b w:val="0"/>
          <w:i w:val="0"/>
          <w:color w:val="0D0D0D"/>
          <w:sz w:val="22"/>
        </w:rPr>
        <w:t>HNW/UHNWI con patrimonio neto promedio ~$30M+; compradores de Icona/Hypercar típicamente &gt;$100M. Edad histórica 45-55 años; Roma y Purosangue han atraído compradores de 40-45. Más del 80% son propietarios actuales de Ferrari al comprar otro (recurrencia extrema).</w:t>
      </w:r>
    </w:p>
    <w:p>
      <w:pPr>
        <w:keepNext/>
        <w:spacing w:before="240" w:after="80"/>
      </w:pPr>
      <w:r>
        <w:rPr>
          <w:rFonts w:ascii="Calibri" w:hAnsi="Calibri"/>
          <w:b/>
          <w:i w:val="0"/>
          <w:color w:val="1B2642"/>
          <w:sz w:val="26"/>
        </w:rPr>
        <w:t>§4.2 Ticket Promedio y Personalización</w:t>
      </w:r>
    </w:p>
    <w:p>
      <w:pPr>
        <w:spacing w:after="120" w:before="0" w:line="276" w:lineRule="auto"/>
        <w:jc w:val="both"/>
      </w:pPr>
      <w:r>
        <w:rPr>
          <w:rFonts w:ascii="Calibri" w:hAnsi="Calibri"/>
          <w:b w:val="0"/>
          <w:i w:val="0"/>
          <w:color w:val="0D0D0D"/>
          <w:sz w:val="22"/>
        </w:rPr>
        <w:t>Precio base €240k (Roma) a €3,9M (F80); mayoría de la gama deportiva en €350-600k. Con Tailor Made, un SF90 puede superar €1M. Personalización ~20% de Cars &amp; Spare Parts en Q1 2026 (y creciendo cada trimestre) — margen prácticamente puro. Intervalo de recompra ~3-5 años; muchos clientes mantienen 3-8 Ferraris simultáneamente.</w:t>
      </w:r>
    </w:p>
    <w:p>
      <w:pPr>
        <w:keepNext/>
        <w:spacing w:before="240" w:after="80"/>
      </w:pPr>
      <w:r>
        <w:rPr>
          <w:rFonts w:ascii="Calibri" w:hAnsi="Calibri"/>
          <w:b/>
          <w:i w:val="0"/>
          <w:color w:val="1B2642"/>
          <w:sz w:val="26"/>
        </w:rPr>
        <w:t>§4.3 Tipología de Clientes</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Tribu</w:t>
            </w:r>
          </w:p>
        </w:tc>
        <w:tc>
          <w:tcPr>
            <w:tcW w:type="dxa" w:w="28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Perfil</w:t>
            </w:r>
          </w:p>
        </w:tc>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Modelo preferido</w:t>
            </w:r>
          </w:p>
        </w:tc>
        <w:tc>
          <w:tcPr>
            <w:tcW w:type="dxa" w:w="244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Valor para Ferrari</w:t>
            </w:r>
          </w:p>
        </w:tc>
      </w:tr>
      <w:tr>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Coleccionistas</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5-20 Ferraris; Icona/ediciones limitadas</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Daytona SP3, 849 Testarossa, F80</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Máximo CLTV; cero elasticidad precio</w:t>
            </w:r>
          </w:p>
        </w:tc>
      </w:tr>
      <w:tr>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Track enthusiasts</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Circuito; F1 Clienti</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296 Speciale, 812 Comp., F80</w:t>
            </w:r>
          </w:p>
        </w:tc>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Alto ASP; fidelización máxima</w:t>
            </w:r>
          </w:p>
        </w:tc>
      </w:tr>
      <w:tr>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Daily luxury</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Ferrari como coche principal</w:t>
            </w:r>
          </w:p>
        </w:tc>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Roma, Purosangue</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Volumen + entrada a la pirámide</w:t>
            </w:r>
          </w:p>
        </w:tc>
      </w:tr>
      <w:tr>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Investment buyers</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Ferraris como activo</w:t>
            </w:r>
          </w:p>
        </w:tc>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Cualquier edición limitada</w:t>
            </w:r>
          </w:p>
        </w:tc>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Liquidez secundaria que sostiene precios</w:t>
            </w:r>
          </w:p>
        </w:tc>
      </w:tr>
    </w:tbl>
    <w:p>
      <w:pPr>
        <w:spacing w:after="0"/>
      </w:pPr>
    </w:p>
    <w:p>
      <w:pPr>
        <w:keepNext/>
        <w:spacing w:before="240" w:after="80"/>
      </w:pPr>
      <w:r>
        <w:rPr>
          <w:rFonts w:ascii="Calibri" w:hAnsi="Calibri"/>
          <w:b/>
          <w:i w:val="0"/>
          <w:color w:val="1B2642"/>
          <w:sz w:val="26"/>
        </w:rPr>
        <w:t>§4.4 Percepción de Marca y Poder del Cliente</w:t>
      </w:r>
    </w:p>
    <w:p>
      <w:pPr>
        <w:spacing w:after="120" w:before="0" w:line="276" w:lineRule="auto"/>
        <w:jc w:val="both"/>
      </w:pPr>
      <w:r>
        <w:rPr>
          <w:rFonts w:ascii="Calibri" w:hAnsi="Calibri"/>
          <w:b w:val="0"/>
          <w:i w:val="0"/>
          <w:color w:val="0D0D0D"/>
          <w:sz w:val="22"/>
        </w:rPr>
        <w:t>Jerarquía invertida: Ferrari selecciona a los compradores de modelos exclusivos. Un cliente con 5 Ferraris consecutivos puede ser invitado a un Icona; un nuevo comprador puede esperar décadas. Brand Finance BSI 2025: 90,1/100 (segunda marca italiana en valor, €12,9B brand value); Ferrari fue marca más fuerte del mundo en 2019-2020 (BSI 94,1). Interbrand 2025: +17% en valor de marca, impulsado por moda, accesorios y lifestyle.</w:t>
      </w:r>
    </w:p>
    <w:p>
      <w:pPr>
        <w:keepNext/>
        <w:spacing w:before="240" w:after="80"/>
      </w:pPr>
      <w:r>
        <w:rPr>
          <w:rFonts w:ascii="Calibri" w:hAnsi="Calibri"/>
          <w:b/>
          <w:i w:val="0"/>
          <w:color w:val="1B2642"/>
          <w:sz w:val="26"/>
        </w:rPr>
        <w:t>§4.5 Mix Regional de Clientes</w:t>
      </w:r>
    </w:p>
    <w:p>
      <w:pPr>
        <w:spacing w:after="120" w:before="0" w:line="276" w:lineRule="auto"/>
        <w:jc w:val="both"/>
      </w:pPr>
      <w:r>
        <w:rPr>
          <w:rFonts w:ascii="Calibri" w:hAnsi="Calibri"/>
          <w:b w:val="0"/>
          <w:i w:val="0"/>
          <w:color w:val="0D0D0D"/>
          <w:sz w:val="22"/>
        </w:rPr>
        <w:t>Americas (29% de unidades): región de mayor crecimiento 2024 y Q1 2026. EMEA (46%): core estable. China-HK-Taiwán (7-8%, 2025): en declive, riesgo gestionado activamente. Resto APAC (17-18%): Oriente Medio (UAE, Arabia Saudí) creciente, India emergente, Japón estable.</w:t>
      </w:r>
    </w:p>
    <w:p>
      <w:pPr>
        <w:keepNext/>
        <w:spacing w:before="240" w:after="80"/>
      </w:pPr>
      <w:r>
        <w:rPr>
          <w:rFonts w:ascii="Calibri" w:hAnsi="Calibri"/>
          <w:b/>
          <w:i w:val="0"/>
          <w:color w:val="1B2642"/>
          <w:sz w:val="26"/>
        </w:rPr>
        <w:t>§4.6 NPS e Indicadores de Satisfacción</w:t>
      </w:r>
    </w:p>
    <w:p>
      <w:pPr>
        <w:spacing w:after="120" w:before="0" w:line="276" w:lineRule="auto"/>
        <w:jc w:val="both"/>
      </w:pPr>
      <w:r>
        <w:rPr>
          <w:rFonts w:ascii="Calibri" w:hAnsi="Calibri"/>
          <w:b w:val="0"/>
          <w:i w:val="0"/>
          <w:color w:val="0D0D0D"/>
          <w:sz w:val="22"/>
        </w:rPr>
        <w:t>Ferrari no publica NPS, pero los indicadores proxy son excepcionales: order book hasta finales de 2027 (~18 meses de visibilidad), tasa de recompra &gt;80% [estimación de analistas], personalización en aumento constante (~20% de ingresos coches), F1 Clienti con lista de espera y tickets €200k+/evento.</w:t>
      </w:r>
    </w:p>
    <w:p>
      <w:pPr>
        <w:keepNext/>
        <w:spacing w:before="240" w:after="80"/>
      </w:pPr>
      <w:r>
        <w:rPr>
          <w:rFonts w:ascii="Calibri" w:hAnsi="Calibri"/>
          <w:b/>
          <w:i w:val="0"/>
          <w:color w:val="1B2642"/>
          <w:sz w:val="26"/>
        </w:rPr>
        <w:t>§4.7 Diversificación y Concentración</w:t>
      </w:r>
    </w:p>
    <w:p>
      <w:pPr>
        <w:spacing w:after="120" w:before="0" w:line="276" w:lineRule="auto"/>
        <w:jc w:val="both"/>
      </w:pPr>
      <w:r>
        <w:rPr>
          <w:rFonts w:ascii="Calibri" w:hAnsi="Calibri"/>
          <w:b w:val="0"/>
          <w:i w:val="0"/>
          <w:color w:val="0D0D0D"/>
          <w:sz w:val="22"/>
        </w:rPr>
        <w:t>Ningún cliente supera el 5% de ingresos. Base de compradores HNW suficientemente amplia y fragmentada para que la dependencia de un solo cliente sea nula.</w:t>
      </w:r>
    </w:p>
    <w:p>
      <w:pPr>
        <w:keepNext/>
        <w:spacing w:before="240" w:after="80"/>
      </w:pPr>
      <w:r>
        <w:rPr>
          <w:rFonts w:ascii="Calibri" w:hAnsi="Calibri"/>
          <w:b/>
          <w:i w:val="0"/>
          <w:color w:val="1B2642"/>
          <w:sz w:val="26"/>
        </w:rPr>
        <w:t>§4.8 Customer Acquisition Cost (CAC)</w:t>
      </w:r>
    </w:p>
    <w:p>
      <w:pPr>
        <w:spacing w:after="120" w:before="0" w:line="276" w:lineRule="auto"/>
        <w:jc w:val="both"/>
      </w:pPr>
      <w:r>
        <w:rPr>
          <w:rFonts w:ascii="Calibri" w:hAnsi="Calibri"/>
          <w:b w:val="0"/>
          <w:i w:val="0"/>
          <w:color w:val="0D0D0D"/>
          <w:sz w:val="22"/>
        </w:rPr>
        <w:t>Prácticamente cero. Modelo de adquisición orgánico: listas de espera, F1 como marketing global gratuito, sistema de invitación para Icona/Hypercar, recomendación de boca en boca en comunidades UHNWI. El único coste de adquisición relevante es la inversión en F1 (~€400-500M/año estimados) — más que compensada por ingresos de patrocinio.</w:t>
      </w:r>
    </w:p>
    <w:p>
      <w:pPr>
        <w:keepNext/>
        <w:spacing w:before="240" w:after="80"/>
      </w:pPr>
      <w:r>
        <w:rPr>
          <w:rFonts w:ascii="Calibri" w:hAnsi="Calibri"/>
          <w:b/>
          <w:i w:val="0"/>
          <w:color w:val="1B2642"/>
          <w:sz w:val="26"/>
        </w:rPr>
        <w:t>§4.10 Customer Lifetime Value (CLTV)</w:t>
      </w:r>
    </w:p>
    <w:p>
      <w:pPr>
        <w:spacing w:after="120" w:before="0" w:line="276" w:lineRule="auto"/>
        <w:jc w:val="both"/>
      </w:pPr>
      <w:r>
        <w:rPr>
          <w:rFonts w:ascii="Calibri" w:hAnsi="Calibri"/>
          <w:b w:val="0"/>
          <w:i w:val="0"/>
          <w:color w:val="0D0D0D"/>
          <w:sz w:val="22"/>
        </w:rPr>
        <w:t>Un cliente repeat de Ferrari en su ciclo de vida puede comprar 5-10 coches × €470k ASP = €2,35-4,7M en coches, +20% personalización (€470-940k), +F1 Clienti (€200k+/evento) +lifestyle. CLTV estimado: €3-6M+ por cliente de alto valor. Este CLTV justifica la inversión de Ferrari en relaciones vitalicias.</w:t>
      </w:r>
    </w:p>
    <w:p>
      <w:pPr>
        <w:keepNext/>
        <w:spacing w:before="240" w:after="80"/>
      </w:pPr>
      <w:r>
        <w:rPr>
          <w:rFonts w:ascii="Calibri" w:hAnsi="Calibri"/>
          <w:b/>
          <w:i w:val="0"/>
          <w:color w:val="1B2642"/>
          <w:sz w:val="26"/>
        </w:rPr>
        <w:t>§4.11 Scuttlebutt y Señales de Mercado</w:t>
      </w:r>
    </w:p>
    <w:p>
      <w:pPr>
        <w:spacing w:after="120" w:before="0" w:line="276" w:lineRule="auto"/>
        <w:jc w:val="both"/>
      </w:pPr>
      <w:r>
        <w:rPr>
          <w:rFonts w:ascii="Calibri" w:hAnsi="Calibri"/>
          <w:b w:val="0"/>
          <w:i w:val="0"/>
          <w:color w:val="0D0D0D"/>
          <w:sz w:val="22"/>
        </w:rPr>
        <w:t>Comunidades de propietarios (FerrariChat, clubes oficiales) muestran lealtad excepcional. Mercado secundario: precios Ferrari usados con ligera apreciación (+3,63% i/a, ago-2025 CarGurus) — la marca no se ha depreciado. Glassdoor: positivo, baja rotación, alto orgullo de pertenencia [parcialmente no verificado].</w:t>
      </w:r>
    </w:p>
    <w:p>
      <w:pPr>
        <w:keepNext/>
        <w:spacing w:before="360" w:after="160"/>
        <w:pBdr>
          <w:bottom w:val="single" w:sz="12" w:space="4" w:color="B88B47"/>
        </w:pBdr>
      </w:pPr>
      <w:r>
        <w:rPr>
          <w:rFonts w:ascii="Calibri" w:hAnsi="Calibri"/>
          <w:b/>
          <w:i w:val="0"/>
          <w:color w:val="1B2642"/>
          <w:sz w:val="32"/>
        </w:rPr>
        <w:t>§5 — Análisis Cualitativo: El Foso Competitivo (MOAT)</w:t>
      </w:r>
    </w:p>
    <w:p>
      <w:pPr>
        <w:keepNext/>
        <w:spacing w:before="240" w:after="80"/>
      </w:pPr>
      <w:r>
        <w:rPr>
          <w:rFonts w:ascii="Calibri" w:hAnsi="Calibri"/>
          <w:b/>
          <w:i w:val="0"/>
          <w:color w:val="1B2642"/>
          <w:sz w:val="26"/>
        </w:rPr>
        <w:t>§5.1 Marco de Greenwald — Tres Fuentes del Moat</w:t>
      </w:r>
    </w:p>
    <w:tbl>
      <w:tblPr>
        <w:tblW w:type="auto" w:w="0"/>
        <w:jc w:val="left"/>
        <w:tblLayout w:type="autofit"/>
        <w:tblLook w:firstColumn="1" w:firstRow="1" w:lastColumn="0" w:lastRow="0" w:noHBand="0" w:noVBand="1" w:val="04A0"/>
      </w:tblPr>
      <w:tblGrid>
        <w:gridCol w:w="3249"/>
        <w:gridCol w:w="3249"/>
        <w:gridCol w:w="3249"/>
      </w:tblGrid>
      <w:tr>
        <w:tc>
          <w:tcPr>
            <w:tcW w:type="dxa" w:w="316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Fuente del Moat</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Intensidad</w:t>
            </w:r>
          </w:p>
        </w:tc>
        <w:tc>
          <w:tcPr>
            <w:tcW w:type="dxa" w:w="4464"/>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Evidencia</w:t>
            </w:r>
          </w:p>
        </w:tc>
      </w:tr>
      <w:tr>
        <w:tc>
          <w:tcPr>
            <w:tcW w:type="dxa" w:w="316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Demand-side (Customer captivity)</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FUERTE</w:t>
            </w:r>
          </w:p>
        </w:tc>
        <w:tc>
          <w:tcPr>
            <w:tcW w:type="dxa" w:w="446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Heritage 80 años; F1 continuo desde 1950; waitlist invertida; social capital; comunidad clubes/F1 Clienti — irreplicable</w:t>
            </w:r>
          </w:p>
        </w:tc>
      </w:tr>
      <w:tr>
        <w:tc>
          <w:tcPr>
            <w:tcW w:type="dxa" w:w="316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Supply-side (Cost advantages)</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w:t>
            </w:r>
          </w:p>
        </w:tc>
        <w:tc>
          <w:tcPr>
            <w:tcW w:type="dxa" w:w="446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Integración vertical Maranello; know-how décadas; escala pequeña (~14k u) limita economías de costes</w:t>
            </w:r>
          </w:p>
        </w:tc>
      </w:tr>
      <w:tr>
        <w:tc>
          <w:tcPr>
            <w:tcW w:type="dxa" w:w="316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Economies of scale</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FUERTE</w:t>
            </w:r>
          </w:p>
        </w:tc>
        <w:tc>
          <w:tcPr>
            <w:tcW w:type="dxa" w:w="446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F1 (~€450M/año) amortiza brand marketing global; 167 dealers en 60 mercados; base de clientes aprobados irreplicable</w:t>
            </w:r>
          </w:p>
        </w:tc>
      </w:tr>
    </w:tbl>
    <w:p>
      <w:pPr>
        <w:spacing w:after="0"/>
      </w:pPr>
    </w:p>
    <w:p>
      <w:pPr>
        <w:spacing w:after="120" w:before="0" w:line="276" w:lineRule="auto"/>
        <w:jc w:val="both"/>
      </w:pPr>
      <w:r>
        <w:rPr>
          <w:rFonts w:ascii="Calibri" w:hAnsi="Calibri"/>
          <w:b w:val="0"/>
          <w:i w:val="0"/>
          <w:color w:val="0D0D0D"/>
          <w:sz w:val="22"/>
        </w:rPr>
        <w:t>Conclusión Greenwald: Ferrari tiene el moat de demanda (customer captivity) más fuerte del sector automotor, superior al de Porsche o Lamborghini. El moat de oferta es sólido pero no determinante. Las economías de escala via F1 actúan como multiplicador del moat. La evidencia cuantitativa confirma el moat: spread ROIC − WACC = +11,3pp sostenido (19,0% vs. 7,75%).</w:t>
      </w:r>
    </w:p>
    <w:p>
      <w:pPr>
        <w:keepNext/>
        <w:spacing w:before="240" w:after="80"/>
      </w:pPr>
      <w:r>
        <w:rPr>
          <w:rFonts w:ascii="Calibri" w:hAnsi="Calibri"/>
          <w:b/>
          <w:i w:val="0"/>
          <w:color w:val="1B2642"/>
          <w:sz w:val="26"/>
        </w:rPr>
        <w:t>§5.2 Barreras de Entrada</w:t>
      </w:r>
    </w:p>
    <w:tbl>
      <w:tblPr>
        <w:tblW w:type="auto" w:w="0"/>
        <w:jc w:val="left"/>
        <w:tblLayout w:type="autofit"/>
        <w:tblLook w:firstColumn="1" w:firstRow="1" w:lastColumn="0" w:lastRow="0" w:noHBand="0" w:noVBand="1" w:val="04A0"/>
      </w:tblPr>
      <w:tblGrid>
        <w:gridCol w:w="3249"/>
        <w:gridCol w:w="3249"/>
        <w:gridCol w:w="3249"/>
      </w:tblGrid>
      <w:tr>
        <w:tc>
          <w:tcPr>
            <w:tcW w:type="dxa" w:w="2304"/>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Barrera</w:t>
            </w:r>
          </w:p>
        </w:tc>
        <w:tc>
          <w:tcPr>
            <w:tcW w:type="dxa" w:w="48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Descripción</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Tiempo para replicar</w:t>
            </w:r>
          </w:p>
        </w:tc>
      </w:tr>
      <w:tr>
        <w:tc>
          <w:tcPr>
            <w:tcW w:type="dxa" w:w="230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Brand heritage</w:t>
            </w:r>
          </w:p>
        </w:tc>
        <w:tc>
          <w:tcPr>
            <w:tcW w:type="dxa" w:w="48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80+ años F1; cultura italiana; Enzo Ferrari mítico</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Imposible</w:t>
            </w:r>
          </w:p>
        </w:tc>
      </w:tr>
      <w:tr>
        <w:tc>
          <w:tcPr>
            <w:tcW w:type="dxa" w:w="230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F1 presence</w:t>
            </w:r>
          </w:p>
        </w:tc>
        <w:tc>
          <w:tcPr>
            <w:tcW w:type="dxa" w:w="48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Único equipo F1 sin interrupción desde 1950; 16 títulos</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Irreplicable</w:t>
            </w:r>
          </w:p>
        </w:tc>
      </w:tr>
      <w:tr>
        <w:tc>
          <w:tcPr>
            <w:tcW w:type="dxa" w:w="230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Customer trust/approval</w:t>
            </w:r>
          </w:p>
        </w:tc>
        <w:tc>
          <w:tcPr>
            <w:tcW w:type="dxa" w:w="48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Base de clientes aprobados; invitation-only Icona</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Décadas</w:t>
            </w:r>
          </w:p>
        </w:tc>
      </w:tr>
      <w:tr>
        <w:tc>
          <w:tcPr>
            <w:tcW w:type="dxa" w:w="230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Production cap</w:t>
            </w:r>
          </w:p>
        </w:tc>
        <w:tc>
          <w:tcPr>
            <w:tcW w:type="dxa" w:w="48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Scarcity deliberada respaldada por brand equity</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N/A (requiere brand previo)</w:t>
            </w:r>
          </w:p>
        </w:tc>
      </w:tr>
      <w:tr>
        <w:tc>
          <w:tcPr>
            <w:tcW w:type="dxa" w:w="230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Dealer network</w:t>
            </w:r>
          </w:p>
        </w:tc>
        <w:tc>
          <w:tcPr>
            <w:tcW w:type="dxa" w:w="48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167 dealers en 60 mercados</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20-30 años mínimo</w:t>
            </w:r>
          </w:p>
        </w:tc>
      </w:tr>
      <w:tr>
        <w:tc>
          <w:tcPr>
            <w:tcW w:type="dxa" w:w="230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IP técnica</w:t>
            </w:r>
          </w:p>
        </w:tc>
        <w:tc>
          <w:tcPr>
            <w:tcW w:type="dxa" w:w="48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Híbrido (SF90, 296), propulsión EV (Luce)</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10-15 años de R&amp;D</w:t>
            </w:r>
          </w:p>
        </w:tc>
      </w:tr>
    </w:tbl>
    <w:p>
      <w:pPr>
        <w:spacing w:after="0"/>
      </w:pPr>
    </w:p>
    <w:p>
      <w:pPr>
        <w:keepNext/>
        <w:spacing w:before="240" w:after="80"/>
      </w:pPr>
      <w:r>
        <w:rPr>
          <w:rFonts w:ascii="Calibri" w:hAnsi="Calibri"/>
          <w:b/>
          <w:i w:val="0"/>
          <w:color w:val="1B2642"/>
          <w:sz w:val="26"/>
        </w:rPr>
        <w:t>§5.3 Compounder Matrix (Clasificación 2x2)</w:t>
      </w:r>
    </w:p>
    <w:p>
      <w:pPr>
        <w:spacing w:after="120" w:before="0" w:line="276" w:lineRule="auto"/>
        <w:jc w:val="both"/>
      </w:pPr>
      <w:r>
        <w:rPr>
          <w:rFonts w:ascii="Calibri" w:hAnsi="Calibri"/>
          <w:b w:val="0"/>
          <w:i w:val="0"/>
          <w:color w:val="0D0D0D"/>
          <w:sz w:val="22"/>
        </w:rPr>
        <w:t>Eje X: Barreras competitivas (Débiles ↔ Fuertes). Eje Y: Tendencias del sector (Adversas ↔ Favorables). Ferrari: Barreras FUERTES (demanda + heritage + F1 + selección cliente) × Tendencias FAVORABLES (crecimiento UHNWI, electrificación controlada, lifestyle expansion) = COMPOUNDER EXCEPCIONAL (cuadrante superior derecho).</w:t>
      </w:r>
    </w:p>
    <w:tbl>
      <w:tblPr>
        <w:tblW w:type="auto" w:w="0"/>
        <w:jc w:val="left"/>
        <w:tblLayout w:type="autofit"/>
        <w:tblLook w:firstColumn="1" w:firstRow="1" w:lastColumn="0" w:lastRow="0" w:noHBand="0" w:noVBand="1" w:val="04A0"/>
      </w:tblPr>
      <w:tblGrid>
        <w:gridCol w:w="3249"/>
        <w:gridCol w:w="3249"/>
        <w:gridCol w:w="3249"/>
      </w:tblGrid>
      <w:tr>
        <w:tc>
          <w:tcPr>
            <w:tcW w:type="dxa" w:w="360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Criterio Compounder</w:t>
            </w:r>
          </w:p>
        </w:tc>
        <w:tc>
          <w:tcPr>
            <w:tcW w:type="dxa" w:w="388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Ferrari</w:t>
            </w:r>
          </w:p>
        </w:tc>
        <w:tc>
          <w:tcPr>
            <w:tcW w:type="dxa" w:w="187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Veredicto</w:t>
            </w:r>
          </w:p>
        </w:tc>
      </w:tr>
      <w:tr>
        <w:tc>
          <w:tcPr>
            <w:tcW w:type="dxa" w:w="360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ROIC sostenido &gt; WACC</w:t>
            </w:r>
          </w:p>
        </w:tc>
        <w:tc>
          <w:tcPr>
            <w:tcW w:type="dxa" w:w="388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19,0% vs. 7,75% (spread +11,3pp)</w:t>
            </w:r>
          </w:p>
        </w:tc>
        <w:tc>
          <w:tcPr>
            <w:tcW w:type="dxa" w:w="187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Cumplido</w:t>
            </w:r>
          </w:p>
        </w:tc>
      </w:tr>
      <w:tr>
        <w:tc>
          <w:tcPr>
            <w:tcW w:type="dxa" w:w="360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Márgenes en expansión estructural</w:t>
            </w:r>
          </w:p>
        </w:tc>
        <w:tc>
          <w:tcPr>
            <w:tcW w:type="dxa" w:w="388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 17% (2015) → 29,5% (2025)</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Cumplido</w:t>
            </w:r>
          </w:p>
        </w:tc>
      </w:tr>
      <w:tr>
        <w:tc>
          <w:tcPr>
            <w:tcW w:type="dxa" w:w="360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Pricing power demostrado</w:t>
            </w:r>
          </w:p>
        </w:tc>
        <w:tc>
          <w:tcPr>
            <w:tcW w:type="dxa" w:w="388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ASP +2,6% CAGR 9 años, +mix shift</w:t>
            </w:r>
          </w:p>
        </w:tc>
        <w:tc>
          <w:tcPr>
            <w:tcW w:type="dxa" w:w="187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Cumplido</w:t>
            </w:r>
          </w:p>
        </w:tc>
      </w:tr>
      <w:tr>
        <w:tc>
          <w:tcPr>
            <w:tcW w:type="dxa" w:w="360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Management alineado</w:t>
            </w:r>
          </w:p>
        </w:tc>
        <w:tc>
          <w:tcPr>
            <w:tcW w:type="dxa" w:w="388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Familia Exor + LTI ligado a ROIC/EPS/FCF</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Cumplido</w:t>
            </w:r>
          </w:p>
        </w:tc>
      </w:tr>
      <w:tr>
        <w:tc>
          <w:tcPr>
            <w:tcW w:type="dxa" w:w="360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Reinversión con ROIC &gt; WACC</w:t>
            </w:r>
          </w:p>
        </w:tc>
        <w:tc>
          <w:tcPr>
            <w:tcW w:type="dxa" w:w="388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Buybacks €350M/año + R&amp;D capitalizado</w:t>
            </w:r>
          </w:p>
        </w:tc>
        <w:tc>
          <w:tcPr>
            <w:tcW w:type="dxa" w:w="187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Cumplido</w:t>
            </w:r>
          </w:p>
        </w:tc>
      </w:tr>
    </w:tbl>
    <w:p>
      <w:pPr>
        <w:spacing w:after="0"/>
      </w:pPr>
    </w:p>
    <w:p>
      <w:pPr>
        <w:keepNext/>
        <w:spacing w:before="240" w:after="80"/>
      </w:pPr>
      <w:r>
        <w:rPr>
          <w:rFonts w:ascii="Calibri" w:hAnsi="Calibri"/>
          <w:b/>
          <w:i w:val="0"/>
          <w:color w:val="1B2642"/>
          <w:sz w:val="26"/>
        </w:rPr>
        <w:t>§5.4 Pricing Power — El Diferenciador Central</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Métrica</w:t>
            </w:r>
          </w:p>
        </w:tc>
        <w:tc>
          <w:tcPr>
            <w:tcW w:type="dxa" w:w="201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2015 (IPO)</w:t>
            </w:r>
          </w:p>
        </w:tc>
        <w:tc>
          <w:tcPr>
            <w:tcW w:type="dxa" w:w="201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2024</w:t>
            </w:r>
          </w:p>
        </w:tc>
        <w:tc>
          <w:tcPr>
            <w:tcW w:type="dxa" w:w="244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CAGR / Cambio</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ASP (€/coche)</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~€372k</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~€470k</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+2,6%/año</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Ingresos totales</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~€2,85B</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€6,68B</w:t>
            </w:r>
          </w:p>
        </w:tc>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+9,8%/año</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 margin</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~17%</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28,3%</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+1.130pp</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EBITDA</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~€450M</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€1,88B</w:t>
            </w:r>
          </w:p>
        </w:tc>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+17%/año</w:t>
            </w:r>
          </w:p>
        </w:tc>
      </w:tr>
    </w:tbl>
    <w:p>
      <w:pPr>
        <w:spacing w:after="0"/>
      </w:pPr>
    </w:p>
    <w:p>
      <w:pPr>
        <w:spacing w:after="120" w:before="0" w:line="276" w:lineRule="auto"/>
        <w:jc w:val="both"/>
      </w:pPr>
      <w:r>
        <w:rPr>
          <w:rFonts w:ascii="Calibri" w:hAnsi="Calibri"/>
          <w:b w:val="0"/>
          <w:i w:val="0"/>
          <w:color w:val="0D0D0D"/>
          <w:sz w:val="22"/>
        </w:rPr>
        <w:t>Mecanismos: (1) escasez voluntaria (demand &gt; supply permanente), (2) mix-shift hacia modelos más caros (F80, SF90 XX), (3) personalizaciones a coste marginal cero, (4) ASP Q4 2025 ~€470k con beneficio neto ~€220k/coche. Comparativa: Ferrari EBIT margin 29,5% LTM 2025 vs. Porsche AG 1-3% (FY25 crisis transitoria) vs. Hermès ~42% (único comparable superior).</w:t>
      </w:r>
    </w:p>
    <w:p>
      <w:pPr>
        <w:keepNext/>
        <w:spacing w:before="240" w:after="80"/>
      </w:pPr>
      <w:r>
        <w:rPr>
          <w:rFonts w:ascii="Calibri" w:hAnsi="Calibri"/>
          <w:b/>
          <w:i w:val="0"/>
          <w:color w:val="1B2642"/>
          <w:sz w:val="26"/>
        </w:rPr>
        <w:t>§5.5 Ejecución Operacional</w:t>
      </w:r>
    </w:p>
    <w:p>
      <w:pPr>
        <w:spacing w:after="120" w:before="0" w:line="276" w:lineRule="auto"/>
        <w:jc w:val="both"/>
      </w:pPr>
      <w:r>
        <w:rPr>
          <w:rFonts w:ascii="Calibri" w:hAnsi="Calibri"/>
          <w:b w:val="0"/>
          <w:i w:val="0"/>
          <w:color w:val="0D0D0D"/>
          <w:sz w:val="22"/>
        </w:rPr>
        <w:t>Capital Markets Day 2022 fijó target EBITDA 2026 ≥€2,7B; ya superado en FY2025 (EBITDA €2,77B) — un año antes del plazo. CMD 2025 (octubre 2025): plan 2030 con €9,0B ingresos, EBITDA ≥€3,6B (≥40% margen), EBIT ≥€2,75B (≥30% margen), EPS ≥€11,50, FCF acumulado €8B. Sin profit warnings desde el IPO 2015. F1 mejoró su competitividad 2022-2024, Lewis Hamilton fichado para 2025, Ferrari ganó WEC 2025.</w:t>
      </w:r>
    </w:p>
    <w:p>
      <w:pPr>
        <w:keepNext/>
        <w:spacing w:before="240" w:after="80"/>
      </w:pPr>
      <w:r>
        <w:rPr>
          <w:rFonts w:ascii="Calibri" w:hAnsi="Calibri"/>
          <w:b/>
          <w:i w:val="0"/>
          <w:color w:val="1B2642"/>
          <w:sz w:val="26"/>
        </w:rPr>
        <w:t>§5.6 Estrategia de Crecimiento (Cinco Vectores)</w:t>
      </w:r>
    </w:p>
    <w:p>
      <w:pPr>
        <w:pStyle w:val="ListBullet"/>
        <w:spacing w:after="40" w:line="276" w:lineRule="auto"/>
      </w:pPr>
      <w:r>
        <w:rPr>
          <w:rFonts w:ascii="Calibri" w:hAnsi="Calibri"/>
          <w:b w:val="0"/>
          <w:i w:val="0"/>
          <w:color w:val="0D0D0D"/>
          <w:sz w:val="22"/>
        </w:rPr>
        <w:t>Mix-shift hacia mayor precio: más Icona, Hypercar, Special Series (F80, SF90 XX).</w:t>
      </w:r>
    </w:p>
    <w:p>
      <w:pPr>
        <w:pStyle w:val="ListBullet"/>
        <w:spacing w:after="40" w:line="276" w:lineRule="auto"/>
      </w:pPr>
      <w:r>
        <w:rPr>
          <w:rFonts w:ascii="Calibri" w:hAnsi="Calibri"/>
          <w:b w:val="0"/>
          <w:i w:val="0"/>
          <w:color w:val="0D0D0D"/>
          <w:sz w:val="22"/>
        </w:rPr>
        <w:t>Revenue de personalización: crecimiento orgánico desde ~15% hasta ~20%+ de Cars &amp; Spare Parts.</w:t>
      </w:r>
    </w:p>
    <w:p>
      <w:pPr>
        <w:pStyle w:val="ListBullet"/>
        <w:spacing w:after="40" w:line="276" w:lineRule="auto"/>
      </w:pPr>
      <w:r>
        <w:rPr>
          <w:rFonts w:ascii="Calibri" w:hAnsi="Calibri"/>
          <w:b w:val="0"/>
          <w:i w:val="0"/>
          <w:color w:val="0D0D0D"/>
          <w:sz w:val="22"/>
        </w:rPr>
        <w:t>Expansión geográfica: India, MENA, resto APAC; recuperación esperada de China.</w:t>
      </w:r>
    </w:p>
    <w:p>
      <w:pPr>
        <w:pStyle w:val="ListBullet"/>
        <w:spacing w:after="40" w:line="276" w:lineRule="auto"/>
      </w:pPr>
      <w:r>
        <w:rPr>
          <w:rFonts w:ascii="Calibri" w:hAnsi="Calibri"/>
          <w:b w:val="0"/>
          <w:i w:val="0"/>
          <w:color w:val="0D0D0D"/>
          <w:sz w:val="22"/>
        </w:rPr>
        <w:t>Lifestyle/Licensing: fashion, flagship stores (Old Bond Street 2026), licencias premium (+17%/año).</w:t>
      </w:r>
    </w:p>
    <w:p>
      <w:pPr>
        <w:pStyle w:val="ListBullet"/>
        <w:spacing w:after="40" w:line="276" w:lineRule="auto"/>
      </w:pPr>
      <w:r>
        <w:rPr>
          <w:rFonts w:ascii="Calibri" w:hAnsi="Calibri"/>
          <w:b w:val="0"/>
          <w:i w:val="0"/>
          <w:color w:val="0D0D0D"/>
          <w:sz w:val="22"/>
        </w:rPr>
        <w:t>Electrificación Luce/F244: abre segmento de compradores eco-conscientes preservando driving thrills.</w:t>
      </w:r>
    </w:p>
    <w:p>
      <w:pPr>
        <w:keepNext/>
        <w:spacing w:before="240" w:after="80"/>
      </w:pPr>
      <w:r>
        <w:rPr>
          <w:rFonts w:ascii="Calibri" w:hAnsi="Calibri"/>
          <w:b/>
          <w:i w:val="0"/>
          <w:color w:val="1B2642"/>
          <w:sz w:val="26"/>
        </w:rPr>
        <w:t>§5.7 Track Record de Guidance</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Ocasión</w:t>
            </w:r>
          </w:p>
        </w:tc>
        <w:tc>
          <w:tcPr>
            <w:tcW w:type="dxa" w:w="14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Target</w:t>
            </w:r>
          </w:p>
        </w:tc>
        <w:tc>
          <w:tcPr>
            <w:tcW w:type="dxa" w:w="28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Resultado</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Veredicto</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CMD 2022: EBITDA 2026</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≥€2,7B</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€2,77B en FY25 (1 año antes)</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Superado</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CMD 2022: FCF 2026</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≥€2,5B</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Industrial FCF €1,54B FY25</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Pendiente FY26</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Guidance Q4 2025: revenue</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≥€7,1B</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€7,146B</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Cumplido</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Guidance FY25: EBITDA</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≥€2,72B</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€2,772B</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 Superado</w:t>
            </w:r>
          </w:p>
        </w:tc>
      </w:tr>
    </w:tbl>
    <w:p>
      <w:pPr>
        <w:spacing w:after="0"/>
      </w:pPr>
    </w:p>
    <w:p>
      <w:pPr>
        <w:keepNext/>
        <w:spacing w:before="240" w:after="80"/>
      </w:pPr>
      <w:r>
        <w:rPr>
          <w:rFonts w:ascii="Calibri" w:hAnsi="Calibri"/>
          <w:b/>
          <w:i w:val="0"/>
          <w:color w:val="1B2642"/>
          <w:sz w:val="26"/>
        </w:rPr>
        <w:t>§5.8 Compensación del Management</w:t>
      </w:r>
    </w:p>
    <w:p>
      <w:pPr>
        <w:spacing w:after="120" w:before="0" w:line="276" w:lineRule="auto"/>
        <w:jc w:val="both"/>
      </w:pPr>
      <w:r>
        <w:rPr>
          <w:rFonts w:ascii="Calibri" w:hAnsi="Calibri"/>
          <w:b w:val="0"/>
          <w:i w:val="0"/>
          <w:color w:val="0D0D0D"/>
          <w:sz w:val="22"/>
        </w:rPr>
        <w:t>Vigna (CEO): base €740k en 2024 más variables ligados a ROIC/EPS/FCF [LTI no publicado en detalle]. Elkann (Chairman): €740k base 2024. Alineación: Exor retiene ~24,65% del capital — intereses como accionistas y como gestores perfectamente alineados con creación de valor a largo plazo.</w:t>
      </w:r>
    </w:p>
    <w:p>
      <w:pPr>
        <w:keepNext/>
        <w:spacing w:before="240" w:after="80"/>
      </w:pPr>
      <w:r>
        <w:rPr>
          <w:rFonts w:ascii="Calibri" w:hAnsi="Calibri"/>
          <w:b/>
          <w:i w:val="0"/>
          <w:color w:val="1B2642"/>
          <w:sz w:val="26"/>
        </w:rPr>
        <w:t>§5.9 Taxonomía del Management (Efficient / Portfolio / Superior)</w:t>
      </w:r>
    </w:p>
    <w:p>
      <w:pPr>
        <w:spacing w:after="120" w:before="0" w:line="276" w:lineRule="auto"/>
        <w:jc w:val="both"/>
      </w:pPr>
      <w:r>
        <w:rPr>
          <w:rFonts w:ascii="Calibri" w:hAnsi="Calibri"/>
          <w:b w:val="0"/>
          <w:i w:val="0"/>
          <w:color w:val="0D0D0D"/>
          <w:sz w:val="22"/>
        </w:rPr>
        <w:t>Benedetto Vigna: clasificación SUPERIOR MANAGER. Criterios cumplidos: (1) cambio de trayectoria estratégica (Ferrari como empresa de lujo + tech, no solo premium auto), (2) solución técnica única del Luce (12 motores + gearbox real + torque vectoring para preservar driving emotion), (3) expansión del lifestyle (+17% CAGR), (4) superación de targets CMD 2022 un año antes del plazo. Comparable histórico: Sergio Marchionne (Superior Manager — IPO + luxury pivot). Contrapunto: parte de la expansión de márgenes deriva del pricing power heredado y mix-shift natural; el tiempo dirá si la transición EV con el Luce representa creación de valor incremental verdadera.</w:t>
      </w:r>
    </w:p>
    <w:p>
      <w:pPr>
        <w:keepNext/>
        <w:spacing w:before="240" w:after="80"/>
      </w:pPr>
      <w:r>
        <w:rPr>
          <w:rFonts w:ascii="Calibri" w:hAnsi="Calibri"/>
          <w:b/>
          <w:i w:val="0"/>
          <w:color w:val="1B2642"/>
          <w:sz w:val="26"/>
        </w:rPr>
        <w:t>§5.10 Investor Relations</w:t>
      </w:r>
    </w:p>
    <w:p>
      <w:pPr>
        <w:spacing w:after="120" w:before="0" w:line="276" w:lineRule="auto"/>
        <w:jc w:val="both"/>
      </w:pPr>
      <w:r>
        <w:rPr>
          <w:rFonts w:ascii="Calibri" w:hAnsi="Calibri"/>
          <w:b w:val="0"/>
          <w:i w:val="0"/>
          <w:color w:val="0D0D0D"/>
          <w:sz w:val="22"/>
        </w:rPr>
        <w:t>Capital Markets Days con targets plurianuales cuantificados; call trimestral con Q&amp;A; 20-F anual exhaustivo; management commentary consistentemente medido (sobregestionar expectativas hacia abajo para luego superarlas).</w:t>
      </w:r>
    </w:p>
    <w:p>
      <w:pPr>
        <w:keepNext/>
        <w:spacing w:before="360" w:after="160"/>
        <w:pBdr>
          <w:bottom w:val="single" w:sz="12" w:space="4" w:color="B88B47"/>
        </w:pBdr>
      </w:pPr>
      <w:r>
        <w:rPr>
          <w:rFonts w:ascii="Calibri" w:hAnsi="Calibri"/>
          <w:b/>
          <w:i w:val="0"/>
          <w:color w:val="1B2642"/>
          <w:sz w:val="32"/>
        </w:rPr>
        <w:t>§6 — Operaciones y Financieros Históricos</w:t>
      </w:r>
    </w:p>
    <w:p>
      <w:pPr>
        <w:keepNext/>
        <w:spacing w:before="240" w:after="80"/>
      </w:pPr>
      <w:r>
        <w:rPr>
          <w:rFonts w:ascii="Calibri" w:hAnsi="Calibri"/>
          <w:b/>
          <w:i w:val="0"/>
          <w:color w:val="1B2642"/>
          <w:sz w:val="26"/>
        </w:rPr>
        <w:t>§6.1 Estado de Resultados (Resumen 5 años)</w:t>
      </w:r>
    </w:p>
    <w:tbl>
      <w:tblPr>
        <w:tblW w:type="auto" w:w="0"/>
        <w:jc w:val="left"/>
        <w:tblLayout w:type="autofit"/>
        <w:tblLook w:firstColumn="1" w:firstRow="1" w:lastColumn="0" w:lastRow="0" w:noHBand="0" w:noVBand="1" w:val="04A0"/>
      </w:tblPr>
      <w:tblGrid>
        <w:gridCol w:w="1624"/>
        <w:gridCol w:w="1624"/>
        <w:gridCol w:w="1624"/>
        <w:gridCol w:w="1624"/>
        <w:gridCol w:w="1624"/>
        <w:gridCol w:w="1624"/>
      </w:tblGrid>
      <w:tr>
        <w:tc>
          <w:tcPr>
            <w:tcW w:type="dxa" w:w="244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Métrica (€M)</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FY2021</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FY2022</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FY2023</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FY2024</w:t>
            </w:r>
          </w:p>
        </w:tc>
        <w:tc>
          <w:tcPr>
            <w:tcW w:type="dxa" w:w="1584"/>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FY2025 (LTM)</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Revenue</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4.271</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5.095</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5.970</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6.677</w:t>
            </w:r>
          </w:p>
        </w:tc>
        <w:tc>
          <w:tcPr>
            <w:tcW w:type="dxa" w:w="158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7.146</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EBITDA</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1.532</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1.773</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2.140</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2.502</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2.772</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1.075</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1.227</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1.617</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1.892</w:t>
            </w:r>
          </w:p>
        </w:tc>
        <w:tc>
          <w:tcPr>
            <w:tcW w:type="dxa" w:w="158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2.110</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 margin</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25,2%</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24,1%</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27,1%</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28,3%</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29,5%</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Net Income</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833</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939</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1.257</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1.526</w:t>
            </w:r>
          </w:p>
        </w:tc>
        <w:tc>
          <w:tcPr>
            <w:tcW w:type="dxa" w:w="158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1.605</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EPS diluido (€)</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4,50</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5,09</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6,87</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8,42</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8,96</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FCF (industrial)</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583</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835</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934</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1.336</w:t>
            </w:r>
          </w:p>
        </w:tc>
        <w:tc>
          <w:tcPr>
            <w:tcW w:type="dxa" w:w="158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1.540</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ROIC</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~16,8%</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~17,1%</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~18,4%</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~19,7%</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19,0%</w:t>
            </w:r>
          </w:p>
        </w:tc>
      </w:tr>
    </w:tbl>
    <w:p>
      <w:pPr>
        <w:spacing w:after="0"/>
      </w:pPr>
    </w:p>
    <w:p>
      <w:pPr>
        <w:keepNext/>
        <w:spacing w:before="240" w:after="80"/>
      </w:pPr>
      <w:r>
        <w:rPr>
          <w:rFonts w:ascii="Calibri" w:hAnsi="Calibri"/>
          <w:b/>
          <w:i w:val="0"/>
          <w:color w:val="1B2642"/>
          <w:sz w:val="26"/>
        </w:rPr>
        <w:t>§6.2 Crecimiento (CAGRs)</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Métrica</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5 años (2020-25)</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10 años (2015-25)</w:t>
            </w:r>
          </w:p>
        </w:tc>
        <w:tc>
          <w:tcPr>
            <w:tcW w:type="dxa" w:w="28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Driver principal</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Revenue</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+15,6%</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+9,6%</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Mix + ASP + personalización</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Volumen (unidades)</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+6,7%/año</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+5,8%/año</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Cap voluntario controlado</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Precio/Mix (ASP)</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+3,0%/año</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+2,6%/año</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Mix-shift hacia Icona/Special Series</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 margin</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+450bp</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+1.250bp</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Operating leverage + personalización</w:t>
            </w:r>
          </w:p>
        </w:tc>
      </w:tr>
    </w:tbl>
    <w:p>
      <w:pPr>
        <w:spacing w:after="0"/>
      </w:pPr>
    </w:p>
    <w:p>
      <w:pPr>
        <w:keepNext/>
        <w:spacing w:before="240" w:after="80"/>
      </w:pPr>
      <w:r>
        <w:rPr>
          <w:rFonts w:ascii="Calibri" w:hAnsi="Calibri"/>
          <w:b/>
          <w:i w:val="0"/>
          <w:color w:val="1B2642"/>
          <w:sz w:val="26"/>
        </w:rPr>
        <w:t>§6.3 Balance y Liquidez</w:t>
      </w:r>
    </w:p>
    <w:p>
      <w:pPr>
        <w:spacing w:after="120" w:before="0" w:line="276" w:lineRule="auto"/>
        <w:jc w:val="both"/>
      </w:pPr>
      <w:r>
        <w:rPr>
          <w:rFonts w:ascii="Calibri" w:hAnsi="Calibri"/>
          <w:b w:val="0"/>
          <w:i w:val="0"/>
          <w:color w:val="0D0D0D"/>
          <w:sz w:val="22"/>
        </w:rPr>
        <w:t>Estructura de capital prácticamente sin deuda neta. Caja + equivalentes &gt; €1,4B post-buybacks. Buffer de exceso de caja fijado en €500M por política. Lease IFRS 16 aplicada. Goodwill no incluido en Valor de Reproducción (política conservadora 0%).</w:t>
      </w:r>
    </w:p>
    <w:p>
      <w:pPr>
        <w:keepNext/>
        <w:spacing w:before="240" w:after="80"/>
      </w:pPr>
      <w:r>
        <w:rPr>
          <w:rFonts w:ascii="Calibri" w:hAnsi="Calibri"/>
          <w:b/>
          <w:i w:val="0"/>
          <w:color w:val="1B2642"/>
          <w:sz w:val="26"/>
        </w:rPr>
        <w:t>§6.4 Flujos de Caja — Calidad del Earnings</w:t>
      </w:r>
    </w:p>
    <w:p>
      <w:pPr>
        <w:spacing w:after="120" w:before="0" w:line="276" w:lineRule="auto"/>
        <w:jc w:val="both"/>
      </w:pPr>
      <w:r>
        <w:rPr>
          <w:rFonts w:ascii="Calibri" w:hAnsi="Calibri"/>
          <w:b w:val="0"/>
          <w:i w:val="0"/>
          <w:color w:val="0D0D0D"/>
          <w:sz w:val="22"/>
        </w:rPr>
        <w:t>FY2025 CFO €4.179M atípicamente alto por release de working capital (anticipos clientes order book + reducción de inventarios). FCF LTM €2.657M. Industrial FCF €1.540M FY25. Conversión EBITDA → FCF normalizada (excluyendo WC release) ~55-60%. Política de retorno al accionista: buybacks €350M/año en modelo Columbia (€3,5B acumulados 2026-2030 anunciados en CMD 2025) + dividendos crecientes.</w:t>
      </w:r>
    </w:p>
    <w:p>
      <w:pPr>
        <w:keepNext/>
        <w:spacing w:before="360" w:after="160"/>
        <w:pBdr>
          <w:bottom w:val="single" w:sz="12" w:space="4" w:color="B88B47"/>
        </w:pBdr>
      </w:pPr>
      <w:r>
        <w:rPr>
          <w:rFonts w:ascii="Calibri" w:hAnsi="Calibri"/>
          <w:b/>
          <w:i w:val="0"/>
          <w:color w:val="1B2642"/>
          <w:sz w:val="32"/>
        </w:rPr>
        <w:t>§7 — Valoración: Inputs y Escalera</w:t>
      </w:r>
    </w:p>
    <w:p>
      <w:pPr>
        <w:keepNext/>
        <w:spacing w:before="240" w:after="80"/>
      </w:pPr>
      <w:r>
        <w:rPr>
          <w:rFonts w:ascii="Calibri" w:hAnsi="Calibri"/>
          <w:b/>
          <w:i w:val="0"/>
          <w:color w:val="1B2642"/>
          <w:sz w:val="26"/>
        </w:rPr>
        <w:t>§7.1 Múltiplos Históricos (RACE)</w:t>
      </w:r>
    </w:p>
    <w:tbl>
      <w:tblPr>
        <w:tblW w:type="auto" w:w="0"/>
        <w:jc w:val="left"/>
        <w:tblLayout w:type="autofit"/>
        <w:tblLook w:firstColumn="1" w:firstRow="1" w:lastColumn="0" w:lastRow="0" w:noHBand="0" w:noVBand="1" w:val="04A0"/>
      </w:tblPr>
      <w:tblGrid>
        <w:gridCol w:w="3249"/>
        <w:gridCol w:w="3249"/>
        <w:gridCol w:w="3249"/>
      </w:tblGrid>
      <w:tr>
        <w:tc>
          <w:tcPr>
            <w:tcW w:type="dxa" w:w="14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Año</w:t>
            </w:r>
          </w:p>
        </w:tc>
        <w:tc>
          <w:tcPr>
            <w:tcW w:type="dxa" w:w="14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P/E</w:t>
            </w:r>
          </w:p>
        </w:tc>
        <w:tc>
          <w:tcPr>
            <w:tcW w:type="dxa" w:w="64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Comentario</w:t>
            </w:r>
          </w:p>
        </w:tc>
      </w:tr>
      <w:tr>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2021</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48,59x</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r>
          </w:p>
        </w:tc>
      </w:tr>
      <w:tr>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2022</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39,11x</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Normalización post-COVID</w:t>
            </w:r>
          </w:p>
        </w:tc>
      </w:tr>
      <w:tr>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2023</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48,65x</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r>
          </w:p>
        </w:tc>
      </w:tr>
      <w:tr>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2024</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49,31x</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Pico</w:t>
            </w:r>
          </w:p>
        </w:tc>
      </w:tr>
      <w:tr>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2025</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37,28x</w:t>
            </w:r>
          </w:p>
        </w:tc>
        <w:tc>
          <w:tcPr>
            <w:tcW w:type="dxa" w:w="64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Compresión por guidance CMD 2025 vs. expectativas</w:t>
            </w:r>
          </w:p>
        </w:tc>
      </w:tr>
      <w:tr>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2026 (mayo)</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~33x</w:t>
            </w:r>
          </w:p>
        </w:tc>
        <w:tc>
          <w:tcPr>
            <w:tcW w:type="dxa" w:w="64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 precio actual</w:t>
            </w:r>
          </w:p>
        </w:tc>
      </w:tr>
    </w:tbl>
    <w:p>
      <w:pPr>
        <w:spacing w:after="0"/>
      </w:pPr>
    </w:p>
    <w:p>
      <w:pPr>
        <w:spacing w:after="120" w:before="0" w:line="276" w:lineRule="auto"/>
        <w:jc w:val="both"/>
      </w:pPr>
      <w:r>
        <w:rPr>
          <w:rFonts w:ascii="Calibri" w:hAnsi="Calibri"/>
          <w:b w:val="0"/>
          <w:i w:val="0"/>
          <w:color w:val="0D0D0D"/>
          <w:sz w:val="22"/>
        </w:rPr>
        <w:t>P/E mediana 5 años (2021-2025): ~45x. EV/Revenue (TTM): ~7,0x. EV/EBITDA (TTM): ~18-21x. La compresión desde ~50x P/E pico hasta ~33x actual representa parte del MoS implícito en la Escalera.</w:t>
      </w:r>
    </w:p>
    <w:p>
      <w:pPr>
        <w:keepNext/>
        <w:spacing w:before="240" w:after="80"/>
      </w:pPr>
      <w:r>
        <w:rPr>
          <w:rFonts w:ascii="Calibri" w:hAnsi="Calibri"/>
          <w:b/>
          <w:i w:val="0"/>
          <w:color w:val="1B2642"/>
          <w:sz w:val="26"/>
        </w:rPr>
        <w:t>§7.2 Comparativas de Múltiplos con Peers</w:t>
      </w:r>
    </w:p>
    <w:tbl>
      <w:tblPr>
        <w:tblW w:type="auto" w:w="0"/>
        <w:jc w:val="left"/>
        <w:tblLayout w:type="autofit"/>
        <w:tblLook w:firstColumn="1" w:firstRow="1" w:lastColumn="0" w:lastRow="0" w:noHBand="0" w:noVBand="1" w:val="04A0"/>
      </w:tblPr>
      <w:tblGrid>
        <w:gridCol w:w="1949"/>
        <w:gridCol w:w="1949"/>
        <w:gridCol w:w="1949"/>
        <w:gridCol w:w="1949"/>
        <w:gridCol w:w="1949"/>
      </w:tblGrid>
      <w:tr>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Empresa</w:t>
            </w:r>
          </w:p>
        </w:tc>
        <w:tc>
          <w:tcPr>
            <w:tcW w:type="dxa" w:w="14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Ticker</w:t>
            </w:r>
          </w:p>
        </w:tc>
        <w:tc>
          <w:tcPr>
            <w:tcW w:type="dxa" w:w="1584"/>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EV/EBITDA</w:t>
            </w:r>
          </w:p>
        </w:tc>
        <w:tc>
          <w:tcPr>
            <w:tcW w:type="dxa" w:w="14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P/E</w:t>
            </w:r>
          </w:p>
        </w:tc>
        <w:tc>
          <w:tcPr>
            <w:tcW w:type="dxa" w:w="273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Comentario</w:t>
            </w:r>
          </w:p>
        </w:tc>
      </w:tr>
      <w:tr>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Ferrari</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RACE</w:t>
            </w:r>
          </w:p>
        </w:tc>
        <w:tc>
          <w:tcPr>
            <w:tcW w:type="dxa" w:w="158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~18-21x</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~33x</w:t>
            </w:r>
          </w:p>
        </w:tc>
        <w:tc>
          <w:tcPr>
            <w:tcW w:type="dxa" w:w="273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Luxury premium; compresión vs. pico</w:t>
            </w:r>
          </w:p>
        </w:tc>
      </w:tr>
      <w:tr>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Hermès</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RMS.PA</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~21-33x</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~57x</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Mejor comparable de modelo</w:t>
            </w:r>
          </w:p>
        </w:tc>
      </w:tr>
      <w:tr>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LVMH</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MC.PA</w:t>
            </w:r>
          </w:p>
        </w:tc>
        <w:tc>
          <w:tcPr>
            <w:tcW w:type="dxa" w:w="158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~10-12x</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~15-18x</w:t>
            </w:r>
          </w:p>
        </w:tc>
        <w:tc>
          <w:tcPr>
            <w:tcW w:type="dxa" w:w="273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Conglomerado más diversificado</w:t>
            </w:r>
          </w:p>
        </w:tc>
      </w:tr>
      <w:tr>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Brunello Cucinelli</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BC.MI</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~40-50x</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~60-70x</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Micro-cap ultra-lujo</w:t>
            </w:r>
          </w:p>
        </w:tc>
      </w:tr>
      <w:tr>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Porsche AG</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P911.DE</w:t>
            </w:r>
          </w:p>
        </w:tc>
        <w:tc>
          <w:tcPr>
            <w:tcW w:type="dxa" w:w="158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~1,5x</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~10x</w:t>
            </w:r>
          </w:p>
        </w:tc>
        <w:tc>
          <w:tcPr>
            <w:tcW w:type="dxa" w:w="273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Crisis transitoria 2025; no comparable</w:t>
            </w:r>
          </w:p>
        </w:tc>
      </w:tr>
      <w:tr>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Aston Martin</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AML.L</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n/a</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n/a (-)</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Pérdidas crónicas</w:t>
            </w:r>
          </w:p>
        </w:tc>
      </w:tr>
    </w:tbl>
    <w:p>
      <w:pPr>
        <w:spacing w:after="0"/>
      </w:pPr>
    </w:p>
    <w:p>
      <w:pPr>
        <w:keepNext/>
        <w:spacing w:before="240" w:after="80"/>
      </w:pPr>
      <w:r>
        <w:rPr>
          <w:rFonts w:ascii="Calibri" w:hAnsi="Calibri"/>
          <w:b/>
          <w:i w:val="0"/>
          <w:color w:val="1B2642"/>
          <w:sz w:val="26"/>
        </w:rPr>
        <w:t>§7.3 Inputs WACC y Decision Points del Modelo</w:t>
      </w:r>
    </w:p>
    <w:p>
      <w:pPr>
        <w:keepNext/>
        <w:spacing w:before="160" w:after="40"/>
      </w:pPr>
      <w:r>
        <w:rPr>
          <w:rFonts w:ascii="Calibri" w:hAnsi="Calibri"/>
          <w:b/>
          <w:i w:val="0"/>
          <w:color w:val="1B2642"/>
          <w:sz w:val="22"/>
        </w:rPr>
        <w:t>§7.3.1 Reproduction Value — Metodología 7-Step (Greenwald)</w:t>
      </w:r>
    </w:p>
    <w:p>
      <w:pPr>
        <w:spacing w:after="120" w:before="0" w:line="276" w:lineRule="auto"/>
        <w:jc w:val="both"/>
      </w:pPr>
      <w:r>
        <w:rPr>
          <w:rFonts w:ascii="Calibri" w:hAnsi="Calibri"/>
          <w:b w:val="0"/>
          <w:i w:val="0"/>
          <w:color w:val="0D0D0D"/>
          <w:sz w:val="22"/>
        </w:rPr>
        <w:t>El Valor de Reproducción (RV) responde a la pregunta: ¿cuánto costaría a un competidor racional reconstruir este negocio desde cero hoy? Aplicamos las 7 etapas Greenwald al balance FY25 de Ferrari:</w:t>
      </w:r>
    </w:p>
    <w:tbl>
      <w:tblPr>
        <w:tblW w:type="auto" w:w="0"/>
        <w:jc w:val="left"/>
        <w:tblLayout w:type="autofit"/>
        <w:tblLook w:firstColumn="1" w:firstRow="1" w:lastColumn="0" w:lastRow="0" w:noHBand="0" w:noVBand="1" w:val="04A0"/>
      </w:tblPr>
      <w:tblGrid>
        <w:gridCol w:w="3249"/>
        <w:gridCol w:w="3249"/>
        <w:gridCol w:w="3249"/>
      </w:tblGrid>
      <w:tr>
        <w:tc>
          <w:tcPr>
            <w:tcW w:type="dxa" w:w="864"/>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Etapa</w:t>
            </w:r>
          </w:p>
        </w:tc>
        <w:tc>
          <w:tcPr>
            <w:tcW w:type="dxa" w:w="403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Categoría de activo</w:t>
            </w:r>
          </w:p>
        </w:tc>
        <w:tc>
          <w:tcPr>
            <w:tcW w:type="dxa" w:w="475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Política DCE / Ferrari</w:t>
            </w:r>
          </w:p>
        </w:tc>
      </w:tr>
      <w:tr>
        <w:tc>
          <w:tcPr>
            <w:tcW w:type="dxa" w:w="86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w:t>
            </w:r>
          </w:p>
        </w:tc>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Activos corrientes operativos (cash op. + AR + inventarios)</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Valor en libros, descontando exceso de caja &gt; €500M buffer</w:t>
            </w:r>
          </w:p>
        </w:tc>
      </w:tr>
      <w:tr>
        <w:tc>
          <w:tcPr>
            <w:tcW w:type="dxa" w:w="86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w:t>
            </w:r>
          </w:p>
        </w:tc>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PP&amp;E (Maranello + e-Building)</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Valor de reposición ≈ libros (planta moderna, e-Building 2024)</w:t>
            </w:r>
          </w:p>
        </w:tc>
      </w:tr>
      <w:tr>
        <w:tc>
          <w:tcPr>
            <w:tcW w:type="dxa" w:w="86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w:t>
            </w:r>
          </w:p>
        </w:tc>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Goodwill</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Excluido (política 0% — Ferrari adquisiciones inmateriales)</w:t>
            </w:r>
          </w:p>
        </w:tc>
      </w:tr>
      <w:tr>
        <w:tc>
          <w:tcPr>
            <w:tcW w:type="dxa" w:w="86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w:t>
            </w:r>
          </w:p>
        </w:tc>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Intangibles capitalizados</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Brand €3,0B + F1 €1,68B + Customer + Manufacturing + Dealer + IP = €6,765M total</w:t>
            </w:r>
          </w:p>
        </w:tc>
      </w:tr>
      <w:tr>
        <w:tc>
          <w:tcPr>
            <w:tcW w:type="dxa" w:w="86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w:t>
            </w:r>
          </w:p>
        </w:tc>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R&amp;D capitalizado</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 años de vida útil; mantiene la capitalización de FY21-25</w:t>
            </w:r>
          </w:p>
        </w:tc>
      </w:tr>
      <w:tr>
        <w:tc>
          <w:tcPr>
            <w:tcW w:type="dxa" w:w="86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w:t>
            </w:r>
          </w:p>
        </w:tc>
        <w:tc>
          <w:tcPr>
            <w:tcW w:type="dxa" w:w="403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S&amp;M / Marketing capitalizado</w:t>
            </w:r>
          </w:p>
        </w:tc>
        <w:tc>
          <w:tcPr>
            <w:tcW w:type="dxa" w:w="47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 años de vida útil; proxy 70% del SG&amp;A</w:t>
            </w:r>
          </w:p>
        </w:tc>
      </w:tr>
      <w:tr>
        <w:tc>
          <w:tcPr>
            <w:tcW w:type="dxa" w:w="86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w:t>
            </w:r>
          </w:p>
        </w:tc>
        <w:tc>
          <w:tcPr>
            <w:tcW w:type="dxa" w:w="403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DTA (Deferred Tax Assets)</w:t>
            </w:r>
          </w:p>
        </w:tc>
        <w:tc>
          <w:tcPr>
            <w:tcW w:type="dxa" w:w="47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Reconocidos al 80% del valor en libros</w:t>
            </w:r>
          </w:p>
        </w:tc>
      </w:tr>
    </w:tbl>
    <w:p>
      <w:pPr>
        <w:spacing w:after="0"/>
      </w:pPr>
    </w:p>
    <w:p>
      <w:pPr>
        <w:spacing w:after="120" w:before="0" w:line="276" w:lineRule="auto"/>
        <w:jc w:val="both"/>
      </w:pPr>
      <w:r>
        <w:rPr>
          <w:rFonts w:ascii="Calibri" w:hAnsi="Calibri"/>
          <w:b w:val="0"/>
          <w:i w:val="0"/>
          <w:color w:val="0D0D0D"/>
          <w:sz w:val="22"/>
        </w:rPr>
        <w:t>Resultado: Reproduction Value de €70,19/acción. Este valor representa el "piso" estructural: el coste de reconstruir la base de activos tangibles + intangibles capitalizables — pero excluye el franchise value (i.e., la capacidad excedente de generar ROIC &gt; WACC).</w:t>
      </w:r>
    </w:p>
    <w:p>
      <w:pPr>
        <w:keepNext/>
        <w:spacing w:before="160" w:after="40"/>
      </w:pPr>
      <w:r>
        <w:rPr>
          <w:rFonts w:ascii="Calibri" w:hAnsi="Calibri"/>
          <w:b/>
          <w:i w:val="0"/>
          <w:color w:val="1B2642"/>
          <w:sz w:val="22"/>
        </w:rPr>
        <w:t>§7.3.2 Decision Points Locked (17 puntos del Excel v4.2)</w:t>
      </w:r>
    </w:p>
    <w:tbl>
      <w:tblPr>
        <w:tblW w:type="auto" w:w="0"/>
        <w:jc w:val="left"/>
        <w:tblLayout w:type="autofit"/>
        <w:tblLook w:firstColumn="1" w:firstRow="1" w:lastColumn="0" w:lastRow="0" w:noHBand="0" w:noVBand="1" w:val="04A0"/>
      </w:tblPr>
      <w:tblGrid>
        <w:gridCol w:w="3249"/>
        <w:gridCol w:w="3249"/>
        <w:gridCol w:w="3249"/>
      </w:tblGrid>
      <w:tr>
        <w:tc>
          <w:tcPr>
            <w:tcW w:type="dxa" w:w="57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w:t>
            </w:r>
          </w:p>
        </w:tc>
        <w:tc>
          <w:tcPr>
            <w:tcW w:type="dxa" w:w="345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Decision Point</w:t>
            </w:r>
          </w:p>
        </w:tc>
        <w:tc>
          <w:tcPr>
            <w:tcW w:type="dxa" w:w="561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Valor / Política</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S&amp;M Proxy</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70% del SG&amp;A</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R&amp;D capitalización</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Sí (~€700M/año)</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S&amp;M vida útil</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 años</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4</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R&amp;D vida útil</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 años</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SBC (Stock-Based Comp)</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Incluido en OpEx</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Ventana de normalización</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FY22-FY25</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Material items a normalizar</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Ninguno</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Tasa impositiva efectiva</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20,5%</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Tratamiento de leases</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IFRS 16</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10</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Excess cash buffer</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&gt;€500M</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11</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WACC</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7,75% (Rf 2,5% Bund + β 1,0 + ERP 5,5%; Kd 3,5%)</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Goodwill en RV</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0%</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13</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Intangibles en RV</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Brand €3B + F1 €1,68B + Customer + Mfg + Dealer + IP = €6.765M</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14</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DTA reconocidos</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80%</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Exit Multiple (NOPAT)</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32x</w:t>
            </w:r>
          </w:p>
        </w:tc>
      </w:tr>
      <w:tr>
        <w:tc>
          <w:tcPr>
            <w:tcW w:type="dxa" w:w="57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16</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Buybacks anuales</w:t>
            </w:r>
          </w:p>
        </w:tc>
        <w:tc>
          <w:tcPr>
            <w:tcW w:type="dxa" w:w="56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€350M/año</w:t>
            </w:r>
          </w:p>
        </w:tc>
      </w:tr>
      <w:tr>
        <w:tc>
          <w:tcPr>
            <w:tcW w:type="dxa" w:w="57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17</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Crecimiento orgánico</w:t>
            </w:r>
          </w:p>
        </w:tc>
        <w:tc>
          <w:tcPr>
            <w:tcW w:type="dxa" w:w="56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w:t>
            </w:r>
          </w:p>
        </w:tc>
      </w:tr>
    </w:tbl>
    <w:p>
      <w:pPr>
        <w:spacing w:after="0"/>
      </w:pPr>
    </w:p>
    <w:p>
      <w:pPr>
        <w:spacing w:after="120" w:before="0" w:line="276" w:lineRule="auto"/>
        <w:jc w:val="both"/>
      </w:pPr>
      <w:r>
        <w:rPr>
          <w:rFonts w:ascii="Calibri" w:hAnsi="Calibri"/>
          <w:b w:val="0"/>
          <w:i w:val="0"/>
          <w:color w:val="0D0D0D"/>
          <w:sz w:val="22"/>
        </w:rPr>
        <w:t>Convergencias clave: hurdle rate 12% (objetivo equity DCE), ROIC seleccionado 19,0% (mediana ventana FY22-25), spread +11,3pp sobre WACC. Todos los puntos están "locked" en el modelo Excel v4.2 y son los inputs autoritativos para la Escalera.</w:t>
      </w:r>
    </w:p>
    <w:p>
      <w:pPr>
        <w:keepNext/>
        <w:spacing w:before="160" w:after="40"/>
      </w:pPr>
      <w:r>
        <w:rPr>
          <w:rFonts w:ascii="Calibri" w:hAnsi="Calibri"/>
          <w:b/>
          <w:i w:val="0"/>
          <w:color w:val="1B2642"/>
          <w:sz w:val="22"/>
        </w:rPr>
        <w:t>§7.3.3 EPV — Earning Power Value</w:t>
      </w:r>
    </w:p>
    <w:p>
      <w:pPr>
        <w:spacing w:after="120" w:before="0" w:line="276" w:lineRule="auto"/>
        <w:jc w:val="both"/>
      </w:pPr>
      <w:r>
        <w:rPr>
          <w:rFonts w:ascii="Calibri" w:hAnsi="Calibri"/>
          <w:b w:val="0"/>
          <w:i w:val="0"/>
          <w:color w:val="0D0D0D"/>
          <w:sz w:val="22"/>
        </w:rPr>
        <w:t>EPV = NOPAT normalizado / WACC. NOPAT normalizado computado sobre la ventana FY22-25 (sin items materiales a normalizar) y con tax effectivo del 20,5%. Resultado: EPV de €111,75/acción. El EPV asume "sin crecimiento" y "reinversión exactamente al WACC" — es el valor de la capacidad actual de ganancias del negocio, no su trayectoria.</w:t>
      </w:r>
    </w:p>
    <w:p>
      <w:pPr>
        <w:keepNext/>
        <w:spacing w:before="160" w:after="40"/>
      </w:pPr>
      <w:r>
        <w:rPr>
          <w:rFonts w:ascii="Calibri" w:hAnsi="Calibri"/>
          <w:b/>
          <w:i w:val="0"/>
          <w:color w:val="1B2642"/>
          <w:sz w:val="22"/>
        </w:rPr>
        <w:t>§7.3.4 θ_firm = ROIC × (1 − Reinvestment Rate) y Comparación vs. WACC</w:t>
      </w:r>
    </w:p>
    <w:p>
      <w:pPr>
        <w:spacing w:after="120" w:before="0" w:line="276" w:lineRule="auto"/>
        <w:jc w:val="both"/>
      </w:pPr>
      <w:r>
        <w:rPr>
          <w:rFonts w:ascii="Calibri" w:hAnsi="Calibri"/>
          <w:b w:val="0"/>
          <w:i w:val="0"/>
          <w:color w:val="0D0D0D"/>
          <w:sz w:val="22"/>
        </w:rPr>
        <w:t>El θ_firm (tasa de creación efectiva de valor) descuenta la porción de NOPAT que se reinvierte internamente. Para Ferrari, con ROIC ~19% y un reinvestment rate disciplinado, θ_firm se mantiene consistentemente por encima del WACC en la ventana de análisis:</w:t>
      </w:r>
    </w:p>
    <w:tbl>
      <w:tblPr>
        <w:tblW w:type="auto" w:w="0"/>
        <w:jc w:val="left"/>
        <w:tblLayout w:type="autofit"/>
        <w:tblLook w:firstColumn="1" w:firstRow="1" w:lastColumn="0" w:lastRow="0" w:noHBand="0" w:noVBand="1" w:val="04A0"/>
      </w:tblPr>
      <w:tblGrid>
        <w:gridCol w:w="1624"/>
        <w:gridCol w:w="1624"/>
        <w:gridCol w:w="1624"/>
        <w:gridCol w:w="1624"/>
        <w:gridCol w:w="1624"/>
        <w:gridCol w:w="1624"/>
      </w:tblGrid>
      <w:tr>
        <w:tc>
          <w:tcPr>
            <w:tcW w:type="dxa" w:w="100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Año</w:t>
            </w:r>
          </w:p>
        </w:tc>
        <w:tc>
          <w:tcPr>
            <w:tcW w:type="dxa" w:w="129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ROIC</w:t>
            </w:r>
          </w:p>
        </w:tc>
        <w:tc>
          <w:tcPr>
            <w:tcW w:type="dxa" w:w="201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Reinvestment Rate</w:t>
            </w:r>
          </w:p>
        </w:tc>
        <w:tc>
          <w:tcPr>
            <w:tcW w:type="dxa" w:w="273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θ_firm = ROIC × (1 − RR)</w:t>
            </w:r>
          </w:p>
        </w:tc>
        <w:tc>
          <w:tcPr>
            <w:tcW w:type="dxa" w:w="115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WACC</w:t>
            </w:r>
          </w:p>
        </w:tc>
        <w:tc>
          <w:tcPr>
            <w:tcW w:type="dxa" w:w="187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Spread θ − WACC</w:t>
            </w:r>
          </w:p>
        </w:tc>
      </w:tr>
      <w:tr>
        <w:tc>
          <w:tcPr>
            <w:tcW w:type="dxa" w:w="100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FY22</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17,1%</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~35%</w:t>
            </w:r>
          </w:p>
        </w:tc>
        <w:tc>
          <w:tcPr>
            <w:tcW w:type="dxa" w:w="273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11,1%</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7,75%</w:t>
            </w:r>
          </w:p>
        </w:tc>
        <w:tc>
          <w:tcPr>
            <w:tcW w:type="dxa" w:w="187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+3,4pp</w:t>
            </w:r>
          </w:p>
        </w:tc>
      </w:tr>
      <w:tr>
        <w:tc>
          <w:tcPr>
            <w:tcW w:type="dxa" w:w="100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FY23</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18,4%</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~30%</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12,9%</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7,75%</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+5,1pp</w:t>
            </w:r>
          </w:p>
        </w:tc>
      </w:tr>
      <w:tr>
        <w:tc>
          <w:tcPr>
            <w:tcW w:type="dxa" w:w="100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FY24</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19,7%</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~28%</w:t>
            </w:r>
          </w:p>
        </w:tc>
        <w:tc>
          <w:tcPr>
            <w:tcW w:type="dxa" w:w="273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14,2%</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7,75%</w:t>
            </w:r>
          </w:p>
        </w:tc>
        <w:tc>
          <w:tcPr>
            <w:tcW w:type="dxa" w:w="187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+6,5pp</w:t>
            </w:r>
          </w:p>
        </w:tc>
      </w:tr>
      <w:tr>
        <w:tc>
          <w:tcPr>
            <w:tcW w:type="dxa" w:w="100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FY25</w:t>
            </w:r>
          </w:p>
        </w:tc>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19,0%</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~25%</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14,3%</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7,75%</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+6,5pp</w:t>
            </w:r>
          </w:p>
        </w:tc>
      </w:tr>
      <w:tr>
        <w:tc>
          <w:tcPr>
            <w:tcW w:type="dxa" w:w="100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Promedio 4y</w:t>
            </w:r>
          </w:p>
        </w:tc>
        <w:tc>
          <w:tcPr>
            <w:tcW w:type="dxa" w:w="129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18,6%</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~30%</w:t>
            </w:r>
          </w:p>
        </w:tc>
        <w:tc>
          <w:tcPr>
            <w:tcW w:type="dxa" w:w="273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13,1%</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7,75%</w:t>
            </w:r>
          </w:p>
        </w:tc>
        <w:tc>
          <w:tcPr>
            <w:tcW w:type="dxa" w:w="187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+5,4pp</w:t>
            </w:r>
          </w:p>
        </w:tc>
      </w:tr>
    </w:tbl>
    <w:p>
      <w:pPr>
        <w:spacing w:after="0"/>
      </w:pPr>
    </w:p>
    <w:p>
      <w:pPr>
        <w:spacing w:after="120" w:before="0" w:line="276" w:lineRule="auto"/>
        <w:jc w:val="both"/>
      </w:pPr>
      <w:r>
        <w:rPr>
          <w:rFonts w:ascii="Calibri" w:hAnsi="Calibri"/>
          <w:b w:val="0"/>
          <w:i w:val="0"/>
          <w:color w:val="0D0D0D"/>
          <w:sz w:val="22"/>
        </w:rPr>
        <w:t>Conclusión: θ_firm consistentemente positivo vs. WACC = el negocio crea valor real con cada euro reinvertido. Este es el motor del compounding.</w:t>
      </w:r>
    </w:p>
    <w:p>
      <w:pPr>
        <w:keepNext/>
        <w:spacing w:before="240" w:after="80"/>
      </w:pPr>
      <w:r>
        <w:rPr>
          <w:rFonts w:ascii="Calibri" w:hAnsi="Calibri"/>
          <w:b/>
          <w:i w:val="0"/>
          <w:color w:val="1B2642"/>
          <w:sz w:val="26"/>
        </w:rPr>
        <w:t>§7.4 Declaración de Escalera — CASO 3 (FV &gt; Precio)</w:t>
      </w:r>
    </w:p>
    <w:p>
      <w:pPr>
        <w:spacing w:after="120" w:before="0" w:line="276" w:lineRule="auto"/>
        <w:jc w:val="both"/>
      </w:pPr>
      <w:r>
        <w:rPr>
          <w:rFonts w:ascii="Calibri" w:hAnsi="Calibri"/>
          <w:b w:val="0"/>
          <w:i w:val="0"/>
          <w:color w:val="0D0D0D"/>
          <w:sz w:val="22"/>
        </w:rPr>
        <w:t>La Escalera Greenwald-DCE escala desde activos hacia franchise:</w:t>
      </w:r>
    </w:p>
    <w:p>
      <w:pPr>
        <w:pStyle w:val="ListBullet"/>
        <w:spacing w:after="40" w:line="276" w:lineRule="auto"/>
      </w:pPr>
      <w:r>
        <w:rPr>
          <w:rFonts w:ascii="Calibri" w:hAnsi="Calibri"/>
          <w:b w:val="0"/>
          <w:i w:val="0"/>
          <w:color w:val="0D0D0D"/>
          <w:sz w:val="22"/>
        </w:rPr>
        <w:t>Paso 1 — Reproduction Value: €70,19/acción (valor de reproducción de activos)</w:t>
      </w:r>
    </w:p>
    <w:p>
      <w:pPr>
        <w:pStyle w:val="ListBullet"/>
        <w:spacing w:after="40" w:line="276" w:lineRule="auto"/>
      </w:pPr>
      <w:r>
        <w:rPr>
          <w:rFonts w:ascii="Calibri" w:hAnsi="Calibri"/>
          <w:b w:val="0"/>
          <w:i w:val="0"/>
          <w:color w:val="0D0D0D"/>
          <w:sz w:val="22"/>
        </w:rPr>
        <w:t>Paso 2 — EPV: €111,75/acción (capacidad actual de ganancias sin crecimiento)</w:t>
      </w:r>
    </w:p>
    <w:p>
      <w:pPr>
        <w:pStyle w:val="ListBullet"/>
        <w:spacing w:after="40" w:line="276" w:lineRule="auto"/>
      </w:pPr>
      <w:r>
        <w:rPr>
          <w:rFonts w:ascii="Calibri" w:hAnsi="Calibri"/>
          <w:b w:val="0"/>
          <w:i w:val="0"/>
          <w:color w:val="0D0D0D"/>
          <w:sz w:val="22"/>
        </w:rPr>
        <w:t>Paso 3 — Franchise Test (EPV/RV): 1,59x → FRANCHISE CONFIRMADO</w:t>
      </w:r>
    </w:p>
    <w:p>
      <w:pPr>
        <w:pStyle w:val="ListBullet"/>
        <w:spacing w:after="40" w:line="276" w:lineRule="auto"/>
      </w:pPr>
      <w:r>
        <w:rPr>
          <w:rFonts w:ascii="Calibri" w:hAnsi="Calibri"/>
          <w:b w:val="0"/>
          <w:i w:val="0"/>
          <w:color w:val="0D0D0D"/>
          <w:sz w:val="22"/>
        </w:rPr>
        <w:t>Paso 4 — Precio: €317,63/acción (mercado descuenta crecimiento futuro)</w:t>
      </w:r>
    </w:p>
    <w:p>
      <w:pPr>
        <w:pStyle w:val="ListBullet"/>
        <w:spacing w:after="40" w:line="276" w:lineRule="auto"/>
      </w:pPr>
      <w:r>
        <w:rPr>
          <w:rFonts w:ascii="Calibri" w:hAnsi="Calibri"/>
          <w:b w:val="0"/>
          <w:i w:val="0"/>
          <w:color w:val="0D0D0D"/>
          <w:sz w:val="22"/>
        </w:rPr>
        <w:t>Paso 5 — Implied IRR Equity con crecimiento 2% y exit múltiplo 32x: 15,06%</w:t>
      </w:r>
    </w:p>
    <w:p>
      <w:pPr>
        <w:pStyle w:val="ListBullet"/>
        <w:spacing w:after="40" w:line="276" w:lineRule="auto"/>
      </w:pPr>
      <w:r>
        <w:rPr>
          <w:rFonts w:ascii="Calibri" w:hAnsi="Calibri"/>
          <w:b w:val="0"/>
          <w:i w:val="0"/>
          <w:color w:val="0D0D0D"/>
          <w:sz w:val="22"/>
        </w:rPr>
        <w:t>Paso 6 — MoS vs. hurdle 12%: +3,05pp</w:t>
      </w:r>
    </w:p>
    <w:p>
      <w:pPr>
        <w:spacing w:after="120" w:before="0" w:line="276" w:lineRule="auto"/>
        <w:jc w:val="both"/>
      </w:pPr>
      <w:r>
        <w:rPr>
          <w:rFonts w:ascii="Calibri" w:hAnsi="Calibri"/>
          <w:b w:val="0"/>
          <w:i w:val="0"/>
          <w:color w:val="0D0D0D"/>
          <w:sz w:val="22"/>
        </w:rPr>
        <w:t>RESULTADO: CASO 3 (FV &gt; Precio). La cadena es RV €70 &lt; EPV €112 &lt; Precio €318. El franchise value generado por el moat (escasez voluntaria, pricing power, lifestyle expansion, transición EV controlada) más el crecimiento orgánico modesto justifica el precio actual con margen positivo pero acotado. Bear case Implied IRR: -3,19% (downside -15,2%) si la franquicia se erosiona materialmente.</w:t>
      </w:r>
    </w:p>
    <w:p>
      <w:pPr>
        <w:keepNext/>
        <w:spacing w:before="360" w:after="160"/>
        <w:pBdr>
          <w:bottom w:val="single" w:sz="12" w:space="4" w:color="B88B47"/>
        </w:pBdr>
      </w:pPr>
      <w:r>
        <w:rPr>
          <w:rFonts w:ascii="Calibri" w:hAnsi="Calibri"/>
          <w:b/>
          <w:i w:val="0"/>
          <w:color w:val="1B2642"/>
          <w:sz w:val="32"/>
        </w:rPr>
        <w:t>§8 — Catalizadores</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4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Catalizador</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Timeline</w:t>
            </w:r>
          </w:p>
        </w:tc>
        <w:tc>
          <w:tcPr>
            <w:tcW w:type="dxa" w:w="331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Impacto esperado</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Probabilidad</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Ferrari Luce — primer EV</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Premiere mayo 2026; entregas 2026-27</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Nuevo segmento de compradores; validación tech</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Alta — ya en producción</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F1 titles con Hamilton</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2026-2028</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+15-17% brand value vs. año sin título (estimado)</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Media-Alta</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Recuperación China luxury</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2026-2027</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+3-5% ingresos si China recupera nivel 2022</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Targets Capital Markets Day 2025</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2026-2030</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€9B revenues, ≥40% EBITDA — re-rating múltiplo</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Alta</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Purosangue H (hibridización SUV)</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2025-2026</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Amplía mercado SUV premium con credencial técnica</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Alta</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Expansión lifestyle / tiendas</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2025-2028</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Old Bond Street 2026; moda; licensing premium</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Media-Alta</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E-fuels regulación EU</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2027-2030</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ICE V12/V8 viables a largo plazo</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Incierto</w:t>
            </w:r>
          </w:p>
        </w:tc>
      </w:tr>
    </w:tbl>
    <w:p>
      <w:pPr>
        <w:spacing w:after="0"/>
      </w:pPr>
    </w:p>
    <w:p>
      <w:pPr>
        <w:keepNext/>
        <w:spacing w:before="360" w:after="160"/>
        <w:pBdr>
          <w:bottom w:val="single" w:sz="12" w:space="4" w:color="B88B47"/>
        </w:pBdr>
      </w:pPr>
      <w:r>
        <w:rPr>
          <w:rFonts w:ascii="Calibri" w:hAnsi="Calibri"/>
          <w:b/>
          <w:i w:val="0"/>
          <w:color w:val="1B2642"/>
          <w:sz w:val="32"/>
        </w:rPr>
        <w:t>§9 — Riesgos</w:t>
      </w:r>
    </w:p>
    <w:tbl>
      <w:tblPr>
        <w:tblW w:type="auto" w:w="0"/>
        <w:jc w:val="left"/>
        <w:tblLayout w:type="autofit"/>
        <w:tblLook w:firstColumn="1" w:firstRow="1" w:lastColumn="0" w:lastRow="0" w:noHBand="0" w:noVBand="1" w:val="04A0"/>
      </w:tblPr>
      <w:tblGrid>
        <w:gridCol w:w="1949"/>
        <w:gridCol w:w="1949"/>
        <w:gridCol w:w="1949"/>
        <w:gridCol w:w="1949"/>
        <w:gridCol w:w="1949"/>
      </w:tblGrid>
      <w:tr>
        <w:tc>
          <w:tcPr>
            <w:tcW w:type="dxa" w:w="244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Riesgo</w:t>
            </w:r>
          </w:p>
        </w:tc>
        <w:tc>
          <w:tcPr>
            <w:tcW w:type="dxa" w:w="14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Categoría</w:t>
            </w:r>
          </w:p>
        </w:tc>
        <w:tc>
          <w:tcPr>
            <w:tcW w:type="dxa" w:w="144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Probabilidad</w:t>
            </w:r>
          </w:p>
        </w:tc>
        <w:tc>
          <w:tcPr>
            <w:tcW w:type="dxa" w:w="115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Impacto</w:t>
            </w:r>
          </w:p>
        </w:tc>
        <w:tc>
          <w:tcPr>
            <w:tcW w:type="dxa" w:w="331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Mitigante</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Electrificación mal ejecutada</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Estratégico</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Alto</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Vigna: solución técnica Luce; demanda confirmada</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Persistencia debilidad China</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Macro</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Media-Alta</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Medio</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China solo 7-8% de unidades</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Daño brand F1 por no competitividad</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Estratégico</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Baja-Media</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Medio</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Hamilton; WEC 2025 ganado</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Regulación EU hostil a ICE</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Regulatorio</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Medio</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Ferrari &lt;0,1% CO2 EU; e-fuels</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Wealth tax / impuesto capital</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Político/Fiscal</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Baja</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Medio</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UHNWI móviles; impacto &lt; lujo masivo</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Compresión múltiplo (re-rating)</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Mercado</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Media</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Medio-Alto</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Ya comprimido (~33x vs. pico ~50x)</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Control familiar Exor + Piero</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Governance</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Baja</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Bajo</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Track record alineado con free float</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Aranceles US</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Macro</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Alta (ya ocurrida)</w:t>
            </w:r>
          </w:p>
        </w:tc>
        <w:tc>
          <w:tcPr>
            <w:tcW w:type="dxa" w:w="115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Bajo-Medio</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Compensado por mix; ~€50-100M/año</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Pérdida de pricing power</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Competitivo</w:t>
            </w:r>
          </w:p>
        </w:tc>
        <w:tc>
          <w:tcPr>
            <w:tcW w:type="dxa" w:w="144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Muy Baja</w:t>
            </w:r>
          </w:p>
        </w:tc>
        <w:tc>
          <w:tcPr>
            <w:tcW w:type="dxa" w:w="115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Alto</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Scarcity + moat hacen improbable</w:t>
            </w:r>
          </w:p>
        </w:tc>
      </w:tr>
    </w:tbl>
    <w:p>
      <w:pPr>
        <w:spacing w:after="0"/>
      </w:pPr>
    </w:p>
    <w:p>
      <w:pPr>
        <w:keepNext/>
        <w:spacing w:before="360" w:after="160"/>
        <w:pBdr>
          <w:bottom w:val="single" w:sz="12" w:space="4" w:color="B88B47"/>
        </w:pBdr>
      </w:pPr>
      <w:r>
        <w:rPr>
          <w:rFonts w:ascii="Calibri" w:hAnsi="Calibri"/>
          <w:b/>
          <w:i w:val="0"/>
          <w:color w:val="1B2642"/>
          <w:sz w:val="32"/>
        </w:rPr>
        <w:t>§10 — Criterios de Venta</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Criterio</w:t>
            </w:r>
          </w:p>
        </w:tc>
        <w:tc>
          <w:tcPr>
            <w:tcW w:type="dxa" w:w="288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Señal de Alerta</w:t>
            </w:r>
          </w:p>
        </w:tc>
        <w:tc>
          <w:tcPr>
            <w:tcW w:type="dxa" w:w="2160"/>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Nivel Crítico</w:t>
            </w:r>
          </w:p>
        </w:tc>
        <w:tc>
          <w:tcPr>
            <w:tcW w:type="dxa" w:w="201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Acción</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ROIC sostenido bajo</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ROIC &lt; 20% durante 8+ trimestres</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&lt;20% 8 trimestres</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Revisión del thesis</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Margen operativo en declive</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 margin &lt;24%</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&lt;24% (vs. 29,5% actual)</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Revisión de positioning</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Colapso del order book</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Book &lt;12 meses de visibilidad</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&lt;12 meses</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Revisión urgente</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Caída en Tailor Made %</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Personalización en caída 2+ años</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Caída 2+ años</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Señal de fatiga del cliente</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Pérdida de pricing power</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ASP en caída 2+ años</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ASP negativo 2 años</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Revisión del moat</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Colapso de márgenes por EV</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EV destruye márgenes sin compensación</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EBITDA &lt;30%</w:t>
            </w:r>
          </w:p>
        </w:tc>
        <w:tc>
          <w:tcPr>
            <w:tcW w:type="dxa" w:w="201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Revisión thesis EV</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Cambio propiedad adverso</w:t>
            </w:r>
          </w:p>
        </w:tc>
        <w:tc>
          <w:tcPr>
            <w:tcW w:type="dxa" w:w="288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Exor vende o reduce &gt;5pp</w:t>
            </w:r>
          </w:p>
        </w:tc>
        <w:tc>
          <w:tcPr>
            <w:tcW w:type="dxa" w:w="2160"/>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Reducción &gt;5pp Exor</w:t>
            </w:r>
          </w:p>
        </w:tc>
        <w:tc>
          <w:tcPr>
            <w:tcW w:type="dxa" w:w="201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Revisión governance</w:t>
            </w:r>
          </w:p>
        </w:tc>
      </w:tr>
    </w:tbl>
    <w:p>
      <w:pPr>
        <w:spacing w:after="0"/>
      </w:pPr>
    </w:p>
    <w:p>
      <w:pPr>
        <w:keepNext/>
        <w:spacing w:before="360" w:after="160"/>
        <w:pBdr>
          <w:bottom w:val="single" w:sz="12" w:space="4" w:color="B88B47"/>
        </w:pBdr>
      </w:pPr>
      <w:r>
        <w:rPr>
          <w:rFonts w:ascii="Calibri" w:hAnsi="Calibri"/>
          <w:b/>
          <w:i w:val="0"/>
          <w:color w:val="1B2642"/>
          <w:sz w:val="32"/>
        </w:rPr>
        <w:t>§11 — Conclusión</w:t>
      </w:r>
    </w:p>
    <w:p>
      <w:pPr>
        <w:spacing w:after="120" w:before="0" w:line="276" w:lineRule="auto"/>
        <w:jc w:val="both"/>
      </w:pPr>
      <w:r>
        <w:rPr>
          <w:rFonts w:ascii="Calibri" w:hAnsi="Calibri"/>
          <w:b w:val="0"/>
          <w:i w:val="0"/>
          <w:color w:val="0D0D0D"/>
          <w:sz w:val="22"/>
        </w:rPr>
        <w:t>Ferrari N.V. es un compounder excepcional con barreras competitivas fuertes y tendencias favorables. El modelo Columbia v4.2 ofrece la Escalera de Valoración completa con todos los Decision Points convergiendo en consenso institucional DCE.</w:t>
      </w:r>
    </w:p>
    <w:p>
      <w:pPr>
        <w:spacing w:after="120" w:before="0" w:line="276" w:lineRule="auto"/>
        <w:jc w:val="both"/>
      </w:pPr>
      <w:r>
        <w:rPr>
          <w:rFonts w:ascii="Calibri" w:hAnsi="Calibri"/>
          <w:b w:val="0"/>
          <w:i w:val="0"/>
          <w:color w:val="0D0D0D"/>
          <w:sz w:val="22"/>
        </w:rPr>
        <w:t>Outputs cuantitativos clave: Reproduction Value €70,19/acción, EPV €111,75/acción, Franchise Test EPV/RV = 1,59x (franchise confirmado), Implied IRR Equity 15,06% con MoS +3,05pp sobre el hurdle del 12%, downside Bear -15,2%. La trayectoria operativa hacia el plan 2030 (€9B revenue, ≥40% EBITDA) representa un CAGR conservador del ~5% en revenue con expansión adicional de márgenes — coherente con un negocio que tiene order book hasta finales de 2027.</w:t>
      </w:r>
    </w:p>
    <w:p>
      <w:pPr>
        <w:spacing w:after="120" w:before="0" w:line="276" w:lineRule="auto"/>
        <w:jc w:val="both"/>
      </w:pPr>
      <w:r>
        <w:rPr>
          <w:rFonts w:ascii="Calibri" w:hAnsi="Calibri"/>
          <w:b w:val="0"/>
          <w:i w:val="0"/>
          <w:color w:val="0D0D0D"/>
          <w:sz w:val="22"/>
        </w:rPr>
        <w:t>Declaración de Escalera — CASO 3 (FV &gt; Precio). El franchise value con crecimiento orgánico del 2% y reinversión disciplinada justifica el precio actual con margen positivo pero acotado. Implied IRR 15,06% &gt; Hurdle 12%; MoS +3,05pp. RV €70 &lt; EPV €112 &lt; Precio €318. El compounder está intacto; la tarea del CIO es decidir si el MoS acotado es suficiente para abrir / ampliar / mantener posición.</w:t>
      </w:r>
    </w:p>
    <w:p>
      <w:pPr>
        <w:spacing w:after="120" w:before="0" w:line="276" w:lineRule="auto"/>
        <w:jc w:val="both"/>
      </w:pPr>
      <w:r>
        <w:rPr>
          <w:rFonts w:ascii="Calibri" w:hAnsi="Calibri"/>
          <w:b w:val="0"/>
          <w:i/>
          <w:color w:val="0D0D0D"/>
          <w:sz w:val="22"/>
        </w:rPr>
        <w:t>Este Brief no emite recomendación BUY/PASS/MONITOREAR. Esa decisión es prerrogativa exclusiva del CIO de DCE Holdings, sobre la base del consensus base case aquí documentado.</w:t>
      </w:r>
    </w:p>
    <w:p>
      <w:pPr>
        <w:keepNext/>
        <w:spacing w:before="360" w:after="160"/>
        <w:pBdr>
          <w:bottom w:val="single" w:sz="12" w:space="4" w:color="B88B47"/>
        </w:pBdr>
      </w:pPr>
      <w:r>
        <w:rPr>
          <w:rFonts w:ascii="Calibri" w:hAnsi="Calibri"/>
          <w:b/>
          <w:i w:val="0"/>
          <w:color w:val="1B2642"/>
          <w:sz w:val="32"/>
        </w:rPr>
        <w:t>§12 — Métricas de Monitoreo</w:t>
      </w:r>
    </w:p>
    <w:p>
      <w:pPr>
        <w:keepNext/>
        <w:spacing w:before="240" w:after="80"/>
      </w:pPr>
      <w:r>
        <w:rPr>
          <w:rFonts w:ascii="Calibri" w:hAnsi="Calibri"/>
          <w:b/>
          <w:i w:val="0"/>
          <w:color w:val="1B2642"/>
          <w:sz w:val="26"/>
        </w:rPr>
        <w:t>§12.1 Publicación Trimestral (Priority)</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4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Métrica</w:t>
            </w:r>
          </w:p>
        </w:tc>
        <w:tc>
          <w:tcPr>
            <w:tcW w:type="dxa" w:w="244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Por qué importa</w:t>
            </w:r>
          </w:p>
        </w:tc>
        <w:tc>
          <w:tcPr>
            <w:tcW w:type="dxa" w:w="3024"/>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Threshold de alerta</w:t>
            </w:r>
          </w:p>
        </w:tc>
        <w:tc>
          <w:tcPr>
            <w:tcW w:type="dxa" w:w="1728"/>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Fuente</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Shipments totales</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Confirma disciplina de cap (~14k)</w:t>
            </w:r>
          </w:p>
        </w:tc>
        <w:tc>
          <w:tcPr>
            <w:tcW w:type="dxa" w:w="302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&gt;14.500 o &lt;12.500 = revisión</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Press release trimestral</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ASP (revenue coches / unidades)</w:t>
            </w:r>
          </w:p>
        </w:tc>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Indicador de pricing power</w:t>
            </w:r>
          </w:p>
        </w:tc>
        <w:tc>
          <w:tcPr>
            <w:tcW w:type="dxa" w:w="302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Crecimiento &lt;2%/año = alerta</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Calc. de 20-F / trimestral</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Personalization % of Cars</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Profundidad de relación cliente</w:t>
            </w:r>
          </w:p>
        </w:tc>
        <w:tc>
          <w:tcPr>
            <w:tcW w:type="dxa" w:w="302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&lt;18% sostenido = alerta</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Management commentary</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 / EBITDA margin</w:t>
            </w:r>
          </w:p>
        </w:tc>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Motor del compounder</w:t>
            </w:r>
          </w:p>
        </w:tc>
        <w:tc>
          <w:tcPr>
            <w:tcW w:type="dxa" w:w="302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EBIT &lt;26% = alerta; &lt;24% = crítico</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Press release trimestral</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Industrial Free Cash Flow</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Calidad del earnings</w:t>
            </w:r>
          </w:p>
        </w:tc>
        <w:tc>
          <w:tcPr>
            <w:tcW w:type="dxa" w:w="302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Conversión EBITDA→FCF &lt;50% = alerta</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Press release trimestral</w:t>
            </w:r>
          </w:p>
        </w:tc>
      </w:tr>
      <w:tr>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ROIC</w:t>
            </w:r>
          </w:p>
        </w:tc>
        <w:tc>
          <w:tcPr>
            <w:tcW w:type="dxa" w:w="244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Spread vs. WACC = creación de valor</w:t>
            </w:r>
          </w:p>
        </w:tc>
        <w:tc>
          <w:tcPr>
            <w:tcW w:type="dxa" w:w="3024"/>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&lt;20% 8 trimestres = revisión thesis</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Calc.; GuruFocus proxy</w:t>
            </w:r>
          </w:p>
        </w:tc>
      </w:tr>
      <w:tr>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Order book length</w:t>
            </w:r>
          </w:p>
        </w:tc>
        <w:tc>
          <w:tcPr>
            <w:tcW w:type="dxa" w:w="244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Visibilidad de ingresos</w:t>
            </w:r>
          </w:p>
        </w:tc>
        <w:tc>
          <w:tcPr>
            <w:tcW w:type="dxa" w:w="3024"/>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&lt;12 meses = revisión urgente</w:t>
            </w:r>
          </w:p>
        </w:tc>
        <w:tc>
          <w:tcPr>
            <w:tcW w:type="dxa" w:w="1728"/>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Management commentary</w:t>
            </w:r>
          </w:p>
        </w:tc>
      </w:tr>
    </w:tbl>
    <w:p>
      <w:pPr>
        <w:spacing w:after="0"/>
      </w:pPr>
    </w:p>
    <w:p>
      <w:pPr>
        <w:keepNext/>
        <w:spacing w:before="240" w:after="80"/>
      </w:pPr>
      <w:r>
        <w:rPr>
          <w:rFonts w:ascii="Calibri" w:hAnsi="Calibri"/>
          <w:b/>
          <w:i w:val="0"/>
          <w:color w:val="1B2642"/>
          <w:sz w:val="26"/>
        </w:rPr>
        <w:t>§12.2 Indicadores Cualitativos (Semi-anual)</w:t>
      </w:r>
    </w:p>
    <w:tbl>
      <w:tblPr>
        <w:tblW w:type="auto" w:w="0"/>
        <w:jc w:val="left"/>
        <w:tblLayout w:type="autofit"/>
        <w:tblLook w:firstColumn="1" w:firstRow="1" w:lastColumn="0" w:lastRow="0" w:noHBand="0" w:noVBand="1" w:val="04A0"/>
      </w:tblPr>
      <w:tblGrid>
        <w:gridCol w:w="3249"/>
        <w:gridCol w:w="3249"/>
        <w:gridCol w:w="3249"/>
      </w:tblGrid>
      <w:tr>
        <w:tc>
          <w:tcPr>
            <w:tcW w:type="dxa" w:w="259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Indicador</w:t>
            </w:r>
          </w:p>
        </w:tc>
        <w:tc>
          <w:tcPr>
            <w:tcW w:type="dxa" w:w="3312"/>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Por qué importa</w:t>
            </w:r>
          </w:p>
        </w:tc>
        <w:tc>
          <w:tcPr>
            <w:tcW w:type="dxa" w:w="3456"/>
            <w:vAlign w:val="center"/>
            <w:shd w:val="clear" w:color="auto" w:fill="1B2642"/>
            <w:tcBorders>
              <w:top w:val="single" w:sz="4" w:space="0" w:color="1B2642"/>
              <w:left w:val="single" w:sz="4" w:space="0" w:color="1B2642"/>
              <w:bottom w:val="single" w:sz="4" w:space="0" w:color="1B2642"/>
              <w:right w:val="single" w:sz="4" w:space="0" w:color="1B2642"/>
            </w:tcBorders>
          </w:tcPr>
          <w:p>
            <w:pPr>
              <w:jc w:val="left"/>
            </w:pPr>
            <w:r/>
            <w:r>
              <w:rPr>
                <w:rFonts w:ascii="Calibri" w:hAnsi="Calibri"/>
                <w:b/>
                <w:i w:val="0"/>
                <w:color w:val="FFFFFF"/>
                <w:sz w:val="20"/>
              </w:rPr>
              <w:t>Threshold de alerta</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F1 Constructors' standing</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Proxy salud de marca</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Fuera de top-4 sostenido = negativo</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Geographic mix</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Riesgo China vs. oportunidad Americas/APAC</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China &gt;12% reaparece como driver</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Debt / EBITDA</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Disciplina financiera</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&gt;0,5x = alerta material</w:t>
            </w:r>
          </w:p>
        </w:tc>
      </w:tr>
      <w:tr>
        <w:tc>
          <w:tcPr>
            <w:tcW w:type="dxa" w:w="259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Lifestyle revenue growth</w:t>
            </w:r>
          </w:p>
        </w:tc>
        <w:tc>
          <w:tcPr>
            <w:tcW w:type="dxa" w:w="3312"/>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Confirmación de diversificación</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&lt;10%/año = pierde tracción</w:t>
            </w:r>
          </w:p>
        </w:tc>
      </w:tr>
      <w:tr>
        <w:tc>
          <w:tcPr>
            <w:tcW w:type="dxa" w:w="259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Brand Finance BSI</w:t>
            </w:r>
          </w:p>
        </w:tc>
        <w:tc>
          <w:tcPr>
            <w:tcW w:type="dxa" w:w="3312"/>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Salud reputacional</w:t>
            </w:r>
          </w:p>
        </w:tc>
        <w:tc>
          <w:tcPr>
            <w:tcW w:type="dxa" w:w="3456"/>
            <w:vAlign w:val="center"/>
            <w:shd w:val="clear" w:color="auto" w:fill="E6E6E6"/>
            <w:tcBorders>
              <w:top w:val="single" w:sz="4" w:space="0" w:color="BFBFBF"/>
              <w:left w:val="single" w:sz="4" w:space="0" w:color="BFBFBF"/>
              <w:bottom w:val="single" w:sz="4" w:space="0" w:color="BFBFBF"/>
              <w:right w:val="single" w:sz="4" w:space="0" w:color="BFBFBF"/>
            </w:tcBorders>
          </w:tcPr>
          <w:p>
            <w:pPr>
              <w:jc w:val="left"/>
            </w:pPr>
            <w:r/>
            <w:r>
              <w:rPr>
                <w:rFonts w:ascii="Calibri" w:hAnsi="Calibri"/>
                <w:b w:val="0"/>
                <w:i w:val="0"/>
                <w:color w:val="0D0D0D"/>
                <w:sz w:val="20"/>
              </w:rPr>
              <w:t>Caída sostenida bajo 88 = alerta</w:t>
            </w:r>
          </w:p>
        </w:tc>
      </w:tr>
    </w:tbl>
    <w:p>
      <w:pPr>
        <w:spacing w:after="0"/>
      </w:pPr>
    </w:p>
    <w:p>
      <w:pPr>
        <w:keepNext/>
        <w:spacing w:before="360" w:after="160"/>
        <w:pBdr>
          <w:bottom w:val="single" w:sz="12" w:space="4" w:color="B88B47"/>
        </w:pBdr>
      </w:pPr>
      <w:r>
        <w:rPr>
          <w:rFonts w:ascii="Calibri" w:hAnsi="Calibri"/>
          <w:b/>
          <w:i w:val="0"/>
          <w:color w:val="1B2642"/>
          <w:sz w:val="32"/>
        </w:rPr>
        <w:t>§13 — Bibliografía y Fuentes Primarias</w:t>
      </w:r>
    </w:p>
    <w:p>
      <w:pPr>
        <w:keepNext/>
        <w:spacing w:before="240" w:after="80"/>
      </w:pPr>
      <w:r>
        <w:rPr>
          <w:rFonts w:ascii="Calibri" w:hAnsi="Calibri"/>
          <w:b/>
          <w:i w:val="0"/>
          <w:color w:val="1B2642"/>
          <w:sz w:val="26"/>
        </w:rPr>
        <w:t>§13.1 Fuentes Primarias Corporativas Ferrari (10-K/20-F y equivalentes)</w:t>
      </w:r>
    </w:p>
    <w:p>
      <w:pPr>
        <w:pStyle w:val="ListBullet"/>
        <w:spacing w:after="40" w:line="276" w:lineRule="auto"/>
      </w:pPr>
      <w:r>
        <w:rPr>
          <w:rFonts w:ascii="Calibri" w:hAnsi="Calibri"/>
          <w:b w:val="0"/>
          <w:i w:val="0"/>
          <w:color w:val="0D0D0D"/>
          <w:sz w:val="22"/>
        </w:rPr>
        <w:t>Ferrari FY2025 Annual Report &amp; Form 20-F (19 febrero 2026) — SEC EDGAR / Ferrari Investor Relations. Valor LTM autoritativo.</w:t>
      </w:r>
    </w:p>
    <w:p>
      <w:pPr>
        <w:pStyle w:val="ListBullet"/>
        <w:spacing w:after="40" w:line="276" w:lineRule="auto"/>
      </w:pPr>
      <w:r>
        <w:rPr>
          <w:rFonts w:ascii="Calibri" w:hAnsi="Calibri"/>
          <w:b w:val="0"/>
          <w:i w:val="0"/>
          <w:color w:val="0D0D0D"/>
          <w:sz w:val="22"/>
        </w:rPr>
        <w:t>Ferrari Q1 2026 Results (5 mayo 2026) — https://www.sec.gov/Archives/edgar/data/1648416/000164841626000062/fnvq12026results.htm. Ingresos €1,848B; EBITDA 39,1%; order book hasta finales 2027.</w:t>
      </w:r>
    </w:p>
    <w:p>
      <w:pPr>
        <w:pStyle w:val="ListBullet"/>
        <w:spacing w:after="40" w:line="276" w:lineRule="auto"/>
      </w:pPr>
      <w:r>
        <w:rPr>
          <w:rFonts w:ascii="Calibri" w:hAnsi="Calibri"/>
          <w:b w:val="0"/>
          <w:i w:val="0"/>
          <w:color w:val="0D0D0D"/>
          <w:sz w:val="22"/>
        </w:rPr>
        <w:t>Ferrari FY2024 Full-Year Results (4 febrero 2025) — https://www.ferrari.com/en-EN/corporate/articles/2024-full-year-and-fourth-quarter-financial-results.</w:t>
      </w:r>
    </w:p>
    <w:p>
      <w:pPr>
        <w:pStyle w:val="ListBullet"/>
        <w:spacing w:after="40" w:line="276" w:lineRule="auto"/>
      </w:pPr>
      <w:r>
        <w:rPr>
          <w:rFonts w:ascii="Calibri" w:hAnsi="Calibri"/>
          <w:b w:val="0"/>
          <w:i w:val="0"/>
          <w:color w:val="0D0D0D"/>
          <w:sz w:val="22"/>
        </w:rPr>
        <w:t>Ferrari Capital Markets Day 2025 (9 octubre 2025) — https://www.stocktitan.net/news/RACE/ferrari-capital-markets-day-targeting-new-ahain31g85cy.html. Plan 2030: €9B; EBITDA ≥40%.</w:t>
      </w:r>
    </w:p>
    <w:p>
      <w:pPr>
        <w:pStyle w:val="ListBullet"/>
        <w:spacing w:after="40" w:line="276" w:lineRule="auto"/>
      </w:pPr>
      <w:r>
        <w:rPr>
          <w:rFonts w:ascii="Calibri" w:hAnsi="Calibri"/>
          <w:b w:val="0"/>
          <w:i w:val="0"/>
          <w:color w:val="0D0D0D"/>
          <w:sz w:val="22"/>
        </w:rPr>
        <w:t>Ferrari Capital Markets Day 2022 — Targets EBITDA 2026 ≥€2,7B (superados un año antes).</w:t>
      </w:r>
    </w:p>
    <w:p>
      <w:pPr>
        <w:pStyle w:val="ListBullet"/>
        <w:spacing w:after="40" w:line="276" w:lineRule="auto"/>
      </w:pPr>
      <w:r>
        <w:rPr>
          <w:rFonts w:ascii="Calibri" w:hAnsi="Calibri"/>
          <w:b w:val="0"/>
          <w:i w:val="0"/>
          <w:color w:val="0D0D0D"/>
          <w:sz w:val="22"/>
        </w:rPr>
        <w:t>Ferrari Shareholders' Structure (actualizado 2025) — https://www.ferrari.com/en-EN/corporate/shareholders-structure.</w:t>
      </w:r>
    </w:p>
    <w:p>
      <w:pPr>
        <w:keepNext/>
        <w:spacing w:before="240" w:after="80"/>
      </w:pPr>
      <w:r>
        <w:rPr>
          <w:rFonts w:ascii="Calibri" w:hAnsi="Calibri"/>
          <w:b/>
          <w:i w:val="0"/>
          <w:color w:val="1B2642"/>
          <w:sz w:val="26"/>
        </w:rPr>
        <w:t>§13.2 Fuentes Analíticas y de Mercado</w:t>
      </w:r>
    </w:p>
    <w:p>
      <w:pPr>
        <w:pStyle w:val="ListBullet"/>
        <w:spacing w:after="40" w:line="276" w:lineRule="auto"/>
      </w:pPr>
      <w:r>
        <w:rPr>
          <w:rFonts w:ascii="Calibri" w:hAnsi="Calibri"/>
          <w:b w:val="0"/>
          <w:i w:val="0"/>
          <w:color w:val="0D0D0D"/>
          <w:sz w:val="22"/>
        </w:rPr>
        <w:t>Alpha Spread — Ferrari FY2025 Results — https://www.alphaspread.com/market-news/earnings/ferrari-reports-strong-2025-results-and-raises-guidance-for-2026. Revenue €7,146B; EBIT €2,11B.</w:t>
      </w:r>
    </w:p>
    <w:p>
      <w:pPr>
        <w:pStyle w:val="ListBullet"/>
        <w:spacing w:after="40" w:line="276" w:lineRule="auto"/>
      </w:pPr>
      <w:r>
        <w:rPr>
          <w:rFonts w:ascii="Calibri" w:hAnsi="Calibri"/>
          <w:b w:val="0"/>
          <w:i w:val="0"/>
          <w:color w:val="0D0D0D"/>
          <w:sz w:val="22"/>
        </w:rPr>
        <w:t>TIKR — Ferrari Q1 2026 Deep Dive — https://www.tikr.com/blog/ferrari-q1-2026-e1-85b-revenue-as-order-book-extends-to-end-of-2027.</w:t>
      </w:r>
    </w:p>
    <w:p>
      <w:pPr>
        <w:pStyle w:val="ListBullet"/>
        <w:spacing w:after="40" w:line="276" w:lineRule="auto"/>
      </w:pPr>
      <w:r>
        <w:rPr>
          <w:rFonts w:ascii="Calibri" w:hAnsi="Calibri"/>
          <w:b w:val="0"/>
          <w:i w:val="0"/>
          <w:color w:val="0D0D0D"/>
          <w:sz w:val="22"/>
        </w:rPr>
        <w:t>Grillo Insights FY2025 Ferrari — https://grilloinsights.substack.com/p/ferrari-2025-record-21b-ebit-12-and.</w:t>
      </w:r>
    </w:p>
    <w:p>
      <w:pPr>
        <w:pStyle w:val="ListBullet"/>
        <w:spacing w:after="40" w:line="276" w:lineRule="auto"/>
      </w:pPr>
      <w:r>
        <w:rPr>
          <w:rFonts w:ascii="Calibri" w:hAnsi="Calibri"/>
          <w:b w:val="0"/>
          <w:i w:val="0"/>
          <w:color w:val="0D0D0D"/>
          <w:sz w:val="22"/>
        </w:rPr>
        <w:t>StockTitan — Ferrari Q1 2026 SEC Filing — https://www.stocktitan.net/sec-filings/RACE/6-k-ferrari-n-v-current-report-foreign-issuer-cea77b9ac512.html.</w:t>
      </w:r>
    </w:p>
    <w:p>
      <w:pPr>
        <w:pStyle w:val="ListBullet"/>
        <w:spacing w:after="40" w:line="276" w:lineRule="auto"/>
      </w:pPr>
      <w:r>
        <w:rPr>
          <w:rFonts w:ascii="Calibri" w:hAnsi="Calibri"/>
          <w:b w:val="0"/>
          <w:i w:val="0"/>
          <w:color w:val="0D0D0D"/>
          <w:sz w:val="22"/>
        </w:rPr>
        <w:t>GuruFocus — ROIC Ferrari (RACE) — https://www.gurufocus.com/term/roic/RACE. ROIC TTM 23,62%.</w:t>
      </w:r>
    </w:p>
    <w:p>
      <w:pPr>
        <w:pStyle w:val="ListBullet"/>
        <w:spacing w:after="40" w:line="276" w:lineRule="auto"/>
      </w:pPr>
      <w:r>
        <w:rPr>
          <w:rFonts w:ascii="Calibri" w:hAnsi="Calibri"/>
          <w:b w:val="0"/>
          <w:i w:val="0"/>
          <w:color w:val="0D0D0D"/>
          <w:sz w:val="22"/>
        </w:rPr>
        <w:t>AlphaSpread — WACC Ferrari — https://www.alphaspread.com/security/mil/race/discount-rate. WACC 7,71%; β 1,07.</w:t>
      </w:r>
    </w:p>
    <w:p>
      <w:pPr>
        <w:pStyle w:val="ListBullet"/>
        <w:spacing w:after="40" w:line="276" w:lineRule="auto"/>
      </w:pPr>
      <w:r>
        <w:rPr>
          <w:rFonts w:ascii="Calibri" w:hAnsi="Calibri"/>
          <w:b w:val="0"/>
          <w:i w:val="0"/>
          <w:color w:val="0D0D0D"/>
          <w:sz w:val="22"/>
        </w:rPr>
        <w:t>GuruFocus — WACC Ferrari — https://www.gurufocus.com/term/wacc/RACE. WACC 9,64% (rango alto).</w:t>
      </w:r>
    </w:p>
    <w:p>
      <w:pPr>
        <w:pStyle w:val="ListBullet"/>
        <w:spacing w:after="40" w:line="276" w:lineRule="auto"/>
      </w:pPr>
      <w:r>
        <w:rPr>
          <w:rFonts w:ascii="Calibri" w:hAnsi="Calibri"/>
          <w:b w:val="0"/>
          <w:i w:val="0"/>
          <w:color w:val="0D0D0D"/>
          <w:sz w:val="22"/>
        </w:rPr>
        <w:t>StockZoa — Institutional Ownership RACE — https://stockzoa.com/ticker/race/.</w:t>
      </w:r>
    </w:p>
    <w:p>
      <w:pPr>
        <w:pStyle w:val="ListBullet"/>
        <w:spacing w:after="40" w:line="276" w:lineRule="auto"/>
      </w:pPr>
      <w:r>
        <w:rPr>
          <w:rFonts w:ascii="Calibri" w:hAnsi="Calibri"/>
          <w:b w:val="0"/>
          <w:i w:val="0"/>
          <w:color w:val="0D0D0D"/>
          <w:sz w:val="22"/>
        </w:rPr>
        <w:t>Fintel — Institutional Ownership IT:RACE — https://fintel.io/so/it/race.</w:t>
      </w:r>
    </w:p>
    <w:p>
      <w:pPr>
        <w:pStyle w:val="ListBullet"/>
        <w:spacing w:after="40" w:line="276" w:lineRule="auto"/>
      </w:pPr>
      <w:r>
        <w:rPr>
          <w:rFonts w:ascii="Calibri" w:hAnsi="Calibri"/>
          <w:b w:val="0"/>
          <w:i w:val="0"/>
          <w:color w:val="0D0D0D"/>
          <w:sz w:val="22"/>
        </w:rPr>
        <w:t>Multiples.vc — Luxury goods valuation multiples — https://multiples.vc/luxury-goods-valuation-multiples.</w:t>
      </w:r>
    </w:p>
    <w:p>
      <w:pPr>
        <w:pStyle w:val="ListBullet"/>
        <w:spacing w:after="40" w:line="276" w:lineRule="auto"/>
      </w:pPr>
      <w:r>
        <w:rPr>
          <w:rFonts w:ascii="Calibri" w:hAnsi="Calibri"/>
          <w:b w:val="0"/>
          <w:i w:val="0"/>
          <w:color w:val="0D0D0D"/>
          <w:sz w:val="22"/>
        </w:rPr>
        <w:t>Public.com — RACE P/E history — https://public.com/stocks/race/pe-ratio.</w:t>
      </w:r>
    </w:p>
    <w:p>
      <w:pPr>
        <w:pStyle w:val="ListBullet"/>
        <w:spacing w:after="40" w:line="276" w:lineRule="auto"/>
      </w:pPr>
      <w:r>
        <w:rPr>
          <w:rFonts w:ascii="Calibri" w:hAnsi="Calibri"/>
          <w:b w:val="0"/>
          <w:i w:val="0"/>
          <w:color w:val="0D0D0D"/>
          <w:sz w:val="22"/>
        </w:rPr>
        <w:t>Saadiyat Capital — Ferrari Insights — https://saadiyatcap.substack.com/p/ferrari-insights.</w:t>
      </w:r>
    </w:p>
    <w:p>
      <w:pPr>
        <w:keepNext/>
        <w:spacing w:before="240" w:after="80"/>
      </w:pPr>
      <w:r>
        <w:rPr>
          <w:rFonts w:ascii="Calibri" w:hAnsi="Calibri"/>
          <w:b/>
          <w:i w:val="0"/>
          <w:color w:val="1B2642"/>
          <w:sz w:val="26"/>
        </w:rPr>
        <w:t>§13.3 Sector, Lujo y Macro</w:t>
      </w:r>
    </w:p>
    <w:p>
      <w:pPr>
        <w:pStyle w:val="ListBullet"/>
        <w:spacing w:after="40" w:line="276" w:lineRule="auto"/>
      </w:pPr>
      <w:r>
        <w:rPr>
          <w:rFonts w:ascii="Calibri" w:hAnsi="Calibri"/>
          <w:b w:val="0"/>
          <w:i w:val="0"/>
          <w:color w:val="0D0D0D"/>
          <w:sz w:val="22"/>
        </w:rPr>
        <w:t>Bain-Altagamma — "Finding a New Longevity for Luxury" (dic 2025) — https://www.bain.com/insights/finding-a-new-longevity-for-luxury/. Mercado lujo personal €364B (2024).</w:t>
      </w:r>
    </w:p>
    <w:p>
      <w:pPr>
        <w:pStyle w:val="ListBullet"/>
        <w:spacing w:after="40" w:line="276" w:lineRule="auto"/>
      </w:pPr>
      <w:r>
        <w:rPr>
          <w:rFonts w:ascii="Calibri" w:hAnsi="Calibri"/>
          <w:b w:val="0"/>
          <w:i w:val="0"/>
          <w:color w:val="0D0D0D"/>
          <w:sz w:val="22"/>
        </w:rPr>
        <w:t>UBS Global Wealth Report 2025 — https://www.ubs.com/global/en/media/display-page-ndp/en-20250618-gwr-2025.html. +4,6% riqueza global 2024.</w:t>
      </w:r>
    </w:p>
    <w:p>
      <w:pPr>
        <w:pStyle w:val="ListBullet"/>
        <w:spacing w:after="40" w:line="276" w:lineRule="auto"/>
      </w:pPr>
      <w:r>
        <w:rPr>
          <w:rFonts w:ascii="Calibri" w:hAnsi="Calibri"/>
          <w:b w:val="0"/>
          <w:i w:val="0"/>
          <w:color w:val="0D0D0D"/>
          <w:sz w:val="22"/>
        </w:rPr>
        <w:t>Market Intelo — Ultra-Luxury Car Market — https://marketintelo.com/report/ultra-luxury-car-market. Mercado $52,7B (2024); CAGR 7,9%.</w:t>
      </w:r>
    </w:p>
    <w:p>
      <w:pPr>
        <w:pStyle w:val="ListBullet"/>
        <w:spacing w:after="40" w:line="276" w:lineRule="auto"/>
      </w:pPr>
      <w:r>
        <w:rPr>
          <w:rFonts w:ascii="Calibri" w:hAnsi="Calibri"/>
          <w:b w:val="0"/>
          <w:i w:val="0"/>
          <w:color w:val="0D0D0D"/>
          <w:sz w:val="22"/>
        </w:rPr>
        <w:t>Quartr — Pricing Power Ferrari (Scarcity Case Study) — https://quartr.com/insights/edge/pricing-power-through-scarcity-a-case-study-of-ferrari.</w:t>
      </w:r>
    </w:p>
    <w:p>
      <w:pPr>
        <w:keepNext/>
        <w:spacing w:before="240" w:after="80"/>
      </w:pPr>
      <w:r>
        <w:rPr>
          <w:rFonts w:ascii="Calibri" w:hAnsi="Calibri"/>
          <w:b/>
          <w:i w:val="0"/>
          <w:color w:val="1B2642"/>
          <w:sz w:val="26"/>
        </w:rPr>
        <w:t>§13.4 Gobierno, Accionariado y Brand</w:t>
      </w:r>
    </w:p>
    <w:p>
      <w:pPr>
        <w:pStyle w:val="ListBullet"/>
        <w:spacing w:after="40" w:line="276" w:lineRule="auto"/>
      </w:pPr>
      <w:r>
        <w:rPr>
          <w:rFonts w:ascii="Calibri" w:hAnsi="Calibri"/>
          <w:b w:val="0"/>
          <w:i w:val="0"/>
          <w:color w:val="0D0D0D"/>
          <w:sz w:val="22"/>
        </w:rPr>
        <w:t>Exor — Shareholders' Agreement Extension (3 enero 2026) — https://www.exor.com/press-releases/2026-01-03/exor-and-ferrari-family-extend-shareholders-agreement-ferrari. Renovado hasta enero 2029.</w:t>
      </w:r>
    </w:p>
    <w:p>
      <w:pPr>
        <w:pStyle w:val="ListBullet"/>
        <w:spacing w:after="40" w:line="276" w:lineRule="auto"/>
      </w:pPr>
      <w:r>
        <w:rPr>
          <w:rFonts w:ascii="Calibri" w:hAnsi="Calibri"/>
          <w:b w:val="0"/>
          <w:i w:val="0"/>
          <w:color w:val="0D0D0D"/>
          <w:sz w:val="22"/>
        </w:rPr>
        <w:t>MatrixBCG — Ferrari Ownership Structure — https://matrixbcg.com/blogs/owners/ferrari. Exor 24,65%/36,48%; Piero Ferrari 10,48%/15,51%.</w:t>
      </w:r>
    </w:p>
    <w:p>
      <w:pPr>
        <w:pStyle w:val="ListBullet"/>
        <w:spacing w:after="40" w:line="276" w:lineRule="auto"/>
      </w:pPr>
      <w:r>
        <w:rPr>
          <w:rFonts w:ascii="Calibri" w:hAnsi="Calibri"/>
          <w:b w:val="0"/>
          <w:i w:val="0"/>
          <w:color w:val="0D0D0D"/>
          <w:sz w:val="22"/>
        </w:rPr>
        <w:t>Brand Finance Italy 2025 — https://www.facebook.com/BrandFinance/posts/italys-top-100-most-valuable-brands-are-valued-a-total-of-2004-billion-in-2025-a/1212451170889811/. Ferrari BSI 90,1; brand value €12,9B.</w:t>
      </w:r>
    </w:p>
    <w:p>
      <w:pPr>
        <w:pStyle w:val="ListBullet"/>
        <w:spacing w:after="40" w:line="276" w:lineRule="auto"/>
      </w:pPr>
      <w:r>
        <w:rPr>
          <w:rFonts w:ascii="Calibri" w:hAnsi="Calibri"/>
          <w:b w:val="0"/>
          <w:i w:val="0"/>
          <w:color w:val="0D0D0D"/>
          <w:sz w:val="22"/>
        </w:rPr>
        <w:t>Ferrari.com — Brand Finance Global 500 #1 Strongest Brand — https://www.ferrari.com/en-EN/corporate/articles/brand-finance-global-500-names-ferrari-as-the-worlds-strongest-brand-for-second-consecutive-year-corp.</w:t>
      </w:r>
    </w:p>
    <w:p>
      <w:pPr>
        <w:pStyle w:val="ListBullet"/>
        <w:spacing w:after="40" w:line="276" w:lineRule="auto"/>
      </w:pPr>
      <w:r>
        <w:rPr>
          <w:rFonts w:ascii="Calibri" w:hAnsi="Calibri"/>
          <w:b w:val="0"/>
          <w:i w:val="0"/>
          <w:color w:val="0D0D0D"/>
          <w:sz w:val="22"/>
        </w:rPr>
        <w:t>CNBC — Ferrari IPO 2015 — https://www.cnbc.com/2015/10/11/ferrari-valued-at-up-to-98-billion-in-us-ipo-fiat-chrysler-to-sell-10.html.</w:t>
      </w:r>
    </w:p>
    <w:p>
      <w:pPr>
        <w:pStyle w:val="ListBullet"/>
        <w:spacing w:after="40" w:line="276" w:lineRule="auto"/>
      </w:pPr>
      <w:r>
        <w:rPr>
          <w:rFonts w:ascii="Calibri" w:hAnsi="Calibri"/>
          <w:b w:val="0"/>
          <w:i w:val="0"/>
          <w:color w:val="0D0D0D"/>
          <w:sz w:val="22"/>
        </w:rPr>
        <w:t>Wikipedia — Ferrari (company) — https://en.wikipedia.org/wiki/Ferrari.</w:t>
      </w:r>
    </w:p>
    <w:p>
      <w:pPr>
        <w:pStyle w:val="ListBullet"/>
        <w:spacing w:after="40" w:line="276" w:lineRule="auto"/>
      </w:pPr>
      <w:r>
        <w:rPr>
          <w:rFonts w:ascii="Calibri" w:hAnsi="Calibri"/>
          <w:b w:val="0"/>
          <w:i w:val="0"/>
          <w:color w:val="0D0D0D"/>
          <w:sz w:val="22"/>
        </w:rPr>
        <w:t>EV Central — Vigna Interview 2026 — https://evcentral.com.au/ferrari-ceo-benedetto-vigna-interview-its-our-job-to-push-forward-ev-innovation-but-autonomous-cars-no-never/.</w:t>
      </w:r>
    </w:p>
    <w:p>
      <w:pPr>
        <w:pStyle w:val="ListBullet"/>
        <w:spacing w:after="40" w:line="276" w:lineRule="auto"/>
      </w:pPr>
      <w:r>
        <w:rPr>
          <w:rFonts w:ascii="Calibri" w:hAnsi="Calibri"/>
          <w:b w:val="0"/>
          <w:i w:val="0"/>
          <w:color w:val="0D0D0D"/>
          <w:sz w:val="22"/>
        </w:rPr>
        <w:t>ClubAlfa — Ferrari Executive Compensation 2024 — https://www.clubalfa.it/en/ferrari-john-elkann-and-benedetto-vigna-heres-how-much-they-earned-in-2024-16884.</w:t>
      </w:r>
    </w:p>
    <w:p>
      <w:pPr>
        <w:pStyle w:val="ListBullet"/>
        <w:spacing w:after="40" w:line="276" w:lineRule="auto"/>
      </w:pPr>
      <w:r>
        <w:rPr>
          <w:rFonts w:ascii="Calibri" w:hAnsi="Calibri"/>
          <w:b w:val="0"/>
          <w:i w:val="0"/>
          <w:color w:val="0D0D0D"/>
          <w:sz w:val="22"/>
        </w:rPr>
        <w:t>Hagerty — Audi buys Lamborghini 1998 — https://www.hagerty.com/media/automotive-history/why-audi-really-bought-lamborghini-in-1998/.</w:t>
      </w:r>
    </w:p>
    <w:p>
      <w:pPr>
        <w:pStyle w:val="ListBullet"/>
        <w:spacing w:after="40" w:line="276" w:lineRule="auto"/>
      </w:pPr>
      <w:r>
        <w:rPr>
          <w:rFonts w:ascii="Calibri" w:hAnsi="Calibri"/>
          <w:b w:val="0"/>
          <w:i w:val="0"/>
          <w:color w:val="0D0D0D"/>
          <w:sz w:val="22"/>
        </w:rPr>
        <w:t>Forbes — F1 Drivers Pay 2025 — https://www.forbes.com/sites/brettknight/2025/12/09/formula-1s-highest-paid-drivers-2025/.</w:t>
      </w:r>
    </w:p>
    <w:p>
      <w:pPr>
        <w:pStyle w:val="ListBullet"/>
        <w:spacing w:after="40" w:line="276" w:lineRule="auto"/>
      </w:pPr>
      <w:r>
        <w:rPr>
          <w:rFonts w:ascii="Calibri" w:hAnsi="Calibri"/>
          <w:b w:val="0"/>
          <w:i w:val="0"/>
          <w:color w:val="0D0D0D"/>
          <w:sz w:val="22"/>
        </w:rPr>
        <w:t>Motor Authority — Aston Martin 2024 — https://www.motorauthority.com/news/1145864_aston-martin-job-cuts.</w:t>
      </w:r>
    </w:p>
    <w:p>
      <w:pPr>
        <w:pStyle w:val="ListBullet"/>
        <w:spacing w:after="40" w:line="276" w:lineRule="auto"/>
      </w:pPr>
      <w:r>
        <w:rPr>
          <w:rFonts w:ascii="Calibri" w:hAnsi="Calibri"/>
          <w:b w:val="0"/>
          <w:i w:val="0"/>
          <w:color w:val="0D0D0D"/>
          <w:sz w:val="22"/>
        </w:rPr>
        <w:t>LinkedIn — Ferrari scarcity analysis — https://www.linkedin.com/posts/samkaraman_luxurybusiness-scarcity-pricingstrategy-activity-7446337004281188352-iyt5.</w:t>
      </w:r>
    </w:p>
    <w:p>
      <w:pPr>
        <w:keepNext/>
        <w:spacing w:before="360" w:after="160"/>
        <w:pBdr>
          <w:bottom w:val="single" w:sz="12" w:space="4" w:color="B88B47"/>
        </w:pBdr>
      </w:pPr>
      <w:r>
        <w:rPr>
          <w:rFonts w:ascii="Calibri" w:hAnsi="Calibri"/>
          <w:b/>
          <w:i w:val="0"/>
          <w:color w:val="1B2642"/>
          <w:sz w:val="32"/>
        </w:rPr>
        <w:t>§14 — Capa de Auditoría Automatizada (Phase 4 → Phase 5)</w:t>
      </w:r>
    </w:p>
    <w:p>
      <w:r>
        <w:rPr>
          <w:rFonts w:ascii="Calibri" w:hAnsi="Calibri"/>
          <w:b w:val="0"/>
          <w:i/>
          <w:color w:val="606060"/>
          <w:sz w:val="22"/>
        </w:rPr>
      </w:r>
    </w:p>
    <w:p>
      <w:pPr>
        <w:keepNext/>
        <w:spacing w:before="240" w:after="80"/>
      </w:pPr>
      <w:r>
        <w:rPr>
          <w:rFonts w:ascii="Calibri" w:hAnsi="Calibri"/>
          <w:b/>
          <w:i w:val="0"/>
          <w:color w:val="1B2642"/>
          <w:sz w:val="26"/>
        </w:rPr>
        <w:t>§14.1 Resumen de la Auditoría</w:t>
      </w:r>
    </w:p>
    <w:p>
      <w:pPr>
        <w:spacing w:after="120" w:line="276" w:lineRule="auto"/>
        <w:jc w:val="both"/>
      </w:pPr>
      <w:r>
        <w:rPr>
          <w:rFonts w:ascii="Calibri" w:hAnsi="Calibri"/>
          <w:b w:val="0"/>
          <w:i w:val="0"/>
          <w:color w:val="0D0D0D"/>
          <w:sz w:val="22"/>
        </w:rPr>
        <w:t>Capa de Auditoría Automatizada ejecutada el 2026-05-23 11:34:38 CEST. Verdicto general: PASS. Cinco grupos de verificación mecánica fueron ejecutados sobre los outputs del modelo Columbia v4.2 y el contenido del Brief: (1) reconciliación numérica Excel↔Brief, (2) integridad de Decision Points, (3) presencia de secciones requeridas, (4) coherencia narrativa-números, (5) verificación de fuentes.</w:t>
      </w:r>
    </w:p>
    <w:p>
      <w:pPr>
        <w:spacing w:after="120" w:line="276" w:lineRule="auto"/>
        <w:jc w:val="both"/>
      </w:pPr>
      <w:r>
        <w:rPr>
          <w:rFonts w:ascii="Calibri" w:hAnsi="Calibri"/>
          <w:b w:val="0"/>
          <w:i w:val="0"/>
          <w:color w:val="0D0D0D"/>
          <w:sz w:val="22"/>
        </w:rPr>
        <w:t>Resultado global: G1 20/20 | G2 9/9 | G3 24/24 | G4 5/5 | G5 3/3. Ninguna falla bloqueante.</w:t>
      </w:r>
    </w:p>
    <w:p>
      <w:pPr>
        <w:keepNext/>
        <w:spacing w:before="240" w:after="80"/>
      </w:pPr>
      <w:r>
        <w:rPr>
          <w:rFonts w:ascii="Calibri" w:hAnsi="Calibri"/>
          <w:b/>
          <w:i w:val="0"/>
          <w:color w:val="1B2642"/>
          <w:sz w:val="26"/>
        </w:rPr>
        <w:t>§14.2 Reconciliación Numérica (15+ métricas Excel ↔ Brief)</w:t>
      </w:r>
    </w:p>
    <w:tbl>
      <w:tblPr>
        <w:tblW w:type="auto" w:w="0"/>
        <w:tblLook w:firstColumn="1" w:firstRow="1" w:lastColumn="0" w:lastRow="0" w:noHBand="0" w:noVBand="1" w:val="04A0"/>
      </w:tblPr>
      <w:tblGrid>
        <w:gridCol w:w="3249"/>
        <w:gridCol w:w="3249"/>
        <w:gridCol w:w="3249"/>
      </w:tblGrid>
      <w:tr>
        <w:tc>
          <w:tcPr>
            <w:tcW w:type="dxa" w:w="360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Métrica</w:t>
            </w:r>
          </w:p>
        </w:tc>
        <w:tc>
          <w:tcPr>
            <w:tcW w:type="dxa" w:w="360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Valor del modelo (Excel/JSON)</w:t>
            </w:r>
          </w:p>
        </w:tc>
        <w:tc>
          <w:tcPr>
            <w:tcW w:type="dxa" w:w="216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Estado</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Revenue LTM</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7.146</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Op Income LTM</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2.110</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EBIT margin</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29,5%</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Net Income LTM</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1.605</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EPS Diluted LTM</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8,96</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FCF LTM</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2.657</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Market Cap</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56.640</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Enterprise Value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58.052</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WACC</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7,75%</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ROIC selected</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19,0%</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Spread ROIC-WACC</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+11,3pp</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Reproduction Value/share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€70,19</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EPV/share</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€111,75</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Franchise EPV/RV ratio</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1,59x</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Current Price</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€317,63</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Implied IRR</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15,06%</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MoS vs Hurdle</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+3,05pp</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Bear IRR</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-3,19%</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Bear downside</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-15,2%</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Hurdle rate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12%</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bl>
    <w:p>
      <w:pPr>
        <w:keepNext/>
        <w:spacing w:before="240" w:after="80"/>
      </w:pPr>
      <w:r>
        <w:rPr>
          <w:rFonts w:ascii="Calibri" w:hAnsi="Calibri"/>
          <w:b/>
          <w:i w:val="0"/>
          <w:color w:val="1B2642"/>
          <w:sz w:val="26"/>
        </w:rPr>
        <w:t>§14.3 Integridad de Decision Points</w:t>
      </w:r>
    </w:p>
    <w:tbl>
      <w:tblPr>
        <w:tblW w:type="auto" w:w="0"/>
        <w:tblLook w:firstColumn="1" w:firstRow="1" w:lastColumn="0" w:lastRow="0" w:noHBand="0" w:noVBand="1" w:val="04A0"/>
      </w:tblPr>
      <w:tblGrid>
        <w:gridCol w:w="4873"/>
        <w:gridCol w:w="4873"/>
      </w:tblGrid>
      <w:tr>
        <w:tc>
          <w:tcPr>
            <w:tcW w:type="dxa" w:w="720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Decision Point</w:t>
            </w:r>
          </w:p>
        </w:tc>
        <w:tc>
          <w:tcPr>
            <w:tcW w:type="dxa" w:w="216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Estado</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Tax 20.5%</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WACC 7.75%</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S&amp;M life 7y</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R&amp;D life 5y</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ROIC 19.0%</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Organic growth 2%</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Buybacks €350M</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Exit multiple 32x</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Hurdle 12%</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bl>
    <w:p>
      <w:pPr>
        <w:keepNext/>
        <w:spacing w:before="240" w:after="80"/>
      </w:pPr>
      <w:r>
        <w:rPr>
          <w:rFonts w:ascii="Calibri" w:hAnsi="Calibri"/>
          <w:b/>
          <w:i w:val="0"/>
          <w:color w:val="1B2642"/>
          <w:sz w:val="26"/>
        </w:rPr>
        <w:t>§14.4 Estructura del Documento — Secciones Obligatorias</w:t>
      </w:r>
    </w:p>
    <w:tbl>
      <w:tblPr>
        <w:tblW w:type="auto" w:w="0"/>
        <w:tblLook w:firstColumn="1" w:firstRow="1" w:lastColumn="0" w:lastRow="0" w:noHBand="0" w:noVBand="1" w:val="04A0"/>
      </w:tblPr>
      <w:tblGrid>
        <w:gridCol w:w="4873"/>
        <w:gridCol w:w="4873"/>
      </w:tblGrid>
      <w:tr>
        <w:tc>
          <w:tcPr>
            <w:tcW w:type="dxa" w:w="720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Sección / Subsección</w:t>
            </w:r>
          </w:p>
        </w:tc>
        <w:tc>
          <w:tcPr>
            <w:tcW w:type="dxa" w:w="216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Estado</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§0 — Resumen Ejecutivo</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 — Información General</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§2 — Descripción del Negocio</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§3 — Sector</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§4 — Clientes</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§5 — Análisis Cualitativo</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§6 — Operaciones</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§7 — Valoración</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§8 — Catalizadores</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§9 — Riesgos</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§10 — Criterios de Venta</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§11 — Conclusión</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§12 — Métricas de Monitoreo</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§13 — Bibliografía</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§14 — Capa de Auditoría</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§0.2 Mapa de Valoración Greenwald</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§2.9 Estructura Accionarial</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§5.1 Marco de Greenwald</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§5.3 Compounder Matrix</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§5.9 Taxonomía del Management</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§7.3.1 Reproduction Value</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§7.3.4 θ_firm</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§7.4 Declaración de Escalera</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§12 — Métricas de Monitoreo</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bl>
    <w:p>
      <w:pPr>
        <w:keepNext/>
        <w:spacing w:before="240" w:after="80"/>
      </w:pPr>
      <w:r>
        <w:rPr>
          <w:rFonts w:ascii="Calibri" w:hAnsi="Calibri"/>
          <w:b/>
          <w:i w:val="0"/>
          <w:color w:val="1B2642"/>
          <w:sz w:val="26"/>
        </w:rPr>
        <w:t>§14.5 Coherencia Narrativa-Números</w:t>
      </w:r>
    </w:p>
    <w:tbl>
      <w:tblPr>
        <w:tblW w:type="auto" w:w="0"/>
        <w:tblLook w:firstColumn="1" w:firstRow="1" w:lastColumn="0" w:lastRow="0" w:noHBand="0" w:noVBand="1" w:val="04A0"/>
      </w:tblPr>
      <w:tblGrid>
        <w:gridCol w:w="3249"/>
        <w:gridCol w:w="3249"/>
        <w:gridCol w:w="3249"/>
      </w:tblGrid>
      <w:tr>
        <w:tc>
          <w:tcPr>
            <w:tcW w:type="dxa" w:w="3744"/>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Comprobación de coherencia</w:t>
            </w:r>
          </w:p>
        </w:tc>
        <w:tc>
          <w:tcPr>
            <w:tcW w:type="dxa" w:w="360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Detalle</w:t>
            </w:r>
          </w:p>
        </w:tc>
        <w:tc>
          <w:tcPr>
            <w:tcW w:type="dxa" w:w="2016"/>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Estado</w:t>
            </w:r>
          </w:p>
        </w:tc>
      </w:tr>
      <w:tr>
        <w:tc>
          <w:tcPr>
            <w:tcW w:type="dxa" w:w="3744"/>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Moat FUERTE → spread ROIC-WACC &gt; 5pp</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Spread = 11.3pp</w:t>
            </w:r>
          </w:p>
        </w:tc>
        <w:tc>
          <w:tcPr>
            <w:tcW w:type="dxa" w:w="2016"/>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744"/>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Caso 3 → Implied IRR &gt; Hurdle</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IRR 15.06% &gt; Hurdle 12%</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744"/>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WACC 7,75% citado en el Brief</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WACC from JSON: 7.75%</w:t>
            </w:r>
          </w:p>
        </w:tc>
        <w:tc>
          <w:tcPr>
            <w:tcW w:type="dxa" w:w="2016"/>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744"/>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ROIC 19,0% citado coherente con Excel</w:t>
            </w:r>
          </w:p>
        </w:tc>
        <w:tc>
          <w:tcPr>
            <w:tcW w:type="dxa" w:w="36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ROIC JSON: 19.02%</w:t>
            </w:r>
          </w:p>
        </w:tc>
        <w:tc>
          <w:tcPr>
            <w:tcW w:type="dxa" w:w="2016"/>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3744"/>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Franchise confirmado ↔ EPV/RV &gt; 1</w:t>
            </w:r>
          </w:p>
        </w:tc>
        <w:tc>
          <w:tcPr>
            <w:tcW w:type="dxa" w:w="36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Ratio: 1.59x</w:t>
            </w:r>
          </w:p>
        </w:tc>
        <w:tc>
          <w:tcPr>
            <w:tcW w:type="dxa" w:w="2016"/>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bl>
    <w:p>
      <w:pPr>
        <w:keepNext/>
        <w:spacing w:before="240" w:after="80"/>
      </w:pPr>
      <w:r>
        <w:rPr>
          <w:rFonts w:ascii="Calibri" w:hAnsi="Calibri"/>
          <w:b/>
          <w:i w:val="0"/>
          <w:color w:val="1B2642"/>
          <w:sz w:val="26"/>
        </w:rPr>
        <w:t>§14.6 Verificación de Fuentes</w:t>
      </w:r>
    </w:p>
    <w:tbl>
      <w:tblPr>
        <w:tblW w:type="auto" w:w="0"/>
        <w:tblLook w:firstColumn="1" w:firstRow="1" w:lastColumn="0" w:lastRow="0" w:noHBand="0" w:noVBand="1" w:val="04A0"/>
      </w:tblPr>
      <w:tblGrid>
        <w:gridCol w:w="4873"/>
        <w:gridCol w:w="4873"/>
      </w:tblGrid>
      <w:tr>
        <w:tc>
          <w:tcPr>
            <w:tcW w:type="dxa" w:w="720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Verificación de fuentes</w:t>
            </w:r>
          </w:p>
        </w:tc>
        <w:tc>
          <w:tcPr>
            <w:tcW w:type="dxa" w:w="216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Estado</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At least 10 source URLs (found 32)</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Ferrari 20-F referenced</w:t>
            </w:r>
          </w:p>
        </w:tc>
        <w:tc>
          <w:tcPr>
            <w:tcW w:type="dxa" w:w="216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720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At least 5 unique web domains (found 27)</w:t>
            </w:r>
          </w:p>
        </w:tc>
        <w:tc>
          <w:tcPr>
            <w:tcW w:type="dxa" w:w="216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bl>
    <w:p>
      <w:pPr>
        <w:spacing w:after="120" w:line="276" w:lineRule="auto"/>
        <w:jc w:val="both"/>
      </w:pPr>
      <w:r>
        <w:rPr>
          <w:rFonts w:ascii="Calibri" w:hAnsi="Calibri"/>
          <w:b w:val="0"/>
          <w:i w:val="0"/>
          <w:color w:val="0D0D0D"/>
          <w:sz w:val="22"/>
        </w:rPr>
        <w:t>Total de URLs únicas en el documento: 32. Dominios únicos: 27. Ferrari 20-F (10-K equivalente) explícitamente referenciado en §13.1.</w:t>
      </w:r>
    </w:p>
    <w:p>
      <w:pPr>
        <w:keepNext/>
        <w:spacing w:before="240" w:after="80"/>
      </w:pPr>
      <w:r>
        <w:rPr>
          <w:rFonts w:ascii="Calibri" w:hAnsi="Calibri"/>
          <w:b/>
          <w:i w:val="0"/>
          <w:color w:val="1B2642"/>
          <w:sz w:val="26"/>
        </w:rPr>
        <w:t>§14.7 Advertencias (No bloqueantes)</w:t>
      </w:r>
    </w:p>
    <w:p>
      <w:pPr>
        <w:pStyle w:val="ListBullet"/>
        <w:spacing w:after="40"/>
      </w:pPr>
      <w:r>
        <w:rPr>
          <w:rFonts w:ascii="Calibri" w:hAnsi="Calibri"/>
          <w:b w:val="0"/>
          <w:i w:val="0"/>
          <w:color w:val="0D0D0D"/>
          <w:sz w:val="20"/>
        </w:rPr>
        <w:t>Net Income discrepancy: CF CSV says €2.818B, IS CSV says €1.597B for FY25. IS authoritative per Ferrari 20-F. Brief cites IS value €1.605M LTM.</w:t>
      </w:r>
    </w:p>
    <w:p>
      <w:pPr>
        <w:pStyle w:val="ListBullet"/>
        <w:spacing w:after="40"/>
      </w:pPr>
      <w:r>
        <w:rPr>
          <w:rFonts w:ascii="Calibri" w:hAnsi="Calibri"/>
          <w:b w:val="0"/>
          <w:i w:val="0"/>
          <w:color w:val="0D0D0D"/>
          <w:sz w:val="20"/>
        </w:rPr>
        <w:t>FY25 CFO €4.179M atypically high due to working capital release (anticipos de clientes y reducción de inventarios).</w:t>
      </w:r>
    </w:p>
    <w:p>
      <w:pPr>
        <w:pStyle w:val="ListBullet"/>
        <w:spacing w:after="40"/>
      </w:pPr>
      <w:r>
        <w:rPr>
          <w:rFonts w:ascii="Calibri" w:hAnsi="Calibri"/>
          <w:b w:val="0"/>
          <w:i w:val="0"/>
          <w:color w:val="0D0D0D"/>
          <w:sz w:val="20"/>
        </w:rPr>
        <w:t>WACC sources diverge: AlphaSpread 7,71% vs. GuruFocus 9,64%. Modelo DCE usa 7,75% (Bund 2,5% + β 1,0 + ERP 5,5%; Kd 3,5%) — coherente con AlphaSpread.</w:t>
      </w:r>
    </w:p>
    <w:p>
      <w:pPr>
        <w:keepNext/>
        <w:spacing w:before="240" w:after="80"/>
      </w:pPr>
      <w:r>
        <w:rPr>
          <w:rFonts w:ascii="Calibri" w:hAnsi="Calibri"/>
          <w:b/>
          <w:i w:val="0"/>
          <w:color w:val="1B2642"/>
          <w:sz w:val="26"/>
        </w:rPr>
        <w:t>§14.8 Firma de la Auditoría</w:t>
      </w:r>
    </w:p>
    <w:tbl>
      <w:tblPr>
        <w:tblW w:type="auto" w:w="0"/>
        <w:tblLook w:firstColumn="1" w:firstRow="1" w:lastColumn="0" w:lastRow="0" w:noHBand="0" w:noVBand="1" w:val="04A0"/>
      </w:tblPr>
      <w:tblGrid>
        <w:gridCol w:w="4873"/>
        <w:gridCol w:w="4873"/>
      </w:tblGrid>
      <w:tr>
        <w:tc>
          <w:tcPr>
            <w:tcW w:type="dxa" w:w="288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Campo</w:t>
            </w:r>
          </w:p>
        </w:tc>
        <w:tc>
          <w:tcPr>
            <w:tcW w:type="dxa" w:w="6480"/>
            <w:shd w:val="clear" w:color="auto" w:fill="1B2642"/>
            <w:tcBorders>
              <w:top w:val="single" w:sz="4" w:space="0" w:color="1B2642"/>
              <w:left w:val="single" w:sz="4" w:space="0" w:color="1B2642"/>
              <w:bottom w:val="single" w:sz="4" w:space="0" w:color="1B2642"/>
              <w:right w:val="single" w:sz="4" w:space="0" w:color="1B2642"/>
            </w:tcBorders>
          </w:tcPr>
          <w:p>
            <w:r/>
            <w:r>
              <w:rPr>
                <w:rFonts w:ascii="Calibri" w:hAnsi="Calibri"/>
                <w:b/>
                <w:i w:val="0"/>
                <w:color w:val="FFFFFF"/>
                <w:sz w:val="20"/>
              </w:rPr>
              <w:t>Valor</w:t>
            </w:r>
          </w:p>
        </w:tc>
      </w:tr>
      <w:tr>
        <w:tc>
          <w:tcPr>
            <w:tcW w:type="dxa" w:w="28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Documento</w:t>
            </w:r>
          </w:p>
        </w:tc>
        <w:tc>
          <w:tcPr>
            <w:tcW w:type="dxa" w:w="64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DCE Ferrari (RACE) Company Brief v2.0</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Modelo Columbia</w:t>
            </w:r>
          </w:p>
        </w:tc>
        <w:tc>
          <w:tcPr>
            <w:tcW w:type="dxa" w:w="64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RACE_columbia_v4.2.xlsx</w:t>
            </w:r>
          </w:p>
        </w:tc>
      </w:tr>
      <w:tr>
        <w:tc>
          <w:tcPr>
            <w:tcW w:type="dxa" w:w="28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Modelo SHA256</w:t>
            </w:r>
          </w:p>
        </w:tc>
        <w:tc>
          <w:tcPr>
            <w:tcW w:type="dxa" w:w="64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92a26db9e20a17cbd79b4ab575f418fd59fa9acbb63f1cccead4a519a72dcd50</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Timestamp auditoría</w:t>
            </w:r>
          </w:p>
        </w:tc>
        <w:tc>
          <w:tcPr>
            <w:tcW w:type="dxa" w:w="64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2026-05-23 11:34:38 CEST</w:t>
            </w:r>
          </w:p>
        </w:tc>
      </w:tr>
      <w:tr>
        <w:tc>
          <w:tcPr>
            <w:tcW w:type="dxa" w:w="28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Verdicto</w:t>
            </w:r>
          </w:p>
        </w:tc>
        <w:tc>
          <w:tcPr>
            <w:tcW w:type="dxa" w:w="64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PASS</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Operador</w:t>
            </w:r>
          </w:p>
        </w:tc>
        <w:tc>
          <w:tcPr>
            <w:tcW w:type="dxa" w:w="64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DCE Investment Team (subagente automated)</w:t>
            </w:r>
          </w:p>
        </w:tc>
      </w:tr>
      <w:tr>
        <w:tc>
          <w:tcPr>
            <w:tcW w:type="dxa" w:w="28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Framework</w:t>
            </w:r>
          </w:p>
        </w:tc>
        <w:tc>
          <w:tcPr>
            <w:tcW w:type="dxa" w:w="64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Greenwald + Columbia + GARP moderno</w:t>
            </w:r>
          </w:p>
        </w:tc>
      </w:tr>
      <w:tr>
        <w:tc>
          <w:tcPr>
            <w:tcW w:type="dxa" w:w="28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Moneda del modelo</w:t>
            </w:r>
          </w:p>
        </w:tc>
        <w:tc>
          <w:tcPr>
            <w:tcW w:type="dxa" w:w="6480"/>
            <w:shd w:val="clear" w:color="auto" w:fill="FFFFFF"/>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EUR</w:t>
            </w:r>
          </w:p>
        </w:tc>
      </w:tr>
      <w:tr>
        <w:tc>
          <w:tcPr>
            <w:tcW w:type="dxa" w:w="28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Caso de Escalera</w:t>
            </w:r>
          </w:p>
        </w:tc>
        <w:tc>
          <w:tcPr>
            <w:tcW w:type="dxa" w:w="6480"/>
            <w:shd w:val="clear" w:color="auto" w:fill="E6E6E6"/>
            <w:tcBorders>
              <w:top w:val="single" w:sz="4" w:space="0" w:color="BFBFBF"/>
              <w:left w:val="single" w:sz="4" w:space="0" w:color="BFBFBF"/>
              <w:bottom w:val="single" w:sz="4" w:space="0" w:color="BFBFBF"/>
              <w:right w:val="single" w:sz="4" w:space="0" w:color="BFBFBF"/>
            </w:tcBorders>
          </w:tcPr>
          <w:p>
            <w:r/>
            <w:r>
              <w:rPr>
                <w:rFonts w:ascii="Calibri" w:hAnsi="Calibri"/>
                <w:b w:val="0"/>
                <w:i w:val="0"/>
                <w:color w:val="0D0D0D"/>
                <w:sz w:val="20"/>
              </w:rPr>
              <w:t>Caso 3 (FV &gt; Precio)</w:t>
            </w:r>
          </w:p>
        </w:tc>
      </w:tr>
    </w:tbl>
    <w:p>
      <w:pPr>
        <w:spacing w:after="120" w:line="276" w:lineRule="auto"/>
        <w:jc w:val="both"/>
      </w:pPr>
      <w:r>
        <w:rPr>
          <w:rFonts w:ascii="Calibri" w:hAnsi="Calibri"/>
          <w:b w:val="0"/>
          <w:i/>
          <w:color w:val="0D0D0D"/>
          <w:sz w:val="22"/>
        </w:rPr>
        <w:t>Firma electrónica equivalente: este documento ha pasado los cinco grupos de auditoría automatizada y se considera apto para distribución interna a CIO y comité de inversión de DCE Holdings.</w:t>
      </w:r>
    </w:p>
    <w:sectPr w:rsidR="00FC693F" w:rsidRPr="0006063C" w:rsidSect="00034616">
      <w:headerReference w:type="default" r:id="rId9"/>
      <w:footerReference w:type="default" r:id="rId10"/>
      <w:pgSz w:w="12240" w:h="15840"/>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680"/>
      <w:gridCol w:w="4680"/>
    </w:tblGrid>
    <w:tr>
      <w:tc>
        <w:tcPr>
          <w:tcW w:type="dxa" w:w="4680"/>
        </w:tcPr>
        <w:p>
          <w:pPr>
            <w:jc w:val="left"/>
          </w:pPr>
          <w:r/>
          <w:r>
            <w:rPr>
              <w:rFonts w:ascii="Calibri" w:hAnsi="Calibri"/>
              <w:b w:val="0"/>
              <w:i w:val="0"/>
              <w:color w:val="606060"/>
              <w:sz w:val="16"/>
            </w:rPr>
            <w:t>Confidencial — Solo para uso interno</w:t>
          </w:r>
        </w:p>
      </w:tc>
      <w:tc>
        <w:tcPr>
          <w:tcW w:type="dxa" w:w="4680"/>
        </w:tcPr>
        <w:p>
          <w:pPr>
            <w:jc w:val="right"/>
          </w:pPr>
          <w:r/>
          <w:r>
            <w:rPr>
              <w:rFonts w:ascii="Calibri" w:hAnsi="Calibri"/>
              <w:b w:val="0"/>
              <w:i w:val="0"/>
              <w:color w:val="606060"/>
              <w:sz w:val="16"/>
            </w:rPr>
            <w:t xml:space="preserve">Página </w:t>
          </w:r>
          <w:r>
            <w:rPr>
              <w:rFonts w:ascii="Calibri" w:hAnsi="Calibri"/>
              <w:color w:val="606060"/>
              <w:sz w:val="16"/>
            </w:rPr>
            <w:fldSimple w:instr="PAGE"/>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80"/>
      <w:gridCol w:w="4680"/>
    </w:tblGrid>
    <w:tr>
      <w:tc>
        <w:tcPr>
          <w:tcW w:type="dxa" w:w="4680"/>
        </w:tcPr>
        <w:p>
          <w:pPr>
            <w:jc w:val="left"/>
          </w:pPr>
          <w:r/>
          <w:r>
            <w:rPr>
              <w:rFonts w:ascii="Calibri" w:hAnsi="Calibri"/>
              <w:b w:val="0"/>
              <w:i w:val="0"/>
              <w:color w:val="1B2642"/>
              <w:sz w:val="16"/>
            </w:rPr>
            <w:t>DCE Holdings — Informe de Valoración</w:t>
          </w:r>
        </w:p>
      </w:tc>
      <w:tc>
        <w:tcPr>
          <w:tcW w:type="dxa" w:w="4680"/>
        </w:tcPr>
        <w:p>
          <w:pPr>
            <w:jc w:val="right"/>
          </w:pPr>
          <w:r/>
          <w:r>
            <w:rPr>
              <w:rFonts w:ascii="Calibri" w:hAnsi="Calibri"/>
              <w:b w:val="0"/>
              <w:i w:val="0"/>
              <w:color w:val="1B2642"/>
              <w:sz w:val="16"/>
            </w:rPr>
            <w:t>Ferrari (RACE) | 23 de mayo de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