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0"/>
        </w:rPr>
        <w:t>GOVERNANCE &amp; SUCCESSION FRAMEWORK</w:t>
      </w:r>
    </w:p>
    <w:p>
      <w:pPr>
        <w:jc w:val="center"/>
      </w:pPr>
      <w:r>
        <w:rPr>
          <w:rFonts w:ascii="Helvetica" w:hAnsi="Helvetica"/>
          <w:b w:val="0"/>
          <w:sz w:val="22"/>
        </w:rPr>
        <w:t>Version 5.0 — Mayo 2026</w:t>
      </w:r>
    </w:p>
    <w:p>
      <w:pPr>
        <w:spacing w:before="240" w:after="120"/>
      </w:pPr>
      <w:r>
        <w:rPr>
          <w:rFonts w:ascii="Helvetica" w:hAnsi="Helvetica"/>
          <w:b/>
          <w:sz w:val="28"/>
        </w:rPr>
        <w:t>1  Proposito</w:t>
      </w:r>
    </w:p>
    <w:p>
      <w:pPr>
        <w:spacing w:after="120"/>
      </w:pPr>
      <w:r>
        <w:rPr>
          <w:rFonts w:ascii="Helvetica" w:hAnsi="Helvetica"/>
          <w:sz w:val="22"/>
        </w:rPr>
        <w:t>Este documento establece las reglas de gobernanza, sucesion y continuidad institucional de DCE Holdings. Su objetivo es garantizar que el patrimonio familiar sobreviva a cualquier persona, incluyendo a su fundador.</w:t>
      </w:r>
    </w:p>
    <w:p>
      <w:pPr>
        <w:spacing w:after="120"/>
      </w:pPr>
      <w:r>
        <w:rPr>
          <w:rFonts w:ascii="Helvetica" w:hAnsi="Helvetica"/>
          <w:sz w:val="22"/>
        </w:rPr>
        <w:t>El Framework tiene caracter normativo y opera en su propio dominio, independiente de la jerarquia del proceso de inversion (Charter &gt; IPS &gt; Operations Manual). Ninguna disposicion contenida en este documento podra ser modificada unilateralmente por ninguna persona. Cualquier modificacion requerira aprobacion unanime del Comite de Inversiones.</w:t>
      </w:r>
    </w:p>
    <w:p>
      <w:pPr>
        <w:spacing w:before="240" w:after="120"/>
      </w:pPr>
      <w:r>
        <w:rPr>
          <w:rFonts w:ascii="Helvetica" w:hAnsi="Helvetica"/>
          <w:b/>
          <w:sz w:val="28"/>
        </w:rPr>
        <w:t>2  Principios de gobierno</w:t>
      </w:r>
    </w:p>
    <w:p>
      <w:pPr>
        <w:spacing w:after="120"/>
      </w:pPr>
      <w:r>
        <w:rPr>
          <w:rFonts w:ascii="Helvetica" w:hAnsi="Helvetica"/>
          <w:sz w:val="22"/>
        </w:rPr>
        <w:t>La gobernanza de DCE Holdings descansa sobre cuatro principios fundamentales.</w:t>
      </w:r>
    </w:p>
    <w:p>
      <w:pPr>
        <w:spacing w:after="120"/>
      </w:pPr>
      <w:r>
        <w:rPr>
          <w:rFonts w:ascii="Helvetica" w:hAnsi="Helvetica"/>
          <w:sz w:val="22"/>
        </w:rPr>
        <w:t>El primero es la proteccion contra concentracion de poder: ninguna persona, incluyendo el fundador, podra modificar unilateralmente las disposiciones de gobernanza, sucesion o continuidad institucional contenidas en este Framework.</w:t>
      </w:r>
    </w:p>
    <w:p>
      <w:pPr>
        <w:spacing w:after="120"/>
      </w:pPr>
      <w:r>
        <w:rPr>
          <w:rFonts w:ascii="Helvetica" w:hAnsi="Helvetica"/>
          <w:sz w:val="22"/>
        </w:rPr>
        <w:t>El segundo es la supervision colegiada: el Comite de Inversiones opera como organo de revision, aprobacion y verificacion del proceso de inversion. Su funcion no es gestionar el portafolio, sino asegurar que el proceso se ejecute con integridad.</w:t>
      </w:r>
    </w:p>
    <w:p>
      <w:pPr>
        <w:spacing w:after="120"/>
      </w:pPr>
      <w:r>
        <w:rPr>
          <w:rFonts w:ascii="Helvetica" w:hAnsi="Helvetica"/>
          <w:sz w:val="22"/>
        </w:rPr>
        <w:t>El tercero es la transparencia: toda la actividad del holding queda registrada en el Data Room institucional. Cualquier miembro del CI puede acceder a cualquier documento en cualquier momento.</w:t>
      </w:r>
    </w:p>
    <w:p>
      <w:pPr>
        <w:spacing w:after="120"/>
      </w:pPr>
      <w:r>
        <w:rPr>
          <w:rFonts w:ascii="Helvetica" w:hAnsi="Helvetica"/>
          <w:sz w:val="22"/>
        </w:rPr>
        <w:t>El cuarto es la independencia: a partir de 15 millones de dolares en AUM, el CI debera contar con al menos un miembro externo independiente que aporte perspectiva objetiva y actue como contrapeso natural a los sesgos internos.</w:t>
      </w:r>
    </w:p>
    <w:p>
      <w:pPr>
        <w:spacing w:before="240" w:after="120"/>
      </w:pPr>
      <w:r>
        <w:rPr>
          <w:rFonts w:ascii="Helvetica" w:hAnsi="Helvetica"/>
          <w:b/>
          <w:sz w:val="28"/>
        </w:rPr>
        <w:t>3  Comite de Inversiones</w:t>
      </w:r>
    </w:p>
    <w:p>
      <w:pPr>
        <w:spacing w:before="160" w:after="80"/>
      </w:pPr>
      <w:r>
        <w:rPr>
          <w:rFonts w:ascii="Helvetica" w:hAnsi="Helvetica"/>
          <w:b/>
          <w:sz w:val="24"/>
        </w:rPr>
        <w:t>3.1  Composicion</w:t>
      </w:r>
    </w:p>
    <w:p>
      <w:pPr>
        <w:spacing w:after="120"/>
      </w:pPr>
      <w:r>
        <w:rPr>
          <w:rFonts w:ascii="Helvetica" w:hAnsi="Helvetica"/>
          <w:sz w:val="22"/>
        </w:rPr>
        <w:t>En su estructura objetivo, el Comite de Inversiones esta compuesto por tres miembros: el Executive Chairman &amp; CIO, quien lo preside; el Director of Investment Research; y un miembro externo independiente. La designacion del miembro externo se formaliza mediante nombramiento separado que se archiva en el Data Room.</w:t>
      </w:r>
    </w:p>
    <w:p>
      <w:pPr>
        <w:spacing w:after="120"/>
      </w:pPr>
      <w:r>
        <w:rPr>
          <w:rFonts w:ascii="Helvetica" w:hAnsi="Helvetica"/>
          <w:sz w:val="22"/>
        </w:rPr>
        <w:t>Bajo el regimen transitorio 2026, mientras el holding opera con un Investment Associate unico que absorbe las responsabilidades del Director of Investment Research, el Comite de Inversiones se configura con dos miembros: el Executive Chairman &amp; CIO y un miembro externo independiente. El Investment Associate participa como invitado tecnico en las reuniones del Comite cuando aplique, sin voz ni voto, dado que su autoridad de firma esta limitada conforme al Operations Manual. Cuando el holding incorpore un segundo perfil analitico y el Investment Associate evolucione a Director of Investment Research, el Comite recuperara su configuracion objetivo de tres miembros.</w:t>
      </w:r>
    </w:p>
    <w:p>
      <w:pPr>
        <w:spacing w:after="120"/>
      </w:pPr>
      <w:r>
        <w:rPr>
          <w:rFonts w:ascii="Helvetica" w:hAnsi="Helvetica"/>
          <w:sz w:val="22"/>
        </w:rPr>
        <w:t>Conforme el AUM alcance los 15 millones de dolares, se incorporaran uno o dos miembros externos adicionales. El perfil preferente es el de un ex-CIO de family office o un gestor con trayectoria demostrada en inversion value.</w:t>
      </w:r>
    </w:p>
    <w:p>
      <w:pPr>
        <w:spacing w:before="160" w:after="80"/>
      </w:pPr>
      <w:r>
        <w:rPr>
          <w:rFonts w:ascii="Helvetica" w:hAnsi="Helvetica"/>
          <w:b/>
          <w:sz w:val="24"/>
        </w:rPr>
        <w:t>3.2  Funcionamiento</w:t>
      </w:r>
    </w:p>
    <w:p>
      <w:pPr>
        <w:spacing w:after="120"/>
      </w:pPr>
      <w:r>
        <w:rPr>
          <w:rFonts w:ascii="Helvetica" w:hAnsi="Helvetica"/>
          <w:sz w:val="22"/>
        </w:rPr>
        <w:t>El CI se reune de forma ordinaria una vez por trimestre, programado para la segunda semana previa al cierre del trimestre. Cada reunion ordinaria se convoca con base en el CI Pack preparado por el rol analitico senior del holding y aprobado por el CIO. En estructura objetivo este rol corresponde al Director of Investment Research; bajo el regimen transitorio 2026 corresponde al Investment Associate, conforme a la seccion 3.3 del Charter.</w:t>
      </w:r>
    </w:p>
    <w:p>
      <w:pPr>
        <w:spacing w:after="120"/>
      </w:pPr>
      <w:r>
        <w:rPr>
          <w:rFonts w:ascii="Helvetica" w:hAnsi="Helvetica"/>
          <w:sz w:val="22"/>
        </w:rPr>
        <w:t>Las reuniones extraordinarias podran ser convocadas por cualquier miembro del CI con un plazo maximo de 72 horas cuando se presente alguna de las siguientes circunstancias: que el drawdown del portafolio financiero supere el 25 por ciento conforme a la seccion 8.0 del IPS, que la iliquidez consolidada del portafolio exceda el 50 por ciento segun la definicion del IPS, o que exista una ruptura grave de las bandas estrategicas.</w:t>
      </w:r>
    </w:p>
    <w:p>
      <w:pPr>
        <w:spacing w:after="120"/>
      </w:pPr>
      <w:r>
        <w:rPr>
          <w:rFonts w:ascii="Helvetica" w:hAnsi="Helvetica"/>
          <w:sz w:val="22"/>
        </w:rPr>
        <w:t>El quorum requerido para sesionar es del 100 por ciento de los miembros. Las decisiones se toman por mayoria simple, con el CIO ejerciendo voto de calidad en caso de empate. Toda reunion debera contar con acta firmada por todos los miembros dentro de las 48 horas siguientes. Las decisiones del Comite sobre cada tesis evaluada (BUY / FOLLOW / PASS / SELL) se registran en el Decision Journal del holding, conforme al IPS 4.6 y al Operations Manual.</w:t>
      </w:r>
    </w:p>
    <w:p>
      <w:pPr>
        <w:spacing w:before="240" w:after="120"/>
      </w:pPr>
      <w:r>
        <w:rPr>
          <w:rFonts w:ascii="Helvetica" w:hAnsi="Helvetica"/>
          <w:b/>
          <w:sz w:val="28"/>
        </w:rPr>
        <w:t>4  Sucesion del Executive Chairman &amp; CIO</w:t>
      </w:r>
    </w:p>
    <w:p>
      <w:pPr>
        <w:spacing w:before="160" w:after="80"/>
      </w:pPr>
      <w:r>
        <w:rPr>
          <w:rFonts w:ascii="Helvetica" w:hAnsi="Helvetica"/>
          <w:b/>
          <w:sz w:val="24"/>
        </w:rPr>
        <w:t>4.1  Successor Chairman designado</w:t>
      </w:r>
    </w:p>
    <w:p>
      <w:pPr>
        <w:spacing w:after="120"/>
      </w:pPr>
      <w:r>
        <w:rPr>
          <w:rFonts w:ascii="Helvetica" w:hAnsi="Helvetica"/>
          <w:sz w:val="22"/>
        </w:rPr>
        <w:t>El fundador designara un Successor Chairman que asumira las funciones del CIO en caso de retiro, incapacidad permanente o fallecimiento. El Successor debera ser formado durante un periodo minimo de tres anos antes de cualquier traspaso, asegurando que comprenda a profundidad la filosofia de inversion, el marco institucional y la cultura del holding. La designacion del Successor se formaliza mediante nombramiento separado que se archiva en el Data Room.</w:t>
      </w:r>
    </w:p>
    <w:p>
      <w:pPr>
        <w:spacing w:before="160" w:after="80"/>
      </w:pPr>
      <w:r>
        <w:rPr>
          <w:rFonts w:ascii="Helvetica" w:hAnsi="Helvetica"/>
          <w:b/>
          <w:sz w:val="24"/>
        </w:rPr>
        <w:t>4.2  Proceso de traspaso</w:t>
      </w:r>
    </w:p>
    <w:p>
      <w:pPr>
        <w:spacing w:after="120"/>
      </w:pPr>
      <w:r>
        <w:rPr>
          <w:rFonts w:ascii="Helvetica" w:hAnsi="Helvetica"/>
          <w:sz w:val="22"/>
        </w:rPr>
        <w:t>El traspaso del liderazgo del holding seguira una secuencia ordenada en cuatro pasos. Primero, se notificara por escrito al Comite de Inversiones dentro de los 30 dias siguientes al evento que active la sucesion. Segundo, el Successor asumira las funciones de forma interina. Tercero, el CI ratificara la designacion en reunion extraordinaria dentro de un plazo maximo de 90 dias. Cuarto, el nuevo CIO firmara la actualizacion del Charter, el IPS y el Operations Manual, formalizando la transicion.</w:t>
      </w:r>
    </w:p>
    <w:p>
      <w:pPr>
        <w:spacing w:before="240" w:after="120"/>
      </w:pPr>
      <w:r>
        <w:rPr>
          <w:rFonts w:ascii="Helvetica" w:hAnsi="Helvetica"/>
          <w:b/>
          <w:sz w:val="28"/>
        </w:rPr>
        <w:t>5  Sucesion del rol analitico senior</w:t>
      </w:r>
    </w:p>
    <w:p>
      <w:pPr>
        <w:spacing w:after="120"/>
      </w:pPr>
      <w:r>
        <w:rPr>
          <w:rFonts w:ascii="Helvetica" w:hAnsi="Helvetica"/>
          <w:sz w:val="22"/>
        </w:rPr>
        <w:t>Esta seccion regula la sucesion del rol analitico senior del holding. En estructura objetivo este rol corresponde al Director of Investment Research. Bajo el regimen transitorio 2026, mientras las responsabilidades del Director son absorbidas por el Investment Associate conforme al Charter 3.3, las disposiciones de esta seccion aplican al Investment Associate con las adaptaciones que correspondan a su perfil.</w:t>
      </w:r>
    </w:p>
    <w:p>
      <w:pPr>
        <w:spacing w:after="120"/>
      </w:pPr>
      <w:r>
        <w:rPr>
          <w:rFonts w:ascii="Helvetica" w:hAnsi="Helvetica"/>
          <w:sz w:val="22"/>
        </w:rPr>
        <w:t>Cuando se anticipe la salida del rol analitico senior, el CIO propondra un candidato con al menos seis meses de anticipacion. El Comite de Inversiones aprobara la designacion por mayoria simple. La transicion incluira un periodo minimo de tres meses de overlapping durante el cual ambos titulares trabajaran en paralelo, garantizando la transferencia completa de conocimiento institucional, metodologico y relacional. Cuando la sucesion implique la evolucion del Investment Associate al rol de Director of Investment Research al incorporarse un segundo perfil analitico al equipo, el periodo de overlapping se computa entre el Associate y el nuevo Analyst que se incorpora.</w:t>
      </w:r>
    </w:p>
    <w:p>
      <w:pPr>
        <w:spacing w:before="240" w:after="120"/>
      </w:pPr>
      <w:r>
        <w:rPr>
          <w:rFonts w:ascii="Helvetica" w:hAnsi="Helvetica"/>
          <w:b/>
          <w:sz w:val="28"/>
        </w:rPr>
        <w:t>6  Incapacidad temporal o permanente</w:t>
      </w:r>
    </w:p>
    <w:p>
      <w:pPr>
        <w:spacing w:after="120"/>
      </w:pPr>
      <w:r>
        <w:rPr>
          <w:rFonts w:ascii="Helvetica" w:hAnsi="Helvetica"/>
          <w:sz w:val="22"/>
        </w:rPr>
        <w:t>En caso de incapacidad temporal del CIO por un periodo inferior a 90 dias en estructura objetivo, el Director of Investment Research asumira las funciones operativas del holding. El CIO conservara la firma y la autoridad sobre decisiones estrategicas que no requieran accion inmediata.</w:t>
      </w:r>
    </w:p>
    <w:p>
      <w:pPr>
        <w:spacing w:after="120"/>
      </w:pPr>
      <w:r>
        <w:rPr>
          <w:rFonts w:ascii="Helvetica" w:hAnsi="Helvetica"/>
          <w:sz w:val="22"/>
        </w:rPr>
        <w:t>Bajo el regimen transitorio 2026, el holding opera con un Investment Associate unico que no tiene autoridad de firma sobre decisiones de inversion conforme al Operations Manual. En consecuencia, ante incapacidad temporal del CIO inferior a 90 dias bajo esta estructura, el Comite de Inversiones, presidido en sesion extraordinaria por el miembro externo independiente, asume la coordinacion operativa del holding y sesiona en modo de preservacion. Bajo este modo se permiten unicamente decisiones orientadas a la preservacion del capital (gestion de riesgos materiales, cumplimiento de obligaciones operativas, respuesta a eventos de mercado adversos) y queda suspendida toda apertura de nuevas posiciones o ajustes activos no exigidos por preservacion. El Investment Associate continua la produccion analitica regular (monitoreo, research, Re-Underwritings trimestrales) bajo la supervision funcional del miembro externo durante el periodo de incapacidad, sin asumir autoridad de decision.</w:t>
      </w:r>
    </w:p>
    <w:p>
      <w:pPr>
        <w:spacing w:after="120"/>
      </w:pPr>
      <w:r>
        <w:rPr>
          <w:rFonts w:ascii="Helvetica" w:hAnsi="Helvetica"/>
          <w:sz w:val="22"/>
        </w:rPr>
        <w:t>Si la incapacidad se extiende mas alla de los 90 dias o se determina que es permanente, se activara de inmediato el proceso de sucesion descrito en las secciones 3 y 4.</w:t>
      </w:r>
    </w:p>
    <w:p>
      <w:pPr>
        <w:spacing w:after="120"/>
      </w:pPr>
      <w:r>
        <w:rPr>
          <w:rFonts w:ascii="Helvetica" w:hAnsi="Helvetica"/>
          <w:sz w:val="22"/>
        </w:rPr>
        <w:t>Para garantizar la continuidad operativa en cualquier escenario, DCE Holdings mantiene un sobre cifrado bajo custodia del abogado principal del holding. Este sobre contiene las claves maestras de acceso (Bitwarden) y las semillas de recuperacion de los activos en custodia de criptomonedas. El acceso a este sobre solo se activara ante incapacidad permanente o fallecimiento del CIO, previa verificacion por el Comite de Inversiones.</w:t>
      </w:r>
    </w:p>
    <w:p>
      <w:pPr>
        <w:spacing w:before="240" w:after="120"/>
      </w:pPr>
      <w:r>
        <w:rPr>
          <w:rFonts w:ascii="Helvetica" w:hAnsi="Helvetica"/>
          <w:b/>
          <w:sz w:val="28"/>
        </w:rPr>
        <w:t>7  Entrada de nueva generacion familiar</w:t>
      </w:r>
    </w:p>
    <w:p>
      <w:pPr>
        <w:spacing w:after="120"/>
      </w:pPr>
      <w:r>
        <w:rPr>
          <w:rFonts w:ascii="Helvetica" w:hAnsi="Helvetica"/>
          <w:sz w:val="22"/>
        </w:rPr>
        <w:t>La incorporacion de miembros de la siguiente generacion familiar al proceso de gobernanza del holding seguira un camino gradual y meritocrático.</w:t>
      </w:r>
    </w:p>
    <w:p>
      <w:pPr>
        <w:spacing w:after="120"/>
      </w:pPr>
      <w:r>
        <w:rPr>
          <w:rFonts w:ascii="Helvetica" w:hAnsi="Helvetica"/>
          <w:sz w:val="22"/>
        </w:rPr>
        <w:t>A partir de los 21 anos, un miembro familiar podra asistir como observador a las reuniones del Comite de Inversiones, sin voz ni voto. A partir de los 25 anos, y habiendo demostrado interes genuino y preparacion adecuada, podra participar con voz consultiva. El derecho a voto en el CI se otorgara a partir de los 30 anos, condicionado a un minimo de cinco anos de experiencia profesional relevante fuera del holding.</w:t>
      </w:r>
    </w:p>
    <w:p>
      <w:pPr>
        <w:spacing w:after="120"/>
      </w:pPr>
      <w:r>
        <w:rPr>
          <w:rFonts w:ascii="Helvetica" w:hAnsi="Helvetica"/>
          <w:sz w:val="22"/>
        </w:rPr>
        <w:t>La formacion obligatoria incluye la lectura completa de todos los documentos institucionales del holding y un periodo minimo de dos anos de shadowing antes de asumir cualquier responsabilidad formal.</w:t>
      </w:r>
    </w:p>
    <w:p>
      <w:pPr>
        <w:spacing w:after="120"/>
      </w:pPr>
      <w:r>
        <w:rPr>
          <w:rFonts w:ascii="Helvetica" w:hAnsi="Helvetica"/>
          <w:sz w:val="22"/>
        </w:rPr>
        <w:t>Queda prohibido el empleo familiar remunerado dentro del holding o sus empresas operativas sin aprobacion unanime del Comite de Inversiones.</w:t>
      </w:r>
    </w:p>
    <w:p>
      <w:pPr>
        <w:spacing w:before="240" w:after="120"/>
      </w:pPr>
      <w:r>
        <w:rPr>
          <w:rFonts w:ascii="Helvetica" w:hAnsi="Helvetica"/>
          <w:b/>
          <w:sz w:val="28"/>
        </w:rPr>
        <w:t>8  Resolucion de conflictos</w:t>
      </w:r>
    </w:p>
    <w:p>
      <w:pPr>
        <w:spacing w:after="120"/>
      </w:pPr>
      <w:r>
        <w:rPr>
          <w:rFonts w:ascii="Helvetica" w:hAnsi="Helvetica"/>
          <w:sz w:val="22"/>
        </w:rPr>
        <w:t>Cualquier conflicto entre miembros del equipo, del CI o de la familia seguira una escalada ordenada en tres niveles. El primer nivel es una reunion privada entre el CIO y la parte afectada, buscando una resolucion directa. Si no se alcanza resolucion, el segundo nivel es la mediacion por un miembro externo del Comite de Inversiones. Si la mediacion no prospera, el tercer nivel es el arbitraje vinculante en Ciudad de Panama, Panama, bajo las reglas de la Camara de Comercio Internacional.</w:t>
      </w:r>
    </w:p>
    <w:p>
      <w:pPr>
        <w:spacing w:after="120"/>
      </w:pPr>
      <w:r>
        <w:rPr>
          <w:rFonts w:ascii="Helvetica" w:hAnsi="Helvetica"/>
          <w:sz w:val="22"/>
        </w:rPr>
        <w:t>Ningun conflicto, independientemente de su naturaleza o gravedad, podra paralizar las decisiones de preservacion de capital del holding.</w:t>
      </w:r>
    </w:p>
    <w:p>
      <w:pPr>
        <w:spacing w:before="240" w:after="120"/>
      </w:pPr>
      <w:r>
        <w:rPr>
          <w:rFonts w:ascii="Helvetica" w:hAnsi="Helvetica"/>
          <w:b/>
          <w:sz w:val="28"/>
        </w:rPr>
        <w:t>9  Revision anual del Framework</w:t>
      </w:r>
    </w:p>
    <w:p>
      <w:pPr>
        <w:spacing w:after="120"/>
      </w:pPr>
      <w:r>
        <w:rPr>
          <w:rFonts w:ascii="Helvetica" w:hAnsi="Helvetica"/>
          <w:sz w:val="22"/>
        </w:rPr>
        <w:t>Este Framework se revisara formalmente cada 31 de diciembre, coincidiendo con la reunion anual del holding. La revision evaluara si las disposiciones de gobernanza, sucesion y continuidad siguen siendo adecuadas a la escala y complejidad del holding.</w:t>
      </w:r>
    </w:p>
    <w:p>
      <w:pPr>
        <w:spacing w:after="120"/>
      </w:pPr>
      <w:r>
        <w:rPr>
          <w:rFonts w:ascii="Helvetica" w:hAnsi="Helvetica"/>
          <w:sz w:val="22"/>
        </w:rPr>
        <w:t>Cualquier modificacion requerira aprobacion unanime del Comite de Inversiones y firma del Executive Chairman &amp; CIO. La version anterior se archivara en el Data Room con fecha y numero de version.</w:t>
      </w:r>
    </w:p>
    <w:p>
      <w:pPr>
        <w:spacing w:before="160" w:after="80"/>
      </w:pPr>
      <w:r>
        <w:rPr>
          <w:rFonts w:ascii="Helvetica" w:hAnsi="Helvetica"/>
          <w:b/>
          <w:sz w:val="24"/>
        </w:rPr>
        <w:t>Registro de enmiendas</w:t>
      </w:r>
    </w:p>
    <w:p>
      <w:pPr>
        <w:pStyle w:val="ListBullet"/>
      </w:pPr>
      <w:r>
        <w:rPr>
          <w:rFonts w:ascii="Helvetica" w:hAnsi="Helvetica"/>
          <w:sz w:val="22"/>
        </w:rPr>
        <w:t>v1.0 — Abril 2026: Framework fundacional.</w:t>
      </w:r>
    </w:p>
    <w:p>
      <w:pPr>
        <w:pStyle w:val="ListBullet"/>
      </w:pPr>
      <w:r>
        <w:rPr>
          <w:rFonts w:ascii="Helvetica" w:hAnsi="Helvetica"/>
          <w:sz w:val="22"/>
        </w:rPr>
        <w:t>v2.0 — Febrero 2026: Drawdown trigger alineado al 25%. Referencia a Operations Manual.</w:t>
      </w:r>
    </w:p>
    <w:p>
      <w:pPr>
        <w:pStyle w:val="ListBullet"/>
      </w:pPr>
      <w:r>
        <w:rPr>
          <w:rFonts w:ascii="Helvetica" w:hAnsi="Helvetica"/>
          <w:sz w:val="22"/>
        </w:rPr>
        <w:t>v3.0 — Febrero 2026: Reescritura integral en prosa institucional. Contenido normativo preservado sin cambios sustantivos. Estructura de secciones mantenida. Posicionamiento del Framework como documento independiente de la jerarquia del proceso de inversion.</w:t>
      </w:r>
    </w:p>
    <w:p>
      <w:pPr>
        <w:pStyle w:val="ListBullet"/>
      </w:pPr>
      <w:r>
        <w:rPr>
          <w:rFonts w:ascii="Helvetica" w:hAnsi="Helvetica"/>
          <w:sz w:val="22"/>
        </w:rPr>
        <w:t>v4.0 — Abril 2026: Jurisdiccion de arbitraje definida: Ciudad de Panama, Panama (seccion 8). Fechas fundacionales completadas en registro de enmiendas. Version inicial para firma.</w:t>
      </w:r>
    </w:p>
    <w:p>
      <w:pPr>
        <w:pStyle w:val="ListBullet"/>
      </w:pPr>
      <w:r>
        <w:rPr>
          <w:rFonts w:ascii="Helvetica" w:hAnsi="Helvetica"/>
          <w:sz w:val="22"/>
        </w:rPr>
        <w:t>v5.0 — Mayo 2026: Alineacion del Framework con la estructura organizacional transitoria 2026 formalizada en el Operations Manual v3.5 y el Investment Charter v3.1. Cambios: (1) §3.1 Composicion: bajo regimen transitorio 2026 el CI se configura con dos miembros (CIO + miembro externo independiente); el Investment Associate participa como invitado tecnico sin voz ni voto. La configuracion objetivo de tres miembros se recupera al incorporarse un segundo perfil analitico y la evolucion del Associate a Director of Investment Research; (2) §3.2 Funcionamiento: el CI Pack es producido por el rol analitico senior del holding (Director of Investment Research en estructura objetivo, Investment Associate en regimen transitorio); incorpora referencia al registro de las decisiones del Comite (BUY / FOLLOW / PASS / SELL) en el Decision Journal; (3) §5 Sucesion del rol analitico senior: titulo y prosa generalizados para cubrir tanto al Director of Investment Research como al Investment Associate, con clausula especifica sobre el periodo de overlapping en el caso de evolucion del Associate al rol de Director al incorporarse el Analyst; (4) §6 Incapacidad temporal o permanente: bajo regimen transitorio 2026 el Comite de Inversiones (presidido por el miembro externo en ausencia del CIO) asume coordinacion operativa y sesiona en modo de preservacion ante incapacidad temporal del CIO; el Investment Associate continua produccion analitica regular bajo supervision funcional del miembro externo sin asumir autoridad de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