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0"/>
        </w:rPr>
        <w:t>INVESTMENT POLICY STATEMENT</w:t>
      </w:r>
    </w:p>
    <w:p>
      <w:pPr>
        <w:jc w:val="center"/>
      </w:pPr>
      <w:r>
        <w:rPr>
          <w:rFonts w:ascii="Helvetica" w:hAnsi="Helvetica"/>
          <w:b w:val="0"/>
          <w:sz w:val="22"/>
        </w:rPr>
        <w:t>Version 10.0 — Mayo 2026</w:t>
      </w:r>
    </w:p>
    <w:p>
      <w:pPr>
        <w:jc w:val="center"/>
      </w:pPr>
      <w:r>
        <w:rPr>
          <w:rFonts w:ascii="Helvetica" w:hAnsi="Helvetica"/>
          <w:b w:val="0"/>
          <w:sz w:val="20"/>
        </w:rPr>
        <w:t>Calibrado para AUM $5-15M. Sujeto a revision formal al superar dicho rango.</w:t>
      </w:r>
    </w:p>
    <w:p>
      <w:pPr>
        <w:spacing w:before="240" w:after="120"/>
      </w:pPr>
      <w:r>
        <w:rPr>
          <w:rFonts w:ascii="Helvetica" w:hAnsi="Helvetica"/>
          <w:b/>
          <w:sz w:val="28"/>
        </w:rPr>
        <w:t>1.0  Filosofia de inversion</w:t>
      </w:r>
    </w:p>
    <w:p>
      <w:pPr>
        <w:spacing w:before="160" w:after="80"/>
      </w:pPr>
      <w:r>
        <w:rPr>
          <w:rFonts w:ascii="Helvetica" w:hAnsi="Helvetica"/>
          <w:b/>
          <w:sz w:val="24"/>
        </w:rPr>
        <w:t>1.1  Enfoque general</w:t>
      </w:r>
    </w:p>
    <w:p>
      <w:pPr>
        <w:spacing w:after="120"/>
      </w:pPr>
      <w:r>
        <w:rPr>
          <w:rFonts w:ascii="Helvetica" w:hAnsi="Helvetica"/>
          <w:sz w:val="22"/>
        </w:rPr>
        <w:t>DCE Holdings aplica los principios definidos en el Investment Charter mediante un enfoque disciplinado de evaluacion economica, valoracion y preservacion de capital. Este IPS operacionaliza dichos principios y establece los criterios tecnicos, metricas y parametros que guian la construccion del portafolio, la evaluacion de calidad, la determinacion del valor intrinseco y el proceso de toma de decisiones de inversion.</w:t>
      </w:r>
    </w:p>
    <w:p>
      <w:pPr>
        <w:spacing w:before="160" w:after="80"/>
      </w:pPr>
      <w:r>
        <w:rPr>
          <w:rFonts w:ascii="Helvetica" w:hAnsi="Helvetica"/>
          <w:b/>
          <w:sz w:val="24"/>
        </w:rPr>
        <w:t>1.2  Posicionamiento filosofico</w:t>
      </w:r>
    </w:p>
    <w:p>
      <w:pPr>
        <w:spacing w:after="120"/>
      </w:pPr>
      <w:r>
        <w:rPr>
          <w:rFonts w:ascii="Helvetica" w:hAnsi="Helvetica"/>
          <w:sz w:val="22"/>
        </w:rPr>
        <w:t>El enfoque de inversion es quality-value: prioriza negocios con ventajas competitivas duraderas, retornos sobre capital superiores al costo de capital y equipos directivos alineados, adquiridos con margen de seguridad sobre su valor intrinseco.</w:t>
      </w:r>
    </w:p>
    <w:p>
      <w:pPr>
        <w:spacing w:before="240" w:after="120"/>
      </w:pPr>
      <w:r>
        <w:rPr>
          <w:rFonts w:ascii="Helvetica" w:hAnsi="Helvetica"/>
          <w:b/>
          <w:sz w:val="28"/>
        </w:rPr>
        <w:t>2.0  Universo de inversion</w:t>
      </w:r>
    </w:p>
    <w:p>
      <w:pPr>
        <w:spacing w:before="160" w:after="80"/>
      </w:pPr>
      <w:r>
        <w:rPr>
          <w:rFonts w:ascii="Helvetica" w:hAnsi="Helvetica"/>
          <w:b/>
          <w:sz w:val="24"/>
        </w:rPr>
        <w:t>2.1  Activos permitidos</w:t>
      </w:r>
    </w:p>
    <w:p>
      <w:pPr>
        <w:spacing w:after="120"/>
      </w:pPr>
      <w:r>
        <w:rPr>
          <w:rFonts w:ascii="Helvetica" w:hAnsi="Helvetica"/>
          <w:sz w:val="22"/>
        </w:rPr>
        <w:t>El portafolio podra incluir las siguientes clases de activos:</w:t>
      </w:r>
    </w:p>
    <w:p>
      <w:pPr>
        <w:pStyle w:val="ListBullet"/>
      </w:pPr>
      <w:r>
        <w:rPr>
          <w:rFonts w:ascii="Helvetica" w:hAnsi="Helvetica"/>
          <w:sz w:val="22"/>
        </w:rPr>
        <w:t>Acciones publicas globales.</w:t>
      </w:r>
    </w:p>
    <w:p>
      <w:pPr>
        <w:pStyle w:val="ListBullet"/>
      </w:pPr>
      <w:r>
        <w:rPr>
          <w:rFonts w:ascii="Helvetica" w:hAnsi="Helvetica"/>
          <w:sz w:val="22"/>
        </w:rPr>
        <w:t>ETFs con fines tacticos o de liquidez.</w:t>
      </w:r>
    </w:p>
    <w:p>
      <w:pPr>
        <w:pStyle w:val="ListBullet"/>
      </w:pPr>
      <w:r>
        <w:rPr>
          <w:rFonts w:ascii="Helvetica" w:hAnsi="Helvetica"/>
          <w:sz w:val="22"/>
        </w:rPr>
        <w:t>Private equity en participaciones minoritarias o de control.</w:t>
      </w:r>
    </w:p>
    <w:p>
      <w:pPr>
        <w:pStyle w:val="ListBullet"/>
      </w:pPr>
      <w:r>
        <w:rPr>
          <w:rFonts w:ascii="Helvetica" w:hAnsi="Helvetica"/>
          <w:sz w:val="22"/>
        </w:rPr>
        <w:t>Real estate estabilizado (core, core+ de tipo open-ended).</w:t>
      </w:r>
    </w:p>
    <w:p>
      <w:pPr>
        <w:pStyle w:val="ListBullet"/>
      </w:pPr>
      <w:r>
        <w:rPr>
          <w:rFonts w:ascii="Helvetica" w:hAnsi="Helvetica"/>
          <w:sz w:val="22"/>
        </w:rPr>
        <w:t>Fixed income de alta calidad crediticia.</w:t>
      </w:r>
    </w:p>
    <w:p>
      <w:pPr>
        <w:pStyle w:val="ListBullet"/>
      </w:pPr>
      <w:r>
        <w:rPr>
          <w:rFonts w:ascii="Helvetica" w:hAnsi="Helvetica"/>
          <w:sz w:val="22"/>
        </w:rPr>
        <w:t>Cash y equivalentes.</w:t>
      </w:r>
    </w:p>
    <w:p>
      <w:pPr>
        <w:pStyle w:val="ListBullet"/>
      </w:pPr>
      <w:r>
        <w:rPr>
          <w:rFonts w:ascii="Helvetica" w:hAnsi="Helvetica"/>
          <w:sz w:val="22"/>
        </w:rPr>
        <w:t>Cripto institucional con custodia en frio.</w:t>
      </w:r>
    </w:p>
    <w:p>
      <w:pPr>
        <w:pStyle w:val="ListBullet"/>
      </w:pPr>
      <w:r>
        <w:rPr>
          <w:rFonts w:ascii="Helvetica" w:hAnsi="Helvetica"/>
          <w:sz w:val="22"/>
        </w:rPr>
        <w:t>Opciones simples, utilizadas de forma racional y no especulativa.</w:t>
      </w:r>
    </w:p>
    <w:p>
      <w:pPr>
        <w:pStyle w:val="ListBullet"/>
      </w:pPr>
      <w:r>
        <w:rPr>
          <w:rFonts w:ascii="Helvetica" w:hAnsi="Helvetica"/>
          <w:sz w:val="22"/>
        </w:rPr>
        <w:t>Participaciones en empresas operativas cuando exista gobernanza profesional y un entendimiento profundo del modelo.</w:t>
      </w:r>
    </w:p>
    <w:p>
      <w:pPr>
        <w:spacing w:before="160" w:after="80"/>
      </w:pPr>
      <w:r>
        <w:rPr>
          <w:rFonts w:ascii="Helvetica" w:hAnsi="Helvetica"/>
          <w:b/>
          <w:sz w:val="24"/>
        </w:rPr>
        <w:t>2.2  Activos prohibidos</w:t>
      </w:r>
    </w:p>
    <w:p>
      <w:pPr>
        <w:spacing w:after="120"/>
      </w:pPr>
      <w:r>
        <w:rPr>
          <w:rFonts w:ascii="Helvetica" w:hAnsi="Helvetica"/>
          <w:sz w:val="22"/>
        </w:rPr>
        <w:t>Quedan excluidos del universo de inversion:</w:t>
      </w:r>
    </w:p>
    <w:p>
      <w:pPr>
        <w:pStyle w:val="ListBullet"/>
      </w:pPr>
      <w:r>
        <w:rPr>
          <w:rFonts w:ascii="Helvetica" w:hAnsi="Helvetica"/>
          <w:sz w:val="22"/>
        </w:rPr>
        <w:t>NFTs y activos sin valor economico subyacente.</w:t>
      </w:r>
    </w:p>
    <w:p>
      <w:pPr>
        <w:pStyle w:val="ListBullet"/>
      </w:pPr>
      <w:r>
        <w:rPr>
          <w:rFonts w:ascii="Helvetica" w:hAnsi="Helvetica"/>
          <w:sz w:val="22"/>
        </w:rPr>
        <w:t>Derivados especulativos apalancados.</w:t>
      </w:r>
    </w:p>
    <w:p>
      <w:pPr>
        <w:pStyle w:val="ListBullet"/>
      </w:pPr>
      <w:r>
        <w:rPr>
          <w:rFonts w:ascii="Helvetica" w:hAnsi="Helvetica"/>
          <w:sz w:val="22"/>
        </w:rPr>
        <w:t>FX trading especulativo.</w:t>
      </w:r>
    </w:p>
    <w:p>
      <w:pPr>
        <w:pStyle w:val="ListBullet"/>
      </w:pPr>
      <w:r>
        <w:rPr>
          <w:rFonts w:ascii="Helvetica" w:hAnsi="Helvetica"/>
          <w:sz w:val="22"/>
        </w:rPr>
        <w:t>Commodities directas sin proposito estrategico.</w:t>
      </w:r>
    </w:p>
    <w:p>
      <w:pPr>
        <w:pStyle w:val="ListBullet"/>
      </w:pPr>
      <w:r>
        <w:rPr>
          <w:rFonts w:ascii="Helvetica" w:hAnsi="Helvetica"/>
          <w:sz w:val="22"/>
        </w:rPr>
        <w:t>SPACs.</w:t>
      </w:r>
    </w:p>
    <w:p>
      <w:pPr>
        <w:pStyle w:val="ListBullet"/>
      </w:pPr>
      <w:r>
        <w:rPr>
          <w:rFonts w:ascii="Helvetica" w:hAnsi="Helvetica"/>
          <w:sz w:val="22"/>
        </w:rPr>
        <w:t>Venture capital temprano.</w:t>
      </w:r>
    </w:p>
    <w:p>
      <w:pPr>
        <w:pStyle w:val="ListBullet"/>
      </w:pPr>
      <w:r>
        <w:rPr>
          <w:rFonts w:ascii="Helvetica" w:hAnsi="Helvetica"/>
          <w:sz w:val="22"/>
        </w:rPr>
        <w:t>Empresas con apalancamiento excesivo.</w:t>
      </w:r>
    </w:p>
    <w:p>
      <w:pPr>
        <w:pStyle w:val="ListBullet"/>
      </w:pPr>
      <w:r>
        <w:rPr>
          <w:rFonts w:ascii="Helvetica" w:hAnsi="Helvetica"/>
          <w:sz w:val="22"/>
        </w:rPr>
        <w:t>Jurisdicciones con riesgo politico extremo.</w:t>
      </w:r>
    </w:p>
    <w:p>
      <w:pPr>
        <w:spacing w:before="240" w:after="120"/>
      </w:pPr>
      <w:r>
        <w:rPr>
          <w:rFonts w:ascii="Helvetica" w:hAnsi="Helvetica"/>
          <w:b/>
          <w:sz w:val="28"/>
        </w:rPr>
        <w:t>3.0  Asignacion estrategica de activos</w:t>
      </w:r>
    </w:p>
    <w:p>
      <w:pPr>
        <w:spacing w:before="160" w:after="80"/>
      </w:pPr>
      <w:r>
        <w:rPr>
          <w:rFonts w:ascii="Helvetica" w:hAnsi="Helvetica"/>
          <w:b/>
          <w:sz w:val="24"/>
        </w:rPr>
        <w:t>3.1  Bandas estrategicas</w:t>
      </w:r>
    </w:p>
    <w:p>
      <w:pPr>
        <w:spacing w:after="120"/>
      </w:pPr>
      <w:r>
        <w:rPr>
          <w:rFonts w:ascii="Helvetica" w:hAnsi="Helvetica"/>
          <w:sz w:val="22"/>
        </w:rPr>
        <w:t>Las siguientes bandas aplican durante la fase de construccion del portafolio (AUM $5-15M). Seran revisadas formalmente al superar dicho rango.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Helvetica" w:hAnsi="Helvetica"/>
                <w:b/>
                <w:sz w:val="20"/>
              </w:rPr>
              <w:t>Clase de activo</w:t>
            </w:r>
          </w:p>
        </w:tc>
        <w:tc>
          <w:tcPr>
            <w:tcW w:type="dxa" w:w="2160"/>
          </w:tcPr>
          <w:p>
            <w:r/>
            <w:r>
              <w:rPr>
                <w:rFonts w:ascii="Helvetica" w:hAnsi="Helvetica"/>
                <w:b/>
                <w:sz w:val="20"/>
              </w:rPr>
              <w:t>Min</w:t>
            </w:r>
          </w:p>
        </w:tc>
        <w:tc>
          <w:tcPr>
            <w:tcW w:type="dxa" w:w="2160"/>
          </w:tcPr>
          <w:p>
            <w:r/>
            <w:r>
              <w:rPr>
                <w:rFonts w:ascii="Helvetica" w:hAnsi="Helvetica"/>
                <w:b/>
                <w:sz w:val="20"/>
              </w:rPr>
              <w:t>Max</w:t>
            </w:r>
          </w:p>
        </w:tc>
        <w:tc>
          <w:tcPr>
            <w:tcW w:type="dxa" w:w="2160"/>
          </w:tcPr>
          <w:p>
            <w:r/>
            <w:r>
              <w:rPr>
                <w:rFonts w:ascii="Helvetica" w:hAnsi="Helvetica"/>
                <w:b/>
                <w:sz w:val="20"/>
              </w:rPr>
              <w:t>Notas</w:t>
            </w:r>
          </w:p>
        </w:tc>
      </w:tr>
      <w:tr>
        <w:tc>
          <w:tcPr>
            <w:tcW w:type="dxa" w:w="2160"/>
          </w:tcPr>
          <w:p>
            <w:r/>
            <w:r>
              <w:rPr>
                <w:rFonts w:ascii="Helvetica" w:hAnsi="Helvetica"/>
                <w:sz w:val="20"/>
              </w:rPr>
              <w:t>Equities publicos (quality-value)</w:t>
            </w:r>
          </w:p>
        </w:tc>
        <w:tc>
          <w:tcPr>
            <w:tcW w:type="dxa" w:w="2160"/>
          </w:tcPr>
          <w:p>
            <w:r/>
            <w:r>
              <w:rPr>
                <w:rFonts w:ascii="Helvetica" w:hAnsi="Helvetica"/>
                <w:sz w:val="20"/>
              </w:rPr>
              <w:t>50%</w:t>
            </w:r>
          </w:p>
        </w:tc>
        <w:tc>
          <w:tcPr>
            <w:tcW w:type="dxa" w:w="2160"/>
          </w:tcPr>
          <w:p>
            <w:r/>
            <w:r>
              <w:rPr>
                <w:rFonts w:ascii="Helvetica" w:hAnsi="Helvetica"/>
                <w:sz w:val="20"/>
              </w:rPr>
              <w:t>80%</w:t>
            </w:r>
          </w:p>
        </w:tc>
        <w:tc>
          <w:tcPr>
            <w:tcW w:type="dxa" w:w="2160"/>
          </w:tcPr>
          <w:p>
            <w:r/>
            <w:r>
              <w:rPr>
                <w:rFonts w:ascii="Helvetica" w:hAnsi="Helvetica"/>
                <w:sz w:val="20"/>
              </w:rPr>
              <w:t>Nucleo del portafolio.</w:t>
            </w:r>
          </w:p>
        </w:tc>
      </w:tr>
      <w:tr>
        <w:tc>
          <w:tcPr>
            <w:tcW w:type="dxa" w:w="2160"/>
          </w:tcPr>
          <w:p>
            <w:r/>
            <w:r>
              <w:rPr>
                <w:rFonts w:ascii="Helvetica" w:hAnsi="Helvetica"/>
                <w:sz w:val="20"/>
              </w:rPr>
              <w:t>Private equity (minorias o control)</w:t>
            </w:r>
          </w:p>
        </w:tc>
        <w:tc>
          <w:tcPr>
            <w:tcW w:type="dxa" w:w="2160"/>
          </w:tcPr>
          <w:p>
            <w:r/>
            <w:r>
              <w:rPr>
                <w:rFonts w:ascii="Helvetica" w:hAnsi="Helvetica"/>
                <w:sz w:val="20"/>
              </w:rPr>
              <w:t>0%</w:t>
            </w:r>
          </w:p>
        </w:tc>
        <w:tc>
          <w:tcPr>
            <w:tcW w:type="dxa" w:w="2160"/>
          </w:tcPr>
          <w:p>
            <w:r/>
            <w:r>
              <w:rPr>
                <w:rFonts w:ascii="Helvetica" w:hAnsi="Helvetica"/>
                <w:sz w:val="20"/>
              </w:rPr>
              <w:t>20%</w:t>
            </w:r>
          </w:p>
        </w:tc>
        <w:tc>
          <w:tcPr>
            <w:tcW w:type="dxa" w:w="2160"/>
          </w:tcPr>
          <w:p>
            <w:r/>
            <w:r>
              <w:rPr>
                <w:rFonts w:ascii="Helvetica" w:hAnsi="Helvetica"/>
                <w:sz w:val="20"/>
              </w:rPr>
              <w:t>Solo bajo estructuras claras de gobernanza.</w:t>
            </w:r>
          </w:p>
        </w:tc>
      </w:tr>
      <w:tr>
        <w:tc>
          <w:tcPr>
            <w:tcW w:type="dxa" w:w="2160"/>
          </w:tcPr>
          <w:p>
            <w:r/>
            <w:r>
              <w:rPr>
                <w:rFonts w:ascii="Helvetica" w:hAnsi="Helvetica"/>
                <w:sz w:val="20"/>
              </w:rPr>
              <w:t>Real estate (core, core+)</w:t>
            </w:r>
          </w:p>
        </w:tc>
        <w:tc>
          <w:tcPr>
            <w:tcW w:type="dxa" w:w="2160"/>
          </w:tcPr>
          <w:p>
            <w:r/>
            <w:r>
              <w:rPr>
                <w:rFonts w:ascii="Helvetica" w:hAnsi="Helvetica"/>
                <w:sz w:val="20"/>
              </w:rPr>
              <w:t>0%</w:t>
            </w:r>
          </w:p>
        </w:tc>
        <w:tc>
          <w:tcPr>
            <w:tcW w:type="dxa" w:w="2160"/>
          </w:tcPr>
          <w:p>
            <w:r/>
            <w:r>
              <w:rPr>
                <w:rFonts w:ascii="Helvetica" w:hAnsi="Helvetica"/>
                <w:sz w:val="20"/>
              </w:rPr>
              <w:t>20%</w:t>
            </w:r>
          </w:p>
        </w:tc>
        <w:tc>
          <w:tcPr>
            <w:tcW w:type="dxa" w:w="2160"/>
          </w:tcPr>
          <w:p>
            <w:r/>
            <w:r>
              <w:rPr>
                <w:rFonts w:ascii="Helvetica" w:hAnsi="Helvetica"/>
                <w:sz w:val="20"/>
              </w:rPr>
              <w:t>Open ended NAV based funds.</w:t>
            </w:r>
          </w:p>
        </w:tc>
      </w:tr>
      <w:tr>
        <w:tc>
          <w:tcPr>
            <w:tcW w:type="dxa" w:w="2160"/>
          </w:tcPr>
          <w:p>
            <w:r/>
            <w:r>
              <w:rPr>
                <w:rFonts w:ascii="Helvetica" w:hAnsi="Helvetica"/>
                <w:sz w:val="20"/>
              </w:rPr>
              <w:t>Fixed income (alta calidad crediticia)</w:t>
            </w:r>
          </w:p>
        </w:tc>
        <w:tc>
          <w:tcPr>
            <w:tcW w:type="dxa" w:w="2160"/>
          </w:tcPr>
          <w:p>
            <w:r/>
            <w:r>
              <w:rPr>
                <w:rFonts w:ascii="Helvetica" w:hAnsi="Helvetica"/>
                <w:sz w:val="20"/>
              </w:rPr>
              <w:t>5%</w:t>
            </w:r>
          </w:p>
        </w:tc>
        <w:tc>
          <w:tcPr>
            <w:tcW w:type="dxa" w:w="2160"/>
          </w:tcPr>
          <w:p>
            <w:r/>
            <w:r>
              <w:rPr>
                <w:rFonts w:ascii="Helvetica" w:hAnsi="Helvetica"/>
                <w:sz w:val="20"/>
              </w:rPr>
              <w:t>15%</w:t>
            </w:r>
          </w:p>
        </w:tc>
        <w:tc>
          <w:tcPr>
            <w:tcW w:type="dxa" w:w="2160"/>
          </w:tcPr>
          <w:p>
            <w:r/>
            <w:r>
              <w:rPr>
                <w:rFonts w:ascii="Helvetica" w:hAnsi="Helvetica"/>
                <w:sz w:val="20"/>
              </w:rPr>
              <w:t>Bonos IG, T-Bills u otros conservadores.</w:t>
            </w:r>
          </w:p>
        </w:tc>
      </w:tr>
      <w:tr>
        <w:tc>
          <w:tcPr>
            <w:tcW w:type="dxa" w:w="2160"/>
          </w:tcPr>
          <w:p>
            <w:r/>
            <w:r>
              <w:rPr>
                <w:rFonts w:ascii="Helvetica" w:hAnsi="Helvetica"/>
                <w:sz w:val="20"/>
              </w:rPr>
              <w:t>Cash estrategico</w:t>
            </w:r>
          </w:p>
        </w:tc>
        <w:tc>
          <w:tcPr>
            <w:tcW w:type="dxa" w:w="2160"/>
          </w:tcPr>
          <w:p>
            <w:r/>
            <w:r>
              <w:rPr>
                <w:rFonts w:ascii="Helvetica" w:hAnsi="Helvetica"/>
                <w:sz w:val="20"/>
              </w:rPr>
              <w:t>15%</w:t>
            </w:r>
          </w:p>
        </w:tc>
        <w:tc>
          <w:tcPr>
            <w:tcW w:type="dxa" w:w="2160"/>
          </w:tcPr>
          <w:p>
            <w:r/>
            <w:r>
              <w:rPr>
                <w:rFonts w:ascii="Helvetica" w:hAnsi="Helvetica"/>
                <w:sz w:val="20"/>
              </w:rPr>
              <w:t>25%</w:t>
            </w:r>
          </w:p>
        </w:tc>
        <w:tc>
          <w:tcPr>
            <w:tcW w:type="dxa" w:w="2160"/>
          </w:tcPr>
          <w:p>
            <w:r/>
            <w:r>
              <w:rPr>
                <w:rFonts w:ascii="Helvetica" w:hAnsi="Helvetica"/>
                <w:sz w:val="20"/>
              </w:rPr>
              <w:t>Reservas para liquidez y oportunidades.</w:t>
            </w:r>
          </w:p>
        </w:tc>
      </w:tr>
      <w:tr>
        <w:tc>
          <w:tcPr>
            <w:tcW w:type="dxa" w:w="2160"/>
          </w:tcPr>
          <w:p>
            <w:r/>
            <w:r>
              <w:rPr>
                <w:rFonts w:ascii="Helvetica" w:hAnsi="Helvetica"/>
                <w:sz w:val="20"/>
              </w:rPr>
              <w:t>Alternativos (incluye cripto)</w:t>
            </w:r>
          </w:p>
        </w:tc>
        <w:tc>
          <w:tcPr>
            <w:tcW w:type="dxa" w:w="2160"/>
          </w:tcPr>
          <w:p>
            <w:r/>
            <w:r>
              <w:rPr>
                <w:rFonts w:ascii="Helvetica" w:hAnsi="Helvetica"/>
                <w:sz w:val="20"/>
              </w:rPr>
              <w:t>0%</w:t>
            </w:r>
          </w:p>
        </w:tc>
        <w:tc>
          <w:tcPr>
            <w:tcW w:type="dxa" w:w="2160"/>
          </w:tcPr>
          <w:p>
            <w:r/>
            <w:r>
              <w:rPr>
                <w:rFonts w:ascii="Helvetica" w:hAnsi="Helvetica"/>
                <w:sz w:val="20"/>
              </w:rPr>
              <w:t>15%</w:t>
            </w:r>
          </w:p>
        </w:tc>
        <w:tc>
          <w:tcPr>
            <w:tcW w:type="dxa" w:w="2160"/>
          </w:tcPr>
          <w:p>
            <w:r/>
            <w:r>
              <w:rPr>
                <w:rFonts w:ascii="Helvetica" w:hAnsi="Helvetica"/>
                <w:sz w:val="20"/>
              </w:rPr>
              <w:t>Cripto institucional; opciones simples.</w:t>
            </w:r>
          </w:p>
        </w:tc>
      </w:tr>
      <w:tr>
        <w:tc>
          <w:tcPr>
            <w:tcW w:type="dxa" w:w="2160"/>
          </w:tcPr>
          <w:p>
            <w:r/>
            <w:r>
              <w:rPr>
                <w:rFonts w:ascii="Helvetica" w:hAnsi="Helvetica"/>
                <w:sz w:val="20"/>
              </w:rPr>
              <w:t>Iliquidez consolidada (max)</w:t>
            </w:r>
          </w:p>
        </w:tc>
        <w:tc>
          <w:tcPr>
            <w:tcW w:type="dxa" w:w="2160"/>
          </w:tcPr>
          <w:p>
            <w:r/>
            <w:r>
              <w:rPr>
                <w:rFonts w:ascii="Helvetica" w:hAnsi="Helvetica"/>
                <w:sz w:val="20"/>
              </w:rPr>
              <w:t>—</w:t>
            </w:r>
          </w:p>
        </w:tc>
        <w:tc>
          <w:tcPr>
            <w:tcW w:type="dxa" w:w="2160"/>
          </w:tcPr>
          <w:p>
            <w:r/>
            <w:r>
              <w:rPr>
                <w:rFonts w:ascii="Helvetica" w:hAnsi="Helvetica"/>
                <w:sz w:val="20"/>
              </w:rPr>
              <w:t>50%</w:t>
            </w:r>
          </w:p>
        </w:tc>
        <w:tc>
          <w:tcPr>
            <w:tcW w:type="dxa" w:w="2160"/>
          </w:tcPr>
          <w:p>
            <w:r/>
            <w:r>
              <w:rPr>
                <w:rFonts w:ascii="Helvetica" w:hAnsi="Helvetica"/>
                <w:sz w:val="20"/>
              </w:rPr>
              <w:t>Activos no realizables en menos de 90 dias.</w:t>
            </w:r>
          </w:p>
        </w:tc>
      </w:tr>
    </w:tbl>
    <w:p>
      <w:pPr>
        <w:spacing w:before="160" w:after="80"/>
      </w:pPr>
      <w:r>
        <w:rPr>
          <w:rFonts w:ascii="Helvetica" w:hAnsi="Helvetica"/>
          <w:b/>
          <w:sz w:val="24"/>
        </w:rPr>
        <w:t>3.2  Liquidez estrategica</w:t>
      </w:r>
    </w:p>
    <w:p>
      <w:pPr>
        <w:spacing w:after="120"/>
      </w:pPr>
      <w:r>
        <w:rPr>
          <w:rFonts w:ascii="Helvetica" w:hAnsi="Helvetica"/>
          <w:sz w:val="22"/>
        </w:rPr>
        <w:t>El portafolio mantendra un nivel de liquidez suficiente para cubrir: (i) 12 meses de gastos operativos del holding, (ii) capital comprometido pendiente de despliegue, y (iii) capacidad de actuar ante oportunidades de inversion sin liquidar posiciones existentes en condiciones desfavorables. La banda de cash estrategico (seccion 3.1) operacionaliza este principio.</w:t>
      </w:r>
    </w:p>
    <w:p>
      <w:pPr>
        <w:spacing w:after="120"/>
      </w:pPr>
      <w:r>
        <w:rPr>
          <w:rFonts w:ascii="Helvetica" w:hAnsi="Helvetica"/>
          <w:sz w:val="22"/>
        </w:rPr>
        <w:t>Los criterios especificos de seleccion para clases de activo distintas a renta variable y negocios operativos se definiran en el momento en que se active la primera inversion en dicha clase.</w:t>
      </w:r>
    </w:p>
    <w:p>
      <w:pPr>
        <w:spacing w:before="160" w:after="80"/>
      </w:pPr>
      <w:r>
        <w:rPr>
          <w:rFonts w:ascii="Helvetica" w:hAnsi="Helvetica"/>
          <w:b/>
          <w:sz w:val="24"/>
        </w:rPr>
        <w:t>3.3  Regimen transitorio para posiciones preexistentes</w:t>
      </w:r>
    </w:p>
    <w:p>
      <w:pPr>
        <w:spacing w:after="120"/>
      </w:pPr>
      <w:r>
        <w:rPr>
          <w:rFonts w:ascii="Helvetica" w:hAnsi="Helvetica"/>
          <w:sz w:val="22"/>
        </w:rPr>
        <w:t>Las posiciones adquiridas antes de la formalizacion del marco institucional de DCE Holdings que no cumplan integramente los criterios definidos en las secciones 3.4 y 3.5 se reconocen como posiciones legacy. Estas posiciones no seran liquidadas por razones de cumplimiento normativo interno, sino gestionadas bajo las siguientes reglas de transicion:</w:t>
      </w:r>
    </w:p>
    <w:p>
      <w:pPr>
        <w:pStyle w:val="ListBullet"/>
      </w:pPr>
      <w:r>
        <w:rPr>
          <w:rFonts w:ascii="Helvetica" w:hAnsi="Helvetica"/>
          <w:sz w:val="22"/>
        </w:rPr>
        <w:t>(a) Toda posicion legacy debera contar con un Investment Memo retroactivo que documente la tesis original, la valoracion estimada al momento de institucionalizacion y los criterios de salida aplicables. El memo sera preparado por el CIO y archivado en el Data Room.</w:t>
      </w:r>
    </w:p>
    <w:p>
      <w:pPr>
        <w:pStyle w:val="ListBullet"/>
      </w:pPr>
      <w:r>
        <w:rPr>
          <w:rFonts w:ascii="Helvetica" w:hAnsi="Helvetica"/>
          <w:sz w:val="22"/>
        </w:rPr>
        <w:t>(b) No se permitira incrementar el peso de una posicion legacy por accion de inversion. La apreciacion organica se rige por las reglas generales de la seccion 8.1.</w:t>
      </w:r>
    </w:p>
    <w:p>
      <w:pPr>
        <w:pStyle w:val="ListBullet"/>
      </w:pPr>
      <w:r>
        <w:rPr>
          <w:rFonts w:ascii="Helvetica" w:hAnsi="Helvetica"/>
          <w:sz w:val="22"/>
        </w:rPr>
        <w:t>(c) Las posiciones legacy en vehiculos cerrados con fecha de vencimiento definida se mantendran hasta su liquidacion natural. El capital resultante se redeployara conforme a los criterios vigentes del IPS al momento de la liquidacion.</w:t>
      </w:r>
    </w:p>
    <w:p>
      <w:pPr>
        <w:pStyle w:val="ListBullet"/>
      </w:pPr>
      <w:r>
        <w:rPr>
          <w:rFonts w:ascii="Helvetica" w:hAnsi="Helvetica"/>
          <w:sz w:val="22"/>
        </w:rPr>
        <w:t>(d) Las posiciones legacy en activos liquidos estaran sujetas al monitoreo regular del portafolio y a los criterios de salida documentados en su Investment Memo. Su venta se ejecutara cuando la tesis se rompa, se alcance el precio objetivo, o el CIO determine que el capital puede asignarse de forma mas eficiente conforme al marco del IPS.</w:t>
      </w:r>
    </w:p>
    <w:p>
      <w:pPr>
        <w:pStyle w:val="ListBullet"/>
      </w:pPr>
      <w:r>
        <w:rPr>
          <w:rFonts w:ascii="Helvetica" w:hAnsi="Helvetica"/>
          <w:sz w:val="22"/>
        </w:rPr>
        <w:t>(e) Este regimen transitorio sera revisado anualmente como parte del CI Pack del Q4. Las posiciones que converjan a los criterios del IPS dejaran de clasificarse como legacy.</w:t>
      </w:r>
    </w:p>
    <w:p>
      <w:pPr>
        <w:spacing w:before="240" w:after="120"/>
      </w:pPr>
      <w:r>
        <w:rPr>
          <w:rFonts w:ascii="Helvetica" w:hAnsi="Helvetica"/>
          <w:b/>
          <w:sz w:val="28"/>
        </w:rPr>
        <w:t>4.0  Portafolio de renta variable</w:t>
      </w:r>
    </w:p>
    <w:p>
      <w:pPr>
        <w:spacing w:after="120"/>
      </w:pPr>
      <w:r>
        <w:rPr>
          <w:rFonts w:ascii="Helvetica" w:hAnsi="Helvetica"/>
          <w:sz w:val="22"/>
        </w:rPr>
        <w:t>Esta seccion cubre el nucleo del portafolio. Las demas clases de activo cumplen funciones complementarias de liquidez, diversificacion o preservacion de capital, y se rigen por los criterios de sus respectivas bandas estrategicas (seccion 3).</w:t>
      </w:r>
    </w:p>
    <w:p>
      <w:pPr>
        <w:spacing w:before="160" w:after="80"/>
      </w:pPr>
      <w:r>
        <w:rPr>
          <w:rFonts w:ascii="Helvetica" w:hAnsi="Helvetica"/>
          <w:b/>
          <w:sz w:val="24"/>
        </w:rPr>
        <w:t>4.1  Principio rector</w:t>
      </w:r>
    </w:p>
    <w:p>
      <w:pPr>
        <w:spacing w:after="120"/>
      </w:pPr>
      <w:r>
        <w:rPr>
          <w:rFonts w:ascii="Helvetica" w:hAnsi="Helvetica"/>
          <w:sz w:val="22"/>
        </w:rPr>
        <w:t>El portafolio de renta variable se gestiona como un conjunto de negocios subyacentes y no como una coleccion de activos financieros. El objetivo principal es maximizar el crecimiento del valor intrinseco a largo plazo, preservando capital frente a errores estructurales y evitando concentraciones economicas que puedan generar perdidas permanentes.</w:t>
      </w:r>
    </w:p>
    <w:p>
      <w:pPr>
        <w:spacing w:after="120"/>
      </w:pPr>
      <w:r>
        <w:rPr>
          <w:rFonts w:ascii="Helvetica" w:hAnsi="Helvetica"/>
          <w:sz w:val="22"/>
        </w:rPr>
        <w:t>La volatilidad de mercado no se considera una medida valida de riesgo. El riesgo se define como la probabilidad de deterioro estructural del valor intrinseco o de una asignacion ineficiente de capital.</w:t>
      </w:r>
    </w:p>
    <w:p>
      <w:pPr>
        <w:spacing w:before="160" w:after="80"/>
      </w:pPr>
      <w:r>
        <w:rPr>
          <w:rFonts w:ascii="Helvetica" w:hAnsi="Helvetica"/>
          <w:b/>
          <w:sz w:val="24"/>
        </w:rPr>
        <w:t>4.2  Clasificacion estructural de posiciones</w:t>
      </w:r>
    </w:p>
    <w:p>
      <w:pPr>
        <w:spacing w:after="120"/>
      </w:pPr>
      <w:r>
        <w:rPr>
          <w:rFonts w:ascii="Helvetica" w:hAnsi="Helvetica"/>
          <w:sz w:val="22"/>
        </w:rPr>
        <w:t>Las posiciones se clasifican en tres arquetipos, cada uno con su propio hurdle de retorno esperado:</w:t>
      </w:r>
    </w:p>
    <w:p>
      <w:pPr>
        <w:pStyle w:val="ListBullet"/>
      </w:pPr>
      <w:r>
        <w:rPr>
          <w:rFonts w:ascii="Helvetica" w:hAnsi="Helvetica"/>
          <w:sz w:val="22"/>
        </w:rPr>
        <w:t>Core Compounders: negocios con alta certeza de creacion de valor a largo plazo, ventajas competitivas duraderas y fuerte capacidad de reinversion. Hurdle: 7-9% anual real.</w:t>
      </w:r>
    </w:p>
    <w:p>
      <w:pPr>
        <w:pStyle w:val="ListBullet"/>
      </w:pPr>
      <w:r>
        <w:rPr>
          <w:rFonts w:ascii="Helvetica" w:hAnsi="Helvetica"/>
          <w:sz w:val="22"/>
        </w:rPr>
        <w:t>Opportunistic Compounders: negocios de alta calidad con crecimiento atractivo pero mayor incertidumbre sobre su duracion o riesgo de ejecucion. Hurdle: 11-15% anual real.</w:t>
      </w:r>
    </w:p>
    <w:p>
      <w:pPr>
        <w:pStyle w:val="ListBullet"/>
      </w:pPr>
      <w:r>
        <w:rPr>
          <w:rFonts w:ascii="Helvetica" w:hAnsi="Helvetica"/>
          <w:sz w:val="22"/>
        </w:rPr>
        <w:t>Value &amp; Special Situations: inversiones con descuento significativo respecto a valor intrinseco, donde el retorno proviene del cierre de ineficiencias o catalizadores especificos. Hurdle: 17%+ anual real.</w:t>
      </w:r>
    </w:p>
    <w:p>
      <w:pPr>
        <w:spacing w:after="120"/>
      </w:pPr>
      <w:r>
        <w:rPr>
          <w:rFonts w:ascii="Helvetica" w:hAnsi="Helvetica"/>
          <w:sz w:val="22"/>
        </w:rPr>
        <w:t>Los hurdle rates por arquetipo son los filtros de entrada por posicion individual. El objetivo de retorno del portafolio ponderado es 8% real (seccion 4.8); la combinacion de arquetipos debe alcanzar o superar dicho objetivo a nivel agregado.</w:t>
      </w:r>
    </w:p>
    <w:p>
      <w:pPr>
        <w:spacing w:before="160" w:after="80"/>
      </w:pPr>
      <w:r>
        <w:rPr>
          <w:rFonts w:ascii="Helvetica" w:hAnsi="Helvetica"/>
          <w:b/>
          <w:sz w:val="24"/>
        </w:rPr>
        <w:t>4.3  Politica de sizing</w:t>
      </w:r>
    </w:p>
    <w:p>
      <w:pPr>
        <w:spacing w:after="120"/>
      </w:pPr>
      <w:r>
        <w:rPr>
          <w:rFonts w:ascii="Helvetica" w:hAnsi="Helvetica"/>
          <w:sz w:val="22"/>
        </w:rPr>
        <w:t>El peso inicial de una posicion sera funcion de la clasificacion por arquetipo y del margen de seguridad (MoS) al momento de entrada:</w:t>
      </w:r>
    </w:p>
    <w:p>
      <w:pPr>
        <w:pStyle w:val="ListBullet"/>
      </w:pPr>
      <w:r>
        <w:rPr>
          <w:rFonts w:ascii="Helvetica" w:hAnsi="Helvetica"/>
          <w:sz w:val="22"/>
        </w:rPr>
        <w:t>Core Compounders: peso inicial entre 4% y 8%. MoS alto (&gt;30%) justifica el rango superior.</w:t>
      </w:r>
    </w:p>
    <w:p>
      <w:pPr>
        <w:pStyle w:val="ListBullet"/>
      </w:pPr>
      <w:r>
        <w:rPr>
          <w:rFonts w:ascii="Helvetica" w:hAnsi="Helvetica"/>
          <w:sz w:val="22"/>
        </w:rPr>
        <w:t>Opportunistic Compounders: peso inicial entre 2% y 5%. Mayor incertidumbre requiere posicion mas moderada.</w:t>
      </w:r>
    </w:p>
    <w:p>
      <w:pPr>
        <w:pStyle w:val="ListBullet"/>
      </w:pPr>
      <w:r>
        <w:rPr>
          <w:rFonts w:ascii="Helvetica" w:hAnsi="Helvetica"/>
          <w:sz w:val="22"/>
        </w:rPr>
        <w:t>Value &amp; Special Situations: peso inicial entre 1% y 3%. Concentracion limitada hasta que el catalizador se materialice.</w:t>
      </w:r>
    </w:p>
    <w:p>
      <w:pPr>
        <w:spacing w:after="120"/>
      </w:pPr>
      <w:r>
        <w:rPr>
          <w:rFonts w:ascii="Helvetica" w:hAnsi="Helvetica"/>
          <w:sz w:val="22"/>
        </w:rPr>
        <w:t>El peso de una posicion podra crecer organicamente por apreciacion sin obligacion de rebalancear, siempre que no supere el limite de concentracion por emisor (seccion 8.0). El incremento activo de una posicion (adding) requiere la misma disciplina de valoracion y documentacion que una posicion nueva.</w:t>
      </w:r>
    </w:p>
    <w:p>
      <w:pPr>
        <w:spacing w:before="160" w:after="80"/>
      </w:pPr>
      <w:r>
        <w:rPr>
          <w:rFonts w:ascii="Helvetica" w:hAnsi="Helvetica"/>
          <w:b/>
          <w:sz w:val="24"/>
        </w:rPr>
        <w:t>4.4  Criterios de calidad minima</w:t>
      </w:r>
    </w:p>
    <w:p>
      <w:pPr>
        <w:spacing w:after="120"/>
      </w:pPr>
      <w:r>
        <w:rPr>
          <w:rFonts w:ascii="Helvetica" w:hAnsi="Helvetica"/>
          <w:sz w:val="22"/>
        </w:rPr>
        <w:t>Para que un activo ingrese al pipeline de analisis, debera cumplir criterios minimos: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Helvetica" w:hAnsi="Helvetica"/>
                <w:b/>
                <w:sz w:val="20"/>
              </w:rPr>
              <w:t>Criterio</w:t>
            </w:r>
          </w:p>
        </w:tc>
        <w:tc>
          <w:tcPr>
            <w:tcW w:type="dxa" w:w="2880"/>
          </w:tcPr>
          <w:p>
            <w:r/>
            <w:r>
              <w:rPr>
                <w:rFonts w:ascii="Helvetica" w:hAnsi="Helvetica"/>
                <w:b/>
                <w:sz w:val="20"/>
              </w:rPr>
              <w:t>Req.</w:t>
            </w:r>
          </w:p>
        </w:tc>
        <w:tc>
          <w:tcPr>
            <w:tcW w:type="dxa" w:w="2880"/>
          </w:tcPr>
          <w:p>
            <w:r/>
            <w:r>
              <w:rPr>
                <w:rFonts w:ascii="Helvetica" w:hAnsi="Helvetica"/>
                <w:b/>
                <w:sz w:val="20"/>
              </w:rPr>
              <w:t>Descripcion</w:t>
            </w:r>
          </w:p>
        </w:tc>
      </w:tr>
      <w:tr>
        <w:tc>
          <w:tcPr>
            <w:tcW w:type="dxa" w:w="2880"/>
          </w:tcPr>
          <w:p>
            <w:r/>
            <w:r>
              <w:rPr>
                <w:rFonts w:ascii="Helvetica" w:hAnsi="Helvetica"/>
                <w:sz w:val="20"/>
              </w:rPr>
              <w:t>Retorno sobre capital superior al costo de capital</w:t>
            </w:r>
          </w:p>
        </w:tc>
        <w:tc>
          <w:tcPr>
            <w:tcW w:type="dxa" w:w="2880"/>
          </w:tcPr>
          <w:p>
            <w:r/>
            <w:r>
              <w:rPr>
                <w:rFonts w:ascii="Helvetica" w:hAnsi="Helvetica"/>
                <w:sz w:val="20"/>
              </w:rPr>
              <w:t>Si</w:t>
            </w:r>
          </w:p>
        </w:tc>
        <w:tc>
          <w:tcPr>
            <w:tcW w:type="dxa" w:w="2880"/>
          </w:tcPr>
          <w:p>
            <w:r/>
            <w:r>
              <w:rPr>
                <w:rFonts w:ascii="Helvetica" w:hAnsi="Helvetica"/>
                <w:sz w:val="20"/>
              </w:rPr>
              <w:t>Fundamento clave para creacion de valor.</w:t>
            </w:r>
          </w:p>
        </w:tc>
      </w:tr>
      <w:tr>
        <w:tc>
          <w:tcPr>
            <w:tcW w:type="dxa" w:w="2880"/>
          </w:tcPr>
          <w:p>
            <w:r/>
            <w:r>
              <w:rPr>
                <w:rFonts w:ascii="Helvetica" w:hAnsi="Helvetica"/>
                <w:sz w:val="20"/>
              </w:rPr>
              <w:t>Estructura de endeudamiento prudente</w:t>
            </w:r>
          </w:p>
        </w:tc>
        <w:tc>
          <w:tcPr>
            <w:tcW w:type="dxa" w:w="2880"/>
          </w:tcPr>
          <w:p>
            <w:r/>
            <w:r>
              <w:rPr>
                <w:rFonts w:ascii="Helvetica" w:hAnsi="Helvetica"/>
                <w:sz w:val="20"/>
              </w:rPr>
              <w:t>Si</w:t>
            </w:r>
          </w:p>
        </w:tc>
        <w:tc>
          <w:tcPr>
            <w:tcW w:type="dxa" w:w="2880"/>
          </w:tcPr>
          <w:p>
            <w:r/>
            <w:r>
              <w:rPr>
                <w:rFonts w:ascii="Helvetica" w:hAnsi="Helvetica"/>
                <w:sz w:val="20"/>
              </w:rPr>
              <w:t>Acorde a su industria y estable.</w:t>
            </w:r>
          </w:p>
        </w:tc>
      </w:tr>
      <w:tr>
        <w:tc>
          <w:tcPr>
            <w:tcW w:type="dxa" w:w="2880"/>
          </w:tcPr>
          <w:p>
            <w:r/>
            <w:r>
              <w:rPr>
                <w:rFonts w:ascii="Helvetica" w:hAnsi="Helvetica"/>
                <w:sz w:val="20"/>
              </w:rPr>
              <w:t>Ventaja competitiva sostenible</w:t>
            </w:r>
          </w:p>
        </w:tc>
        <w:tc>
          <w:tcPr>
            <w:tcW w:type="dxa" w:w="2880"/>
          </w:tcPr>
          <w:p>
            <w:r/>
            <w:r>
              <w:rPr>
                <w:rFonts w:ascii="Helvetica" w:hAnsi="Helvetica"/>
                <w:sz w:val="20"/>
              </w:rPr>
              <w:t>Si</w:t>
            </w:r>
          </w:p>
        </w:tc>
        <w:tc>
          <w:tcPr>
            <w:tcW w:type="dxa" w:w="2880"/>
          </w:tcPr>
          <w:p>
            <w:r/>
            <w:r>
              <w:rPr>
                <w:rFonts w:ascii="Helvetica" w:hAnsi="Helvetica"/>
                <w:sz w:val="20"/>
              </w:rPr>
              <w:t>Identificable y durable.</w:t>
            </w:r>
          </w:p>
        </w:tc>
      </w:tr>
      <w:tr>
        <w:tc>
          <w:tcPr>
            <w:tcW w:type="dxa" w:w="2880"/>
          </w:tcPr>
          <w:p>
            <w:r/>
            <w:r>
              <w:rPr>
                <w:rFonts w:ascii="Helvetica" w:hAnsi="Helvetica"/>
                <w:sz w:val="20"/>
              </w:rPr>
              <w:t>Flujo de caja predecible</w:t>
            </w:r>
          </w:p>
        </w:tc>
        <w:tc>
          <w:tcPr>
            <w:tcW w:type="dxa" w:w="2880"/>
          </w:tcPr>
          <w:p>
            <w:r/>
            <w:r>
              <w:rPr>
                <w:rFonts w:ascii="Helvetica" w:hAnsi="Helvetica"/>
                <w:sz w:val="20"/>
              </w:rPr>
              <w:t>Si</w:t>
            </w:r>
          </w:p>
        </w:tc>
        <w:tc>
          <w:tcPr>
            <w:tcW w:type="dxa" w:w="2880"/>
          </w:tcPr>
          <w:p>
            <w:r/>
            <w:r>
              <w:rPr>
                <w:rFonts w:ascii="Helvetica" w:hAnsi="Helvetica"/>
                <w:sz w:val="20"/>
              </w:rPr>
              <w:t>Estabilidad razonable.</w:t>
            </w:r>
          </w:p>
        </w:tc>
      </w:tr>
      <w:tr>
        <w:tc>
          <w:tcPr>
            <w:tcW w:type="dxa" w:w="2880"/>
          </w:tcPr>
          <w:p>
            <w:r/>
            <w:r>
              <w:rPr>
                <w:rFonts w:ascii="Helvetica" w:hAnsi="Helvetica"/>
                <w:sz w:val="20"/>
              </w:rPr>
              <w:t>Baja dependencia de clientes/proveedores concentrados</w:t>
            </w:r>
          </w:p>
        </w:tc>
        <w:tc>
          <w:tcPr>
            <w:tcW w:type="dxa" w:w="2880"/>
          </w:tcPr>
          <w:p>
            <w:r/>
            <w:r>
              <w:rPr>
                <w:rFonts w:ascii="Helvetica" w:hAnsi="Helvetica"/>
                <w:sz w:val="20"/>
              </w:rPr>
              <w:t>Si</w:t>
            </w:r>
          </w:p>
        </w:tc>
        <w:tc>
          <w:tcPr>
            <w:tcW w:type="dxa" w:w="2880"/>
          </w:tcPr>
          <w:p>
            <w:r/>
            <w:r>
              <w:rPr>
                <w:rFonts w:ascii="Helvetica" w:hAnsi="Helvetica"/>
                <w:sz w:val="20"/>
              </w:rPr>
              <w:t>Reduce riesgo estructural.</w:t>
            </w:r>
          </w:p>
        </w:tc>
      </w:tr>
      <w:tr>
        <w:tc>
          <w:tcPr>
            <w:tcW w:type="dxa" w:w="2880"/>
          </w:tcPr>
          <w:p>
            <w:r/>
            <w:r>
              <w:rPr>
                <w:rFonts w:ascii="Helvetica" w:hAnsi="Helvetica"/>
                <w:sz w:val="20"/>
              </w:rPr>
              <w:t>Alineacion economica del equipo directivo</w:t>
            </w:r>
          </w:p>
        </w:tc>
        <w:tc>
          <w:tcPr>
            <w:tcW w:type="dxa" w:w="2880"/>
          </w:tcPr>
          <w:p>
            <w:r/>
            <w:r>
              <w:rPr>
                <w:rFonts w:ascii="Helvetica" w:hAnsi="Helvetica"/>
                <w:sz w:val="20"/>
              </w:rPr>
              <w:t>Si</w:t>
            </w:r>
          </w:p>
        </w:tc>
        <w:tc>
          <w:tcPr>
            <w:tcW w:type="dxa" w:w="2880"/>
          </w:tcPr>
          <w:p>
            <w:r/>
            <w:r>
              <w:rPr>
                <w:rFonts w:ascii="Helvetica" w:hAnsi="Helvetica"/>
                <w:sz w:val="20"/>
              </w:rPr>
              <w:t>Participacion economica significativa en el negocio.</w:t>
            </w:r>
          </w:p>
        </w:tc>
      </w:tr>
      <w:tr>
        <w:tc>
          <w:tcPr>
            <w:tcW w:type="dxa" w:w="2880"/>
          </w:tcPr>
          <w:p>
            <w:r/>
            <w:r>
              <w:rPr>
                <w:rFonts w:ascii="Helvetica" w:hAnsi="Helvetica"/>
                <w:sz w:val="20"/>
              </w:rPr>
              <w:t>Evidencia de ROIC marginal positivo o en normalizacion</w:t>
            </w:r>
          </w:p>
        </w:tc>
        <w:tc>
          <w:tcPr>
            <w:tcW w:type="dxa" w:w="2880"/>
          </w:tcPr>
          <w:p>
            <w:r/>
            <w:r>
              <w:rPr>
                <w:rFonts w:ascii="Helvetica" w:hAnsi="Helvetica"/>
                <w:sz w:val="20"/>
              </w:rPr>
              <w:t>Si</w:t>
            </w:r>
          </w:p>
        </w:tc>
        <w:tc>
          <w:tcPr>
            <w:tcW w:type="dxa" w:w="2880"/>
          </w:tcPr>
          <w:p>
            <w:r/>
            <w:r>
              <w:rPr>
                <w:rFonts w:ascii="Helvetica" w:hAnsi="Helvetica"/>
                <w:sz w:val="20"/>
              </w:rPr>
              <w:t>Capital incremental debe generar retornos superiores al costo de capital.</w:t>
            </w:r>
          </w:p>
        </w:tc>
      </w:tr>
    </w:tbl>
    <w:p>
      <w:pPr>
        <w:spacing w:before="160" w:after="80"/>
      </w:pPr>
      <w:r>
        <w:rPr>
          <w:rFonts w:ascii="Helvetica" w:hAnsi="Helvetica"/>
          <w:b/>
          <w:sz w:val="24"/>
        </w:rPr>
        <w:t>4.5  Reglas de valoracion</w:t>
      </w:r>
    </w:p>
    <w:p>
      <w:pPr>
        <w:spacing w:after="120"/>
      </w:pPr>
      <w:r>
        <w:rPr>
          <w:rFonts w:ascii="Helvetica" w:hAnsi="Helvetica"/>
          <w:sz w:val="22"/>
        </w:rPr>
        <w:t>Toda inversion debera cumplir con los siguientes principios:</w:t>
      </w:r>
    </w:p>
    <w:p>
      <w:pPr>
        <w:pStyle w:val="ListBullet"/>
      </w:pPr>
      <w:r>
        <w:rPr>
          <w:rFonts w:ascii="Helvetica" w:hAnsi="Helvetica"/>
          <w:sz w:val="22"/>
        </w:rPr>
        <w:t>Margen de seguridad de precio minimo del 20% sobre el valor intrinseco estimado.</w:t>
      </w:r>
    </w:p>
    <w:p>
      <w:pPr>
        <w:pStyle w:val="ListBullet"/>
      </w:pPr>
      <w:r>
        <w:rPr>
          <w:rFonts w:ascii="Helvetica" w:hAnsi="Helvetica"/>
          <w:sz w:val="22"/>
        </w:rPr>
        <w:t>Priorizacion de calidad sobre precio.</w:t>
      </w:r>
    </w:p>
    <w:p>
      <w:pPr>
        <w:pStyle w:val="ListBullet"/>
      </w:pPr>
      <w:r>
        <w:rPr>
          <w:rFonts w:ascii="Helvetica" w:hAnsi="Helvetica"/>
          <w:sz w:val="22"/>
        </w:rPr>
        <w:t>Prohibicion de invertir en negocios estructuralmente debiles solo por estar baratos.</w:t>
      </w:r>
    </w:p>
    <w:p>
      <w:pPr>
        <w:pStyle w:val="ListBullet"/>
      </w:pPr>
      <w:r>
        <w:rPr>
          <w:rFonts w:ascii="Helvetica" w:hAnsi="Helvetica"/>
          <w:sz w:val="22"/>
        </w:rPr>
        <w:t>Prohibicion de perseguir multiplos bajos sin fundamento economico.</w:t>
      </w:r>
    </w:p>
    <w:p>
      <w:pPr>
        <w:spacing w:before="120" w:after="60"/>
      </w:pPr>
      <w:r>
        <w:rPr>
          <w:rFonts w:ascii="Helvetica" w:hAnsi="Helvetica"/>
          <w:b/>
          <w:sz w:val="22"/>
        </w:rPr>
        <w:t>Metodologia de valoracion</w:t>
      </w:r>
    </w:p>
    <w:p>
      <w:pPr>
        <w:spacing w:after="120"/>
      </w:pPr>
      <w:r>
        <w:rPr>
          <w:rFonts w:ascii="Helvetica" w:hAnsi="Helvetica"/>
          <w:sz w:val="22"/>
        </w:rPr>
        <w:t>La valoracion intrinseca se articula en la siguiente progresion:</w:t>
      </w:r>
    </w:p>
    <w:p>
      <w:pPr>
        <w:pStyle w:val="ListBullet"/>
      </w:pPr>
      <w:r>
        <w:rPr>
          <w:rFonts w:ascii="Helvetica" w:hAnsi="Helvetica"/>
          <w:sz w:val="22"/>
        </w:rPr>
        <w:t>NAV ajustado: valor de reposicion de los activos netos. Suelo de valoracion.</w:t>
      </w:r>
    </w:p>
    <w:p>
      <w:pPr>
        <w:pStyle w:val="ListBullet"/>
      </w:pPr>
      <w:r>
        <w:rPr>
          <w:rFonts w:ascii="Helvetica" w:hAnsi="Helvetica"/>
          <w:sz w:val="22"/>
        </w:rPr>
        <w:t>EPV (Earnings Power Value): capitalizacion del poder de beneficios normalizado, sin crecimiento. Metodo principal. Si EPV &gt; NAV, existe evidencia de franquicia.</w:t>
      </w:r>
    </w:p>
    <w:p>
      <w:pPr>
        <w:pStyle w:val="ListBullet"/>
      </w:pPr>
      <w:r>
        <w:rPr>
          <w:rFonts w:ascii="Helvetica" w:hAnsi="Helvetica"/>
          <w:sz w:val="22"/>
        </w:rPr>
        <w:t>Franchise Test: cociente EPV / NAV. Superior a 2x sugiere ventaja competitiva sostenible.</w:t>
      </w:r>
    </w:p>
    <w:p>
      <w:pPr>
        <w:spacing w:after="120"/>
      </w:pPr>
      <w:r>
        <w:rPr>
          <w:rFonts w:ascii="Helvetica" w:hAnsi="Helvetica"/>
          <w:sz w:val="22"/>
        </w:rPr>
        <w:t>El DCF solo se utilizara como sensibilidad, nunca como metodo principal, con crecimiento terminal no superior a PIB real mas inflacion despues del ano 5.</w:t>
      </w:r>
    </w:p>
    <w:p>
      <w:pPr>
        <w:spacing w:after="120"/>
      </w:pPr>
      <w:r>
        <w:rPr>
          <w:rFonts w:ascii="Helvetica" w:hAnsi="Helvetica"/>
          <w:sz w:val="22"/>
        </w:rPr>
        <w:t>Para empresas con franquicia confirmada (EPV &gt; NAV), se complementara la valoracion con un analisis de retorno esperado (Return Based Valuation) que descompone el retorno en:</w:t>
      </w:r>
    </w:p>
    <w:p>
      <w:pPr>
        <w:pStyle w:val="ListBullet"/>
      </w:pPr>
      <w:r>
        <w:rPr>
          <w:rFonts w:ascii="Helvetica" w:hAnsi="Helvetica"/>
          <w:sz w:val="22"/>
        </w:rPr>
        <w:t>Distribution yield: dividendos y recompras sobre enterprise value.</w:t>
      </w:r>
    </w:p>
    <w:p>
      <w:pPr>
        <w:pStyle w:val="ListBullet"/>
      </w:pPr>
      <w:r>
        <w:rPr>
          <w:rFonts w:ascii="Helvetica" w:hAnsi="Helvetica"/>
          <w:sz w:val="22"/>
        </w:rPr>
        <w:t>Crecimiento intrinseco del beneficio: funcion de la tasa de reinversion y el ROIC.</w:t>
      </w:r>
    </w:p>
    <w:p>
      <w:pPr>
        <w:pStyle w:val="ListBullet"/>
      </w:pPr>
      <w:r>
        <w:rPr>
          <w:rFonts w:ascii="Helvetica" w:hAnsi="Helvetica"/>
          <w:sz w:val="22"/>
        </w:rPr>
        <w:t>Ajuste por expansion o compresion de multiplo: diferencia entre multiplo actual y normalizado a horizonte.</w:t>
      </w:r>
    </w:p>
    <w:p>
      <w:pPr>
        <w:spacing w:before="120" w:after="60"/>
      </w:pPr>
      <w:r>
        <w:rPr>
          <w:rFonts w:ascii="Helvetica" w:hAnsi="Helvetica"/>
          <w:b/>
          <w:sz w:val="22"/>
        </w:rPr>
        <w:t>Objetivo de retorno y margen de seguridad</w:t>
      </w:r>
    </w:p>
    <w:p>
      <w:pPr>
        <w:spacing w:after="120"/>
      </w:pPr>
      <w:r>
        <w:rPr>
          <w:rFonts w:ascii="Helvetica" w:hAnsi="Helvetica"/>
          <w:sz w:val="22"/>
        </w:rPr>
        <w:t>El objetivo de retorno del portafolio ponderado es 8% real anual. Este objetivo se evalua a nivel del portafolio agregado, no como filtro de entrada por posicion individual. El filtro de entrada por posicion lo define el hurdle del arquetipo correspondiente (seccion 4.2). La combinacion de posiciones debe resultar en un retorno esperado ponderado igual o superior al 8% real. El margen de seguridad de retorno por posicion se define como la diferencia porcentual entre el retorno esperado de la posicion y el hurdle de su arquetipo. Un margen de seguridad de retorno igual o superior al 20% es condicion preferente de entrada. Para evitar ambiguedad, el IPS distingue dos conceptos: (a) margen de seguridad de precio, que mide la diferencia entre el valor intrinseco estimado y el precio de mercado (minimo 20%, seccion 4.5), y (b) margen de seguridad de retorno, que mide la diferencia entre el retorno esperado y el hurdle del arquetipo (20% preferente). Ambos criterios deben evaluarse para toda posicion.</w:t>
      </w:r>
    </w:p>
    <w:p>
      <w:pPr>
        <w:spacing w:before="160" w:after="80"/>
      </w:pPr>
      <w:r>
        <w:rPr>
          <w:rFonts w:ascii="Helvetica" w:hAnsi="Helvetica"/>
          <w:b/>
          <w:sz w:val="24"/>
        </w:rPr>
        <w:t>4.6  Horizonte, decisiones del comite y reglas de salida</w:t>
      </w:r>
    </w:p>
    <w:p>
      <w:pPr>
        <w:spacing w:before="120" w:after="60"/>
      </w:pPr>
      <w:r>
        <w:rPr>
          <w:rFonts w:ascii="Helvetica" w:hAnsi="Helvetica"/>
          <w:b/>
          <w:sz w:val="22"/>
        </w:rPr>
        <w:t>Horizonte de inversion</w:t>
      </w:r>
    </w:p>
    <w:p>
      <w:pPr>
        <w:spacing w:after="120"/>
      </w:pPr>
      <w:r>
        <w:rPr>
          <w:rFonts w:ascii="Helvetica" w:hAnsi="Helvetica"/>
          <w:sz w:val="22"/>
        </w:rPr>
        <w:t>El horizonte de inversion por posicion es indefinido por defecto. El horizonte del holding como institucion es perpetuo (Charter 1.3); el horizonte por posicion esta condicionado a la vigencia de la tesis. La filosofia general es buy-and-hold-until-broken: mantener posiciones mientras los fundamentales permanezcan intactos.</w:t>
      </w:r>
    </w:p>
    <w:p>
      <w:pPr>
        <w:spacing w:before="120" w:after="60"/>
      </w:pPr>
      <w:r>
        <w:rPr>
          <w:rFonts w:ascii="Helvetica" w:hAnsi="Helvetica"/>
          <w:b/>
          <w:sz w:val="22"/>
        </w:rPr>
        <w:t>Decisiones del Comite de Inversiones</w:t>
      </w:r>
    </w:p>
    <w:p>
      <w:pPr>
        <w:spacing w:after="120"/>
      </w:pPr>
      <w:r>
        <w:rPr>
          <w:rFonts w:ascii="Helvetica" w:hAnsi="Helvetica"/>
          <w:sz w:val="22"/>
        </w:rPr>
        <w:t>El Comite de Inversiones formaliza su pronunciamiento sobre cada tesis en una de cuatro decisiones mutuamente excluyentes, todas con identico estandar documental y archivado en el Decision Journal del holding:</w:t>
      </w:r>
    </w:p>
    <w:p>
      <w:pPr>
        <w:pStyle w:val="ListBullet"/>
      </w:pPr>
      <w:r>
        <w:rPr>
          <w:rFonts w:ascii="Helvetica" w:hAnsi="Helvetica"/>
          <w:sz w:val="22"/>
        </w:rPr>
        <w:t>BUY — el comite ratifica la tesis y aprueba la apertura de posicion. Dispara ejecucion en cuenta y registro del trade.</w:t>
      </w:r>
    </w:p>
    <w:p>
      <w:pPr>
        <w:pStyle w:val="ListBullet"/>
      </w:pPr>
      <w:r>
        <w:rPr>
          <w:rFonts w:ascii="Helvetica" w:hAnsi="Helvetica"/>
          <w:sz w:val="22"/>
        </w:rPr>
        <w:t>FOLLOW — el comite considera la tesis valida pero decide no invertir aun (esperar mejor precio, esperar confirmacion de un catalizador, o limitar exposicion). La tesis se mantiene en seguimiento activo; cualquier cambio material en precio o fundamentales reabre la conversacion sin re-research desde cero.</w:t>
      </w:r>
    </w:p>
    <w:p>
      <w:pPr>
        <w:pStyle w:val="ListBullet"/>
      </w:pPr>
      <w:r>
        <w:rPr>
          <w:rFonts w:ascii="Helvetica" w:hAnsi="Helvetica"/>
          <w:sz w:val="22"/>
        </w:rPr>
        <w:t>PASS — el comite descarta la tesis tras research completo. Distinta del descarte temprano en pipeline: se documenta el razonamiento para que la tesis sea revisable si las condiciones cambian materialmente.</w:t>
      </w:r>
    </w:p>
    <w:p>
      <w:pPr>
        <w:pStyle w:val="ListBullet"/>
      </w:pPr>
      <w:r>
        <w:rPr>
          <w:rFonts w:ascii="Helvetica" w:hAnsi="Helvetica"/>
          <w:sz w:val="22"/>
        </w:rPr>
        <w:t>SELL — aplica sobre posiciones existentes y cierra la posicion (parcial o total). Requiere post-mortem completo con thesis_outcome (played_out / partially / failed), leccion aprendida y, si aplica, failure mode activado vinculado al Pre-Mortem original.</w:t>
      </w:r>
    </w:p>
    <w:p>
      <w:pPr>
        <w:spacing w:after="120"/>
      </w:pPr>
      <w:r>
        <w:rPr>
          <w:rFonts w:ascii="Helvetica" w:hAnsi="Helvetica"/>
          <w:sz w:val="22"/>
        </w:rPr>
        <w:t>La diferencia entre PASS y FOLLOW es material: PASS descarta la tesis; FOLLOW la mantiene viva para revisarla sin re-research si cambia el precio o un fundamental clave. La operativa, naming convention y archivado de cada decision estan reguladas en el Operations Manual.</w:t>
      </w:r>
    </w:p>
    <w:p>
      <w:pPr>
        <w:spacing w:before="120" w:after="60"/>
      </w:pPr>
      <w:r>
        <w:rPr>
          <w:rFonts w:ascii="Helvetica" w:hAnsi="Helvetica"/>
          <w:b/>
          <w:sz w:val="22"/>
        </w:rPr>
        <w:t>Decision Journal</w:t>
      </w:r>
    </w:p>
    <w:p>
      <w:pPr>
        <w:spacing w:after="120"/>
      </w:pPr>
      <w:r>
        <w:rPr>
          <w:rFonts w:ascii="Helvetica" w:hAnsi="Helvetica"/>
          <w:sz w:val="22"/>
        </w:rPr>
        <w:t>El Decision Journal es el registro vivo de las decisiones del Comite de Inversiones sobre cada tesis evaluada. Constituye la fuente de verdad operativa de las decisiones tomadas; el Data Room conserva los memos y entregables formales, el Decision Journal conserva la decision como tal con su razonamiento y trazabilidad. Cada entrada del Journal corresponde a una de las cuatro decisiones del comite (BUY / FOLLOW / PASS / SELL) y contiene, al minimo: tesis evaluada, razonamiento, evidencia material citada, conviction level del comite y, cuando aplique, link al trade ejecutado y al Pre-Mortem activo. La integridad del Decision Journal es responsabilidad del CIO. El Journal no se edita: las decisiones se enmiendan creando una nueva entrada vinculada que preserva el registro historico.</w:t>
      </w:r>
    </w:p>
    <w:p>
      <w:pPr>
        <w:spacing w:before="120" w:after="60"/>
      </w:pPr>
      <w:r>
        <w:rPr>
          <w:rFonts w:ascii="Helvetica" w:hAnsi="Helvetica"/>
          <w:b/>
          <w:sz w:val="22"/>
        </w:rPr>
        <w:t>Motivos de salida</w:t>
      </w:r>
    </w:p>
    <w:p>
      <w:pPr>
        <w:spacing w:after="120"/>
      </w:pPr>
      <w:r>
        <w:rPr>
          <w:rFonts w:ascii="Helvetica" w:hAnsi="Helvetica"/>
          <w:sz w:val="22"/>
        </w:rPr>
        <w:t>Una posicion se vendera cuando:</w:t>
      </w:r>
    </w:p>
    <w:p>
      <w:pPr>
        <w:pStyle w:val="ListBullet"/>
      </w:pPr>
      <w:r>
        <w:rPr>
          <w:rFonts w:ascii="Helvetica" w:hAnsi="Helvetica"/>
          <w:sz w:val="22"/>
        </w:rPr>
        <w:t>La tesis se rompa estructuralmente.</w:t>
      </w:r>
    </w:p>
    <w:p>
      <w:pPr>
        <w:pStyle w:val="ListBullet"/>
      </w:pPr>
      <w:r>
        <w:rPr>
          <w:rFonts w:ascii="Helvetica" w:hAnsi="Helvetica"/>
          <w:sz w:val="22"/>
        </w:rPr>
        <w:t>El negocio sufra deterioro economico significativo.</w:t>
      </w:r>
    </w:p>
    <w:p>
      <w:pPr>
        <w:pStyle w:val="ListBullet"/>
      </w:pPr>
      <w:r>
        <w:rPr>
          <w:rFonts w:ascii="Helvetica" w:hAnsi="Helvetica"/>
          <w:sz w:val="22"/>
        </w:rPr>
        <w:t>El precio reduzca materialmente el IRR futuro esperado.</w:t>
      </w:r>
    </w:p>
    <w:p>
      <w:pPr>
        <w:pStyle w:val="ListBullet"/>
      </w:pPr>
      <w:r>
        <w:rPr>
          <w:rFonts w:ascii="Helvetica" w:hAnsi="Helvetica"/>
          <w:sz w:val="22"/>
        </w:rPr>
        <w:t>Exista una oportunidad superior con mejor relacion riesgo-retorno.</w:t>
      </w:r>
    </w:p>
    <w:p>
      <w:pPr>
        <w:spacing w:after="120"/>
      </w:pPr>
      <w:r>
        <w:rPr>
          <w:rFonts w:ascii="Helvetica" w:hAnsi="Helvetica"/>
          <w:sz w:val="22"/>
        </w:rPr>
        <w:t>Las decisiones de venta deben basarse en analisis de fundamentos y metricas, no en fluctuaciones de corto plazo.</w:t>
      </w:r>
    </w:p>
    <w:p>
      <w:pPr>
        <w:spacing w:after="120"/>
      </w:pPr>
      <w:r>
        <w:rPr>
          <w:rFonts w:ascii="Helvetica" w:hAnsi="Helvetica"/>
          <w:sz w:val="22"/>
        </w:rPr>
        <w:t>Toda venta total de una posicion requiere un Position Close Memo aprobado por el CIO, que documenta el motivo de salida, la valoracion al cierre, el retorno realizado, el post-mortem de la tesis y las lecciones transferibles. Todo ajuste parcial (trim o add) requiere un Position Adjustment Memo aprobado por el CIO, que documenta el motivo del ajuste, la valoracion actual, la verificacion anti-sesgo y el impacto en el portafolio.</w:t>
      </w:r>
    </w:p>
    <w:p>
      <w:pPr>
        <w:spacing w:before="160" w:after="80"/>
      </w:pPr>
      <w:r>
        <w:rPr>
          <w:rFonts w:ascii="Helvetica" w:hAnsi="Helvetica"/>
          <w:b/>
          <w:sz w:val="24"/>
        </w:rPr>
        <w:t>4.7  Monitoreo de posiciones y disciplina conductual</w:t>
      </w:r>
    </w:p>
    <w:p>
      <w:pPr>
        <w:spacing w:after="120"/>
      </w:pPr>
      <w:r>
        <w:rPr>
          <w:rFonts w:ascii="Helvetica" w:hAnsi="Helvetica"/>
          <w:sz w:val="22"/>
        </w:rPr>
        <w:t>[Operacionaliza la seccion 2.4 del Charter. La cadencia y responsables se definen en el Operations Manual.]</w:t>
      </w:r>
    </w:p>
    <w:p>
      <w:pPr>
        <w:spacing w:before="120" w:after="60"/>
      </w:pPr>
      <w:r>
        <w:rPr>
          <w:rFonts w:ascii="Helvetica" w:hAnsi="Helvetica"/>
          <w:b/>
          <w:sz w:val="22"/>
        </w:rPr>
        <w:t>Sistema de monitoreo</w:t>
      </w:r>
    </w:p>
    <w:p>
      <w:pPr>
        <w:spacing w:after="120"/>
      </w:pPr>
      <w:r>
        <w:rPr>
          <w:rFonts w:ascii="Helvetica" w:hAnsi="Helvetica"/>
          <w:sz w:val="22"/>
        </w:rPr>
        <w:t>Toda posicion activa estara sujeta a monitoreo recurrente estructurado en tres niveles:</w:t>
      </w:r>
    </w:p>
    <w:p>
      <w:pPr>
        <w:pStyle w:val="ListBullet"/>
      </w:pPr>
      <w:r>
        <w:rPr>
          <w:rFonts w:ascii="Helvetica" w:hAnsi="Helvetica"/>
          <w:sz w:val="22"/>
        </w:rPr>
        <w:t>Tier 1 (validacion de tesis): 4-5 metricas por posicion calibradas al arquetipo, incluyendo siempre el ROIC marginal como metrica universal.</w:t>
      </w:r>
    </w:p>
    <w:p>
      <w:pPr>
        <w:pStyle w:val="ListBullet"/>
      </w:pPr>
      <w:r>
        <w:rPr>
          <w:rFonts w:ascii="Helvetica" w:hAnsi="Helvetica"/>
          <w:sz w:val="22"/>
        </w:rPr>
        <w:t>Tier 2 (contexto competitivo): metricas sectoriales y de posicionamiento relativo.</w:t>
      </w:r>
    </w:p>
    <w:p>
      <w:pPr>
        <w:pStyle w:val="ListBullet"/>
      </w:pPr>
      <w:r>
        <w:rPr>
          <w:rFonts w:ascii="Helvetica" w:hAnsi="Helvetica"/>
          <w:sz w:val="22"/>
        </w:rPr>
        <w:t>Tier 3 (macro y exogenas): variables macroeconomicas y regulatorias relevantes.</w:t>
      </w:r>
    </w:p>
    <w:p>
      <w:pPr>
        <w:spacing w:before="120" w:after="60"/>
      </w:pPr>
      <w:r>
        <w:rPr>
          <w:rFonts w:ascii="Helvetica" w:hAnsi="Helvetica"/>
          <w:b/>
          <w:sz w:val="22"/>
        </w:rPr>
        <w:t>Protocolo de semaforos</w:t>
      </w:r>
    </w:p>
    <w:p>
      <w:pPr>
        <w:spacing w:after="120"/>
      </w:pPr>
      <w:r>
        <w:rPr>
          <w:rFonts w:ascii="Helvetica" w:hAnsi="Helvetica"/>
          <w:sz w:val="22"/>
        </w:rPr>
        <w:t>Cada metrica Tier 1 tendra dos umbrales cuantitativos definidos al momento de la inversion:</w:t>
      </w:r>
    </w:p>
    <w:p>
      <w:pPr>
        <w:pStyle w:val="ListBullet"/>
      </w:pPr>
      <w:r>
        <w:rPr>
          <w:rFonts w:ascii="Helvetica" w:hAnsi="Helvetica"/>
          <w:sz w:val="22"/>
        </w:rPr>
        <w:t>Umbral de alerta (amarillo): activa revision profunda de la metrica y su impacto en la tesis.</w:t>
      </w:r>
    </w:p>
    <w:p>
      <w:pPr>
        <w:pStyle w:val="ListBullet"/>
      </w:pPr>
      <w:r>
        <w:rPr>
          <w:rFonts w:ascii="Helvetica" w:hAnsi="Helvetica"/>
          <w:sz w:val="22"/>
        </w:rPr>
        <w:t>Umbral de accion (rojo): activa protocolo de decision predefinido (trim, salida parcial o revision de tesis completa). Toda accion de trim derivada de un semaforo rojo debe documentarse mediante un Position Adjustment Memo.</w:t>
      </w:r>
    </w:p>
    <w:p>
      <w:pPr>
        <w:spacing w:after="120"/>
      </w:pPr>
      <w:r>
        <w:rPr>
          <w:rFonts w:ascii="Helvetica" w:hAnsi="Helvetica"/>
          <w:sz w:val="22"/>
        </w:rPr>
        <w:t>Los umbrales se definen al momento de la inversion. Su modificacion requiere justificacion documentada basada en un cambio estructural del negocio o del sector, aprobada por el CIO. No se permite modificar un umbral como respuesta a que la metrica se aproxime o alcance dicho umbral.</w:t>
      </w:r>
    </w:p>
    <w:p>
      <w:pPr>
        <w:spacing w:before="120" w:after="60"/>
      </w:pPr>
      <w:r>
        <w:rPr>
          <w:rFonts w:ascii="Helvetica" w:hAnsi="Helvetica"/>
          <w:b/>
          <w:sz w:val="22"/>
        </w:rPr>
        <w:t>Entregables de monitoreo</w:t>
      </w:r>
    </w:p>
    <w:p>
      <w:pPr>
        <w:spacing w:after="120"/>
      </w:pPr>
      <w:r>
        <w:rPr>
          <w:rFonts w:ascii="Helvetica" w:hAnsi="Helvetica"/>
          <w:sz w:val="22"/>
        </w:rPr>
        <w:t>El sistema de monitoreo se consolida en un unico documento institucional por posicion y trimestre, el Quarterly Re-Underwriting, complementado por una vista agregada del portafolio:</w:t>
      </w:r>
    </w:p>
    <w:p>
      <w:pPr>
        <w:pStyle w:val="ListBullet"/>
      </w:pPr>
      <w:r>
        <w:rPr>
          <w:rFonts w:ascii="Helvetica" w:hAnsi="Helvetica"/>
          <w:sz w:val="22"/>
        </w:rPr>
        <w:t>Quarterly Re-Underwriting: documento institucional de ocho secciones que se produce por cada posicion activa al cierre de cada trimestre. Contiene Investment Snapshot, Executive Summary, What Changed Since Last Quarter, Thesis Tracking, Premortem Tracking, KPI Dashboard, Valuation Update y Final Re-Underwriting Conclusion. El Re-Underwriting consolida la validacion de tesis, la verificacion del estado de los failure modes definidos en el Pre-Mortem del Investment Memo, la actualizacion de los KPIs Tier 1 contra sus umbrales de alerta y accion, y la actualizacion de la valoracion intrinseca desde el Columbia Model del trimestre. Reemplaza al Investment Fact Sheet (IFS), al Scorecard de posicion y al ejercicio independiente de Desconfirmacion utilizados en versiones anteriores del marco operativo. La cadencia, responsable de firma y proceso de revision se definen en el Operations Manual.</w:t>
      </w:r>
    </w:p>
    <w:p>
      <w:pPr>
        <w:pStyle w:val="ListBullet"/>
      </w:pPr>
      <w:r>
        <w:rPr>
          <w:rFonts w:ascii="Helvetica" w:hAnsi="Helvetica"/>
          <w:sz w:val="22"/>
        </w:rPr>
        <w:t>Dashboard agregado: vista consolidada del portafolio con metricas ponderadas, distribucion por arquetipo, semaforos activos y alertas. Se actualiza en la cadencia definida en el Operations Manual.</w:t>
      </w:r>
    </w:p>
    <w:p>
      <w:pPr>
        <w:spacing w:after="120"/>
      </w:pPr>
      <w:r>
        <w:rPr>
          <w:rFonts w:ascii="Helvetica" w:hAnsi="Helvetica"/>
          <w:sz w:val="22"/>
        </w:rPr>
        <w:t>La desconfirmacion de la tesis, que en versiones anteriores constituia un entregable independiente, se documenta como parte integral del Quarterly Re-Underwriting (secciones Thesis Tracking y Premortem Tracking). La calidad sera evaluada por el Comite de Inversiones conforme al Charter 3.1.</w:t>
      </w:r>
    </w:p>
    <w:p>
      <w:pPr>
        <w:spacing w:before="160" w:after="80"/>
      </w:pPr>
      <w:r>
        <w:rPr>
          <w:rFonts w:ascii="Helvetica" w:hAnsi="Helvetica"/>
          <w:b/>
          <w:sz w:val="24"/>
        </w:rPr>
        <w:t>4.8  Benchmark y objetivos de retorno</w:t>
      </w:r>
    </w:p>
    <w:p>
      <w:pPr>
        <w:spacing w:before="120" w:after="60"/>
      </w:pPr>
      <w:r>
        <w:rPr>
          <w:rFonts w:ascii="Helvetica" w:hAnsi="Helvetica"/>
          <w:b/>
          <w:sz w:val="22"/>
        </w:rPr>
        <w:t>Benchmark</w:t>
      </w:r>
    </w:p>
    <w:p>
      <w:pPr>
        <w:spacing w:after="120"/>
      </w:pPr>
      <w:r>
        <w:rPr>
          <w:rFonts w:ascii="Helvetica" w:hAnsi="Helvetica"/>
          <w:sz w:val="22"/>
        </w:rPr>
        <w:t>MSCI World Quality Net Return como benchmark primario. Refleja el estilo quality del portafolio y evita medir stock picking contra clases de activo en las que no se esta invertido.</w:t>
      </w:r>
    </w:p>
    <w:p>
      <w:pPr>
        <w:spacing w:before="120" w:after="60"/>
      </w:pPr>
      <w:r>
        <w:rPr>
          <w:rFonts w:ascii="Helvetica" w:hAnsi="Helvetica"/>
          <w:b/>
          <w:sz w:val="22"/>
        </w:rPr>
        <w:t>Objetivos de retorno</w:t>
      </w:r>
    </w:p>
    <w:p>
      <w:pPr>
        <w:spacing w:after="120"/>
      </w:pPr>
      <w:r>
        <w:rPr>
          <w:rFonts w:ascii="Helvetica" w:hAnsi="Helvetica"/>
          <w:sz w:val="22"/>
        </w:rPr>
        <w:t>Todos los objetivos se expresan en terminos reales (post-inflacion):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Helvetica" w:hAnsi="Helvetica"/>
                <w:b/>
                <w:sz w:val="20"/>
              </w:rPr>
              <w:t>Concepto</w:t>
            </w:r>
          </w:p>
        </w:tc>
        <w:tc>
          <w:tcPr>
            <w:tcW w:type="dxa" w:w="4320"/>
          </w:tcPr>
          <w:p>
            <w:r/>
            <w:r>
              <w:rPr>
                <w:rFonts w:ascii="Helvetica" w:hAnsi="Helvetica"/>
                <w:b/>
                <w:sz w:val="20"/>
              </w:rPr>
              <w:t>Rango</w:t>
            </w:r>
          </w:p>
        </w:tc>
      </w:tr>
      <w:tr>
        <w:tc>
          <w:tcPr>
            <w:tcW w:type="dxa" w:w="4320"/>
          </w:tcPr>
          <w:p>
            <w:r/>
            <w:r>
              <w:rPr>
                <w:rFonts w:ascii="Helvetica" w:hAnsi="Helvetica"/>
                <w:sz w:val="20"/>
              </w:rPr>
              <w:t>Objetivo de retorno del portafolio ponderado</w:t>
            </w:r>
          </w:p>
        </w:tc>
        <w:tc>
          <w:tcPr>
            <w:tcW w:type="dxa" w:w="4320"/>
          </w:tcPr>
          <w:p>
            <w:r/>
            <w:r>
              <w:rPr>
                <w:rFonts w:ascii="Helvetica" w:hAnsi="Helvetica"/>
                <w:sz w:val="20"/>
              </w:rPr>
              <w:t>8% real anual</w:t>
            </w:r>
          </w:p>
        </w:tc>
      </w:tr>
      <w:tr>
        <w:tc>
          <w:tcPr>
            <w:tcW w:type="dxa" w:w="4320"/>
          </w:tcPr>
          <w:p>
            <w:r/>
            <w:r>
              <w:rPr>
                <w:rFonts w:ascii="Helvetica" w:hAnsi="Helvetica"/>
                <w:sz w:val="20"/>
              </w:rPr>
              <w:t>Rango aspiracional del portafolio</w:t>
            </w:r>
          </w:p>
        </w:tc>
        <w:tc>
          <w:tcPr>
            <w:tcW w:type="dxa" w:w="4320"/>
          </w:tcPr>
          <w:p>
            <w:r/>
            <w:r>
              <w:rPr>
                <w:rFonts w:ascii="Helvetica" w:hAnsi="Helvetica"/>
                <w:sz w:val="20"/>
              </w:rPr>
              <w:t>8-12% real anual</w:t>
            </w:r>
          </w:p>
        </w:tc>
      </w:tr>
      <w:tr>
        <w:tc>
          <w:tcPr>
            <w:tcW w:type="dxa" w:w="4320"/>
          </w:tcPr>
          <w:p>
            <w:r/>
            <w:r>
              <w:rPr>
                <w:rFonts w:ascii="Helvetica" w:hAnsi="Helvetica"/>
                <w:sz w:val="20"/>
              </w:rPr>
              <w:t>Hurdle Core Compounders (por posicion)</w:t>
            </w:r>
          </w:p>
        </w:tc>
        <w:tc>
          <w:tcPr>
            <w:tcW w:type="dxa" w:w="4320"/>
          </w:tcPr>
          <w:p>
            <w:r/>
            <w:r>
              <w:rPr>
                <w:rFonts w:ascii="Helvetica" w:hAnsi="Helvetica"/>
                <w:sz w:val="20"/>
              </w:rPr>
              <w:t>7-9% real</w:t>
            </w:r>
          </w:p>
        </w:tc>
      </w:tr>
      <w:tr>
        <w:tc>
          <w:tcPr>
            <w:tcW w:type="dxa" w:w="4320"/>
          </w:tcPr>
          <w:p>
            <w:r/>
            <w:r>
              <w:rPr>
                <w:rFonts w:ascii="Helvetica" w:hAnsi="Helvetica"/>
                <w:sz w:val="20"/>
              </w:rPr>
              <w:t>Hurdle Opportunistic Compounders (por posicion)</w:t>
            </w:r>
          </w:p>
        </w:tc>
        <w:tc>
          <w:tcPr>
            <w:tcW w:type="dxa" w:w="4320"/>
          </w:tcPr>
          <w:p>
            <w:r/>
            <w:r>
              <w:rPr>
                <w:rFonts w:ascii="Helvetica" w:hAnsi="Helvetica"/>
                <w:sz w:val="20"/>
              </w:rPr>
              <w:t>11-15% real</w:t>
            </w:r>
          </w:p>
        </w:tc>
      </w:tr>
      <w:tr>
        <w:tc>
          <w:tcPr>
            <w:tcW w:type="dxa" w:w="4320"/>
          </w:tcPr>
          <w:p>
            <w:r/>
            <w:r>
              <w:rPr>
                <w:rFonts w:ascii="Helvetica" w:hAnsi="Helvetica"/>
                <w:sz w:val="20"/>
              </w:rPr>
              <w:t>Hurdle Value &amp; Special Situations (por posicion)</w:t>
            </w:r>
          </w:p>
        </w:tc>
        <w:tc>
          <w:tcPr>
            <w:tcW w:type="dxa" w:w="4320"/>
          </w:tcPr>
          <w:p>
            <w:r/>
            <w:r>
              <w:rPr>
                <w:rFonts w:ascii="Helvetica" w:hAnsi="Helvetica"/>
                <w:sz w:val="20"/>
              </w:rPr>
              <w:t>17%+ real</w:t>
            </w:r>
          </w:p>
        </w:tc>
      </w:tr>
    </w:tbl>
    <w:p>
      <w:pPr>
        <w:spacing w:after="120"/>
      </w:pPr>
      <w:r>
        <w:rPr>
          <w:rFonts w:ascii="Helvetica" w:hAnsi="Helvetica"/>
          <w:sz w:val="22"/>
        </w:rPr>
        <w:t>Los objetivos se evaluan en horizontes de ciclo completo (10-15 anos), no en periodos anuales individuales.</w:t>
      </w:r>
    </w:p>
    <w:p>
      <w:pPr>
        <w:spacing w:before="240" w:after="120"/>
      </w:pPr>
      <w:r>
        <w:rPr>
          <w:rFonts w:ascii="Helvetica" w:hAnsi="Helvetica"/>
          <w:b/>
          <w:sz w:val="28"/>
        </w:rPr>
        <w:t>5.0  Negocios operativos</w:t>
      </w:r>
    </w:p>
    <w:p>
      <w:pPr>
        <w:spacing w:after="120"/>
      </w:pPr>
      <w:r>
        <w:rPr>
          <w:rFonts w:ascii="Helvetica" w:hAnsi="Helvetica"/>
          <w:sz w:val="22"/>
        </w:rPr>
        <w:t>Las participaciones en negocios operativos se regiran por politicas especificas:</w:t>
      </w:r>
    </w:p>
    <w:p>
      <w:pPr>
        <w:pStyle w:val="ListBullet"/>
      </w:pPr>
      <w:r>
        <w:rPr>
          <w:rFonts w:ascii="Helvetica" w:hAnsi="Helvetica"/>
          <w:sz w:val="22"/>
        </w:rPr>
        <w:t>ROIC objetivo superior al costo de capital con un spread minimo de 500 puntos base (ROIC &gt; WACC + 5%).</w:t>
      </w:r>
    </w:p>
    <w:p>
      <w:pPr>
        <w:pStyle w:val="ListBullet"/>
      </w:pPr>
      <w:r>
        <w:rPr>
          <w:rFonts w:ascii="Helvetica" w:hAnsi="Helvetica"/>
          <w:sz w:val="22"/>
        </w:rPr>
        <w:t>Comprension profunda del modelo economico y operativo.</w:t>
      </w:r>
    </w:p>
    <w:p>
      <w:pPr>
        <w:pStyle w:val="ListBullet"/>
      </w:pPr>
      <w:r>
        <w:rPr>
          <w:rFonts w:ascii="Helvetica" w:hAnsi="Helvetica"/>
          <w:sz w:val="22"/>
        </w:rPr>
        <w:t>Gobernanza profesional y mecanismos de supervision adecuados.</w:t>
      </w:r>
    </w:p>
    <w:p>
      <w:pPr>
        <w:pStyle w:val="ListBullet"/>
      </w:pPr>
      <w:r>
        <w:rPr>
          <w:rFonts w:ascii="Helvetica" w:hAnsi="Helvetica"/>
          <w:sz w:val="22"/>
        </w:rPr>
        <w:t>Preferencia por negocios con mecanismos claros de salida o liquidez potencial.</w:t>
      </w:r>
    </w:p>
    <w:p>
      <w:pPr>
        <w:pStyle w:val="ListBullet"/>
      </w:pPr>
      <w:r>
        <w:rPr>
          <w:rFonts w:ascii="Helvetica" w:hAnsi="Helvetica"/>
          <w:sz w:val="22"/>
        </w:rPr>
        <w:t>Evitar modelos altamente ciclicos, dependientes de commodities o con elevada incertidumbre estructural.</w:t>
      </w:r>
    </w:p>
    <w:p>
      <w:pPr>
        <w:spacing w:after="120"/>
      </w:pPr>
      <w:r>
        <w:rPr>
          <w:rFonts w:ascii="Helvetica" w:hAnsi="Helvetica"/>
          <w:sz w:val="22"/>
        </w:rPr>
        <w:t>Las participaciones operativas forman parte del patrimonio consolidado, pero no se integran al sistema de bandas del portafolio financiero.</w:t>
      </w:r>
    </w:p>
    <w:p>
      <w:pPr>
        <w:spacing w:after="120"/>
      </w:pPr>
      <w:r>
        <w:rPr>
          <w:rFonts w:ascii="Helvetica" w:hAnsi="Helvetica"/>
          <w:sz w:val="22"/>
        </w:rPr>
        <w:t>El flujo de caja proveniente de las empresas operativas hacia el holding se evaluara periodicamente. Su reinversion se sujetara a las mismas reglas de asignacion de capital, hurdle rate y margen de seguridad aplicables al portafolio financiero.</w:t>
      </w:r>
    </w:p>
    <w:p>
      <w:pPr>
        <w:spacing w:before="240" w:after="120"/>
      </w:pPr>
      <w:r>
        <w:rPr>
          <w:rFonts w:ascii="Helvetica" w:hAnsi="Helvetica"/>
          <w:b/>
          <w:sz w:val="28"/>
        </w:rPr>
        <w:t>6.0  Cripto institucional</w:t>
      </w:r>
    </w:p>
    <w:p>
      <w:pPr>
        <w:spacing w:after="120"/>
      </w:pPr>
      <w:r>
        <w:rPr>
          <w:rFonts w:ascii="Helvetica" w:hAnsi="Helvetica"/>
          <w:sz w:val="22"/>
        </w:rPr>
        <w:t>Las posiciones en cripto institucional se rigen por la banda de alternativos (seccion 3.1) y por los siguientes criterios especificos:</w:t>
      </w:r>
    </w:p>
    <w:p>
      <w:pPr>
        <w:pStyle w:val="ListBullet"/>
      </w:pPr>
      <w:r>
        <w:rPr>
          <w:rFonts w:ascii="Helvetica" w:hAnsi="Helvetica"/>
          <w:sz w:val="22"/>
        </w:rPr>
        <w:t>Universo elegible. Activos con capitalizacion de mercado superior a 10 mil millones de dolares para posiciones core. Altcoins con capitalizacion superior a 1 mil millones de dolares podran considerarse unicamente cuando exista una tesis fundamental documentada que identifique el modelo economico del protocolo, la fuente de generacion de valor y los riesgos especificos (regulatorio, tecnologico, de adopcion).</w:t>
      </w:r>
    </w:p>
    <w:p>
      <w:pPr>
        <w:pStyle w:val="ListBullet"/>
      </w:pPr>
      <w:r>
        <w:rPr>
          <w:rFonts w:ascii="Helvetica" w:hAnsi="Helvetica"/>
          <w:sz w:val="22"/>
        </w:rPr>
        <w:t>Custodia. Custodia en frio obligatoria. Las semillas de recuperacion deberan mantenerse en sobre cifrado bajo custodia del abogado principal del holding, conforme al protocolo establecido en el Governance &amp; Succession Framework.</w:t>
      </w:r>
    </w:p>
    <w:p>
      <w:pPr>
        <w:pStyle w:val="ListBullet"/>
      </w:pPr>
      <w:r>
        <w:rPr>
          <w:rFonts w:ascii="Helvetica" w:hAnsi="Helvetica"/>
          <w:sz w:val="22"/>
        </w:rPr>
        <w:t>Concentracion. Peso maximo por activo cripto individual: 3% del portafolio financiero. La ruptura por apreciacion organica se rige por las reglas de la seccion 8.1.</w:t>
      </w:r>
    </w:p>
    <w:p>
      <w:pPr>
        <w:pStyle w:val="ListBullet"/>
      </w:pPr>
      <w:r>
        <w:rPr>
          <w:rFonts w:ascii="Helvetica" w:hAnsi="Helvetica"/>
          <w:sz w:val="22"/>
        </w:rPr>
        <w:t>Documentacion. Toda posicion en cripto requiere un Investment Memo aprobado por el CIO que documente la tesis fundamental, los criterios de salida especificos y los umbrales de monitoreo aplicables.</w:t>
      </w:r>
    </w:p>
    <w:p>
      <w:pPr>
        <w:pStyle w:val="ListBullet"/>
      </w:pPr>
      <w:r>
        <w:rPr>
          <w:rFonts w:ascii="Helvetica" w:hAnsi="Helvetica"/>
          <w:sz w:val="22"/>
        </w:rPr>
        <w:t>Criterios de salida. Ruptura de la tesis fundamental, perdida de relevancia del protocolo, cambio regulatorio adverso material, o alcance del precio objetivo definido en el Investment Memo.</w:t>
      </w:r>
    </w:p>
    <w:p>
      <w:pPr>
        <w:spacing w:before="240" w:after="120"/>
      </w:pPr>
      <w:r>
        <w:rPr>
          <w:rFonts w:ascii="Helvetica" w:hAnsi="Helvetica"/>
          <w:b/>
          <w:sz w:val="28"/>
        </w:rPr>
        <w:t>7.0  Real estate</w:t>
      </w:r>
    </w:p>
    <w:p>
      <w:pPr>
        <w:spacing w:after="120"/>
      </w:pPr>
      <w:r>
        <w:rPr>
          <w:rFonts w:ascii="Helvetica" w:hAnsi="Helvetica"/>
          <w:sz w:val="22"/>
        </w:rPr>
        <w:t>Las posiciones en real estate se rigen por la banda correspondiente (seccion 3.1) y por los siguientes criterios especificos. La exposicion preferente sera a traves de fondos open-ended con estrategia core o core+.</w:t>
      </w:r>
    </w:p>
    <w:p>
      <w:pPr>
        <w:pStyle w:val="ListBullet"/>
      </w:pPr>
      <w:r>
        <w:rPr>
          <w:rFonts w:ascii="Helvetica" w:hAnsi="Helvetica"/>
          <w:sz w:val="22"/>
        </w:rPr>
        <w:t>Criterios minimos de seleccion de fondos. Track record del gestor superior a 10 anos. AUM del fondo superior a 500 millones de dolares. Diversificacion geografica y sectorial dentro del fondo. Estructura de fees transparente y alineada con los intereses de los inversionistas. Preferencia por fondos con distribucion periodica de income.</w:t>
      </w:r>
    </w:p>
    <w:p>
      <w:pPr>
        <w:pStyle w:val="ListBullet"/>
      </w:pPr>
      <w:r>
        <w:rPr>
          <w:rFonts w:ascii="Helvetica" w:hAnsi="Helvetica"/>
          <w:sz w:val="22"/>
        </w:rPr>
        <w:t>Horizonte. Horizonte de permanencia minimo de 3 anos, alineado con la naturaleza iliquida de la clase de activo.</w:t>
      </w:r>
    </w:p>
    <w:p>
      <w:pPr>
        <w:pStyle w:val="ListBullet"/>
      </w:pPr>
      <w:r>
        <w:rPr>
          <w:rFonts w:ascii="Helvetica" w:hAnsi="Helvetica"/>
          <w:sz w:val="22"/>
        </w:rPr>
        <w:t>Iliquidez. Las posiciones en fondos de real estate computan dentro del limite de iliquidez consolidada del 50% del portafolio financiero (seccion 8.0). Antes de comprometer capital en un nuevo fondo, el CIO verificara que la posicion no cause ruptura del limite de iliquidez.</w:t>
      </w:r>
    </w:p>
    <w:p>
      <w:pPr>
        <w:pStyle w:val="ListBullet"/>
      </w:pPr>
      <w:r>
        <w:rPr>
          <w:rFonts w:ascii="Helvetica" w:hAnsi="Helvetica"/>
          <w:sz w:val="22"/>
        </w:rPr>
        <w:t>Vehiculos no preferentes. La inversion en fondos cerrados, vehiculos deal-by-deal o estrategias opportunistic no se excluye, pero requiere justificacion documentada por el CIO que explique por que el vehiculo es preferible a la exposicion via fondos open-ended core/core+. Dichas posiciones estaran sujetas a mayor escrutinio por parte del Comite de Inversiones.</w:t>
      </w:r>
    </w:p>
    <w:p>
      <w:pPr>
        <w:spacing w:before="240" w:after="120"/>
      </w:pPr>
      <w:r>
        <w:rPr>
          <w:rFonts w:ascii="Helvetica" w:hAnsi="Helvetica"/>
          <w:b/>
          <w:sz w:val="28"/>
        </w:rPr>
        <w:t>8.0  Gestion de riesgos</w:t>
      </w:r>
    </w:p>
    <w:p>
      <w:pPr>
        <w:spacing w:after="120"/>
      </w:pPr>
      <w:r>
        <w:rPr>
          <w:rFonts w:ascii="Helvetica" w:hAnsi="Helvetica"/>
          <w:sz w:val="22"/>
        </w:rPr>
        <w:t>El siguiente marco aplica a la totalidad de los activos financieros del holding (todas las clases definidas en la seccion 3). Las participaciones en negocios operativos no se integran a este marco y se rigen por la seccion 5.</w:t>
      </w:r>
    </w:p>
    <w:p>
      <w:pPr>
        <w:spacing w:after="120"/>
      </w:pPr>
      <w:r>
        <w:rPr>
          <w:rFonts w:ascii="Helvetica" w:hAnsi="Helvetica"/>
          <w:sz w:val="22"/>
        </w:rPr>
        <w:t>El riesgo se define como la probabilidad de deterioro estructural del valor intrinseco o de una asignacion ineficiente de capital. La volatilidad de mercado no se considera una medida valida de riesgo.</w:t>
      </w:r>
    </w:p>
    <w:p>
      <w:pPr>
        <w:pStyle w:val="ListBullet"/>
      </w:pPr>
      <w:r>
        <w:rPr>
          <w:rFonts w:ascii="Helvetica" w:hAnsi="Helvetica"/>
          <w:sz w:val="22"/>
        </w:rPr>
        <w:t>Concentracion maxima por emisor: 20 por ciento del portafolio financiero.</w:t>
      </w:r>
    </w:p>
    <w:p>
      <w:pPr>
        <w:pStyle w:val="ListBullet"/>
      </w:pPr>
      <w:r>
        <w:rPr>
          <w:rFonts w:ascii="Helvetica" w:hAnsi="Helvetica"/>
          <w:sz w:val="22"/>
        </w:rPr>
        <w:t>Drawdown maximo antes de revision formal: 25 por ciento. La revision busca confirmar que las tesis estan intactas, no forzar ventas. Un drawdown en un portafolio concentrado de quality compounders es esperable durante correcciones de mercado y no constituye por si solo motivo de accion.</w:t>
      </w:r>
    </w:p>
    <w:p>
      <w:pPr>
        <w:pStyle w:val="ListBullet"/>
      </w:pPr>
      <w:r>
        <w:rPr>
          <w:rFonts w:ascii="Helvetica" w:hAnsi="Helvetica"/>
          <w:sz w:val="22"/>
        </w:rPr>
        <w:t>Evaluacion continua de riesgo de contraparte en custodios y exchanges.</w:t>
      </w:r>
    </w:p>
    <w:p>
      <w:pPr>
        <w:pStyle w:val="ListBullet"/>
      </w:pPr>
      <w:r>
        <w:rPr>
          <w:rFonts w:ascii="Helvetica" w:hAnsi="Helvetica"/>
          <w:sz w:val="22"/>
        </w:rPr>
        <w:t>Monitoreo regulatorio en jurisdicciones relevantes.</w:t>
      </w:r>
    </w:p>
    <w:p>
      <w:pPr>
        <w:pStyle w:val="ListBullet"/>
      </w:pPr>
      <w:r>
        <w:rPr>
          <w:rFonts w:ascii="Helvetica" w:hAnsi="Helvetica"/>
          <w:sz w:val="22"/>
        </w:rPr>
        <w:t>Limite de iliquidez consolidada del 50 por ciento.</w:t>
      </w:r>
    </w:p>
    <w:p>
      <w:pPr>
        <w:spacing w:before="160" w:after="80"/>
      </w:pPr>
      <w:r>
        <w:rPr>
          <w:rFonts w:ascii="Helvetica" w:hAnsi="Helvetica"/>
          <w:b/>
          <w:sz w:val="24"/>
        </w:rPr>
        <w:t>8.1  Politica de rebalanceo</w:t>
      </w:r>
    </w:p>
    <w:p>
      <w:pPr>
        <w:spacing w:after="120"/>
      </w:pPr>
      <w:r>
        <w:rPr>
          <w:rFonts w:ascii="Helvetica" w:hAnsi="Helvetica"/>
          <w:sz w:val="22"/>
        </w:rPr>
        <w:t>La ruptura de bandas estrategicas requiere analisis inmediato pero no accion automatica. Se distinguen dos escenarios:</w:t>
      </w:r>
    </w:p>
    <w:p>
      <w:pPr>
        <w:pStyle w:val="ListBullet"/>
      </w:pPr>
      <w:r>
        <w:rPr>
          <w:rFonts w:ascii="Helvetica" w:hAnsi="Helvetica"/>
          <w:sz w:val="22"/>
        </w:rPr>
        <w:t>Ruptura por apreciacion organica: si una clase de activo supera su banda maxima por apreciacion de las posiciones existentes, se documenta y se mantiene la posicion siempre que las tesis individuales permanezcan intactas. No se vendera un compounder ganador por razones mecanicas de rebalanceo.</w:t>
      </w:r>
    </w:p>
    <w:p>
      <w:pPr>
        <w:pStyle w:val="ListBullet"/>
      </w:pPr>
      <w:r>
        <w:rPr>
          <w:rFonts w:ascii="Helvetica" w:hAnsi="Helvetica"/>
          <w:sz w:val="22"/>
        </w:rPr>
        <w:t>Ruptura por accion de inversion: si una nueva inversion o un incremento activo de posicion causa la ruptura, se requiere aprobacion explicita del CIO con justificacion documentada de por que la banda debe excederse temporalmente, incluyendo plan y plazo de normalizacion.</w:t>
      </w:r>
    </w:p>
    <w:p>
      <w:pPr>
        <w:spacing w:before="240" w:after="120"/>
      </w:pPr>
      <w:r>
        <w:rPr>
          <w:rFonts w:ascii="Helvetica" w:hAnsi="Helvetica"/>
          <w:b/>
          <w:sz w:val="28"/>
        </w:rPr>
        <w:t>9.0  Escalamiento y revision de parametros</w:t>
      </w:r>
    </w:p>
    <w:p>
      <w:pPr>
        <w:spacing w:after="120"/>
      </w:pPr>
      <w:r>
        <w:rPr>
          <w:rFonts w:ascii="Helvetica" w:hAnsi="Helvetica"/>
          <w:sz w:val="22"/>
        </w:rPr>
        <w:t>Los parametros de este IPS se calibraron para un AUM de $5-15M, un equipo de 1-3 personas y un portafolio en fase de construccion. Los siguientes eventos activaran una revision formal del IPS:</w:t>
      </w:r>
    </w:p>
    <w:p>
      <w:pPr>
        <w:pStyle w:val="ListBullet"/>
      </w:pPr>
      <w:r>
        <w:rPr>
          <w:rFonts w:ascii="Helvetica" w:hAnsi="Helvetica"/>
          <w:sz w:val="22"/>
        </w:rPr>
        <w:t>AUM supera $15M: revision de bandas estrategicas, transicion de benchmark a compuesto, evaluacion de nuevas clases de activo.</w:t>
      </w:r>
    </w:p>
    <w:p>
      <w:pPr>
        <w:pStyle w:val="ListBullet"/>
      </w:pPr>
      <w:r>
        <w:rPr>
          <w:rFonts w:ascii="Helvetica" w:hAnsi="Helvetica"/>
          <w:sz w:val="22"/>
        </w:rPr>
        <w:t>Equipo supera 3 personas: revision de cadencia de monitoreo y carga operativa.</w:t>
      </w:r>
    </w:p>
    <w:p>
      <w:pPr>
        <w:pStyle w:val="ListBullet"/>
      </w:pPr>
      <w:r>
        <w:rPr>
          <w:rFonts w:ascii="Helvetica" w:hAnsi="Helvetica"/>
          <w:sz w:val="22"/>
        </w:rPr>
        <w:t>Portafolio supera 12 posiciones: revision de politica de sizing y limites de concentracion.</w:t>
      </w:r>
    </w:p>
    <w:p>
      <w:pPr>
        <w:pStyle w:val="ListBullet"/>
      </w:pPr>
      <w:r>
        <w:rPr>
          <w:rFonts w:ascii="Helvetica" w:hAnsi="Helvetica"/>
          <w:sz w:val="22"/>
        </w:rPr>
        <w:t>Negocio operativo deja de ser fuente principal de cash: revision de bandas de cash y liquidez estrategica.</w:t>
      </w:r>
    </w:p>
    <w:p>
      <w:pPr>
        <w:spacing w:after="120"/>
      </w:pPr>
      <w:r>
        <w:rPr>
          <w:rFonts w:ascii="Helvetica" w:hAnsi="Helvetica"/>
          <w:sz w:val="22"/>
        </w:rPr>
        <w:t>La revision no implica cambio automatico; implica que el CIO y el CI evaluan formalmente si los parametros siguen siendo adecuados.</w:t>
      </w:r>
    </w:p>
    <w:p>
      <w:pPr>
        <w:spacing w:before="240" w:after="120"/>
      </w:pPr>
      <w:r>
        <w:rPr>
          <w:rFonts w:ascii="Helvetica" w:hAnsi="Helvetica"/>
          <w:b/>
          <w:sz w:val="28"/>
        </w:rPr>
        <w:t>10.0  Modificaciones del IPS</w:t>
      </w:r>
    </w:p>
    <w:p>
      <w:pPr>
        <w:spacing w:after="120"/>
      </w:pPr>
      <w:r>
        <w:rPr>
          <w:rFonts w:ascii="Helvetica" w:hAnsi="Helvetica"/>
          <w:sz w:val="22"/>
        </w:rPr>
        <w:t>Cualquier modificacion al IPS debera ser propuesta por el Executive Chairman &amp; CIO y presentada al Comite de Inversiones para su revision y comentarios. La aprobacion final correspondera exclusivamente al Executive Chairman &amp; CIO, quedando el cambio registrado en el Data Room.</w:t>
      </w:r>
    </w:p>
    <w:p>
      <w:pPr>
        <w:spacing w:before="160" w:after="80"/>
      </w:pPr>
      <w:r>
        <w:rPr>
          <w:rFonts w:ascii="Helvetica" w:hAnsi="Helvetica"/>
          <w:b/>
          <w:sz w:val="24"/>
        </w:rPr>
        <w:t>Registro de enmiendas</w:t>
      </w:r>
    </w:p>
    <w:p>
      <w:pPr>
        <w:pStyle w:val="ListBullet"/>
      </w:pPr>
      <w:r>
        <w:rPr>
          <w:rFonts w:ascii="Helvetica" w:hAnsi="Helvetica"/>
          <w:sz w:val="22"/>
        </w:rPr>
        <w:t>v1.0 — Abril 2026: IPS fundacional.</w:t>
      </w:r>
    </w:p>
    <w:p>
      <w:pPr>
        <w:pStyle w:val="ListBullet"/>
      </w:pPr>
      <w:r>
        <w:rPr>
          <w:rFonts w:ascii="Helvetica" w:hAnsi="Helvetica"/>
          <w:sz w:val="22"/>
        </w:rPr>
        <w:t>v2.0 — Febrero 2026: ROIC marginal, metodologia, RBV, hurdle rate, monitoreo, retorno objetivo.</w:t>
      </w:r>
    </w:p>
    <w:p>
      <w:pPr>
        <w:pStyle w:val="ListBullet"/>
      </w:pPr>
      <w:r>
        <w:rPr>
          <w:rFonts w:ascii="Helvetica" w:hAnsi="Helvetica"/>
          <w:sz w:val="22"/>
        </w:rPr>
        <w:t>v3.0 — Febrero 2026: Absorcion del PCF. Reinversion de cash operativo.</w:t>
      </w:r>
    </w:p>
    <w:p>
      <w:pPr>
        <w:pStyle w:val="ListBullet"/>
      </w:pPr>
      <w:r>
        <w:rPr>
          <w:rFonts w:ascii="Helvetica" w:hAnsi="Helvetica"/>
          <w:sz w:val="22"/>
        </w:rPr>
        <w:t>v4.0 — Febrero 2026: Sizing, bandas ajustadas, benchmark escalonado, ROIC operativo, drawdown, rebalanceo, escalamiento.</w:t>
      </w:r>
    </w:p>
    <w:p>
      <w:pPr>
        <w:pStyle w:val="ListBullet"/>
      </w:pPr>
      <w:r>
        <w:rPr>
          <w:rFonts w:ascii="Helvetica" w:hAnsi="Helvetica"/>
          <w:sz w:val="22"/>
        </w:rPr>
        <w:t>v5.0 — Febrero 2026: Reorganizacion: universo y asignacion preceden renta variable. Posicionamiento simplificado.</w:t>
      </w:r>
    </w:p>
    <w:p>
      <w:pPr>
        <w:pStyle w:val="ListBullet"/>
      </w:pPr>
      <w:r>
        <w:rPr>
          <w:rFonts w:ascii="Helvetica" w:hAnsi="Helvetica"/>
          <w:sz w:val="22"/>
        </w:rPr>
        <w:t>v6.0 — Febrero 2026: Secciones 5-8 (calidad, valoracion, horizonte, monitoreo) y 11 (benchmark/retorno) consolidadas como subsecciones de 4.0 (Portafolio de renta variable). Gestion de riesgos clarificada como portafolio financiero. Concentracion por emisor explicita al portafolio financiero. Clausula de puerta abierta para criterios de otras clases de activo (seccion 3.2). Renumeracion a 8 secciones.</w:t>
      </w:r>
    </w:p>
    <w:p>
      <w:pPr>
        <w:pStyle w:val="ListBullet"/>
      </w:pPr>
      <w:r>
        <w:rPr>
          <w:rFonts w:ascii="Helvetica" w:hAnsi="Helvetica"/>
          <w:sz w:val="22"/>
        </w:rPr>
        <w:t>v7.0 — Febrero 2026: Seccion 4.6 (Motivos de salida): incorporacion del Position Close Memo como requisito para cierre total de posiciones y del Position Adjustment Memo para ajustes parciales (trims y adds). Seccion 4.7 (Protocolo de semaforos): referencia explicita al Position Adjustment Memo como vehiculo documental para trims derivados de semaforo rojo.</w:t>
      </w:r>
    </w:p>
    <w:p>
      <w:pPr>
        <w:pStyle w:val="ListBullet"/>
      </w:pPr>
      <w:r>
        <w:rPr>
          <w:rFonts w:ascii="Helvetica" w:hAnsi="Helvetica"/>
          <w:sz w:val="22"/>
        </w:rPr>
        <w:t>v8.0 — Abril 2026: Seccion 4.5 (Reglas de valoracion): distincion explicita entre margen de seguridad de precio (valor intrinseco vs. precio de mercado, minimo 20%) y margen de seguridad de retorno (retorno esperado vs. hurdle del arquetipo, 20% preferente). Ambos criterios deben evaluarse para toda posicion. Fechas fundacionales completadas. Version inicial para firma.</w:t>
      </w:r>
    </w:p>
    <w:p>
      <w:pPr>
        <w:pStyle w:val="ListBullet"/>
      </w:pPr>
      <w:r>
        <w:rPr>
          <w:rFonts w:ascii="Helvetica" w:hAnsi="Helvetica"/>
          <w:sz w:val="22"/>
        </w:rPr>
        <w:t>v9.0 — Abril 2026: Seccion 3.3: regimen transitorio para posiciones preexistentes. Seccion 6.0: criterios de seleccion para cripto institucional (universo elegible, custodia, concentracion, documentacion, criterios de salida). Seccion 7.0: criterios de seleccion para real estate (fondos open-ended core/core+, criterios minimos, horizonte, iliquidez, vehiculos no preferentes). Renumeracion de secciones 6-8 a 8-10.</w:t>
      </w:r>
    </w:p>
    <w:p>
      <w:pPr>
        <w:pStyle w:val="ListBullet"/>
      </w:pPr>
      <w:r>
        <w:rPr>
          <w:rFonts w:ascii="Helvetica" w:hAnsi="Helvetica"/>
          <w:sz w:val="22"/>
        </w:rPr>
        <w:t>v10.0 — Mayo 2026: Alineacion del IPS con el proceso de inversion consolidado en Operations Manual v3.5. Cambios: (1) §4.6 reescrita como "Horizonte, decisiones del comite y reglas de salida"; incorpora formalmente las cuatro decisiones del Comite de Inversiones (BUY / FOLLOW / PASS / SELL) con identico estandar documental, formaliza la diferencia material entre PASS (descarte razonado) y FOLLOW (tesis valida en seguimiento), y agrega el Decision Journal como registro vivo de las decisiones del comite y fuente de verdad operativa; (2) §4.7 Entregables de monitoreo reemplaza Investment Fact Sheet (IFS), Scorecard de posicion y Desconfirmacion independiente por el Quarterly Re-Underwriting de ocho secciones, alineado al ciclo 10-K/10-Q. La desconfirmacion se documenta ahora como parte integral del Re-Underwriting (Thesis Tracking y Premortem Tracking). El Dashboard agregado se mantiene como entregable de monitoreo.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