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sz w:val="40"/>
        </w:rPr>
        <w:t>DCE HOLDINGS</w:t>
      </w:r>
    </w:p>
    <w:p>
      <w:pPr>
        <w:jc w:val="center"/>
      </w:pPr>
      <w:r>
        <w:rPr>
          <w:rFonts w:ascii="Helvetica" w:hAnsi="Helvetica"/>
          <w:b/>
          <w:sz w:val="32"/>
        </w:rPr>
        <w:t>INVESTMENT CHARTER</w:t>
      </w:r>
    </w:p>
    <w:p>
      <w:pPr>
        <w:jc w:val="center"/>
      </w:pPr>
      <w:r>
        <w:rPr>
          <w:rFonts w:ascii="Helvetica" w:hAnsi="Helvetica"/>
          <w:b w:val="0"/>
          <w:sz w:val="22"/>
        </w:rPr>
        <w:t>Version 3.1 — Mayo 2026</w:t>
      </w:r>
    </w:p>
    <w:p>
      <w:pPr>
        <w:spacing w:before="240" w:after="120"/>
      </w:pPr>
      <w:r>
        <w:rPr>
          <w:rFonts w:ascii="Helvetica" w:hAnsi="Helvetica"/>
          <w:b/>
          <w:sz w:val="28"/>
        </w:rPr>
        <w:t>1.0  Naturaleza y Proposito de DCE Holdings</w:t>
      </w:r>
    </w:p>
    <w:p>
      <w:pPr>
        <w:spacing w:before="160" w:after="80"/>
      </w:pPr>
      <w:r>
        <w:rPr>
          <w:rFonts w:ascii="Helvetica" w:hAnsi="Helvetica"/>
          <w:b/>
          <w:sz w:val="24"/>
        </w:rPr>
        <w:t>1.1  Naturaleza del holding</w:t>
      </w:r>
    </w:p>
    <w:p>
      <w:pPr>
        <w:spacing w:after="120"/>
      </w:pPr>
      <w:r>
        <w:rPr>
          <w:rFonts w:ascii="Helvetica" w:hAnsi="Helvetica"/>
          <w:sz w:val="22"/>
        </w:rPr>
        <w:t>DCE Holdings es un holding patrimonial que opera como oficina de inversion, dedicada a la preservacion y crecimiento disciplinado del patrimonio familiar mediante una asignacion estrategica de capital. El holding funciona como plataforma central de inversion, integrando activos financieros y participaciones en negocios operativos bajo un marco de gobierno coherente y sostenible.</w:t>
      </w:r>
    </w:p>
    <w:p>
      <w:pPr>
        <w:spacing w:before="160" w:after="80"/>
      </w:pPr>
      <w:r>
        <w:rPr>
          <w:rFonts w:ascii="Helvetica" w:hAnsi="Helvetica"/>
          <w:b/>
          <w:sz w:val="24"/>
        </w:rPr>
        <w:t>1.2  Proposito estrategico</w:t>
      </w:r>
    </w:p>
    <w:p>
      <w:pPr>
        <w:spacing w:after="120"/>
      </w:pPr>
      <w:r>
        <w:rPr>
          <w:rFonts w:ascii="Helvetica" w:hAnsi="Helvetica"/>
          <w:sz w:val="22"/>
        </w:rPr>
        <w:t>El objetivo fundamental de DCE Holdings es preservar y componer el patrimonio familiar a traves de generaciones mediante la asignacion disciplinada de capital en negocios de alta calidad economica.</w:t>
      </w:r>
    </w:p>
    <w:p>
      <w:pPr>
        <w:spacing w:before="160" w:after="80"/>
      </w:pPr>
      <w:r>
        <w:rPr>
          <w:rFonts w:ascii="Helvetica" w:hAnsi="Helvetica"/>
          <w:b/>
          <w:sz w:val="24"/>
        </w:rPr>
        <w:t>1.3  Horizonte temporal</w:t>
      </w:r>
    </w:p>
    <w:p>
      <w:pPr>
        <w:spacing w:after="120"/>
      </w:pPr>
      <w:r>
        <w:rPr>
          <w:rFonts w:ascii="Helvetica" w:hAnsi="Helvetica"/>
          <w:sz w:val="22"/>
        </w:rPr>
        <w:t>El horizonte de inversion del holding es perpetuo. Las decisiones se toman con una perspectiva intergeneracional, priorizando estrategias que fortalezcan la acumulacion compuesta de valor y evitando enfoques oportunistas o presionados por ciclos de corto plazo.</w:t>
      </w:r>
    </w:p>
    <w:p>
      <w:pPr>
        <w:spacing w:before="160" w:after="80"/>
      </w:pPr>
      <w:r>
        <w:rPr>
          <w:rFonts w:ascii="Helvetica" w:hAnsi="Helvetica"/>
          <w:b/>
          <w:sz w:val="24"/>
        </w:rPr>
        <w:t>1.4  Moneda funcional</w:t>
      </w:r>
    </w:p>
    <w:p>
      <w:pPr>
        <w:spacing w:after="120"/>
      </w:pPr>
      <w:r>
        <w:rPr>
          <w:rFonts w:ascii="Helvetica" w:hAnsi="Helvetica"/>
          <w:sz w:val="22"/>
        </w:rPr>
        <w:t>La moneda funcional de DCE Holdings es el dolar estadounidense (USD). Todas las decisiones de inversion, reportes, metricas y valorizaciones institucionales se expresaran en USD.</w:t>
      </w:r>
    </w:p>
    <w:p>
      <w:pPr>
        <w:spacing w:before="160" w:after="80"/>
      </w:pPr>
      <w:r>
        <w:rPr>
          <w:rFonts w:ascii="Helvetica" w:hAnsi="Helvetica"/>
          <w:b/>
          <w:sz w:val="24"/>
        </w:rPr>
        <w:t>1.5  Relacion con las empresas operativas</w:t>
      </w:r>
    </w:p>
    <w:p>
      <w:pPr>
        <w:spacing w:after="120"/>
      </w:pPr>
      <w:r>
        <w:rPr>
          <w:rFonts w:ascii="Helvetica" w:hAnsi="Helvetica"/>
          <w:sz w:val="22"/>
        </w:rPr>
        <w:t>Las empresas operativas se gestionan de forma independiente en su operacion diaria, pero forman parte del perimetro patrimonial consolidado de DCE Holdings. Cada empresa mantiene su mision corporativa y estrategia propias. El Charter de DCE Holdings no las sustituye ni las replica. Desde su rol de holding, DCE Holdings integra dichas participaciones como vehiculos de asignacion de capital y las evalua bajo los principios institucionales definidos en este Charter y en el Investment Policy Statement. Los criterios de evaluacion aplicables a las participaciones en empresas operativas podran diferir de los establecidos para el portafolio de inversion financiera, reconociendo su funcion patrimonial distinta. El Investment Policy Statement definira dichas distinciones.</w:t>
      </w:r>
    </w:p>
    <w:p>
      <w:pPr>
        <w:spacing w:before="240" w:after="120"/>
      </w:pPr>
      <w:r>
        <w:rPr>
          <w:rFonts w:ascii="Helvetica" w:hAnsi="Helvetica"/>
          <w:b/>
          <w:sz w:val="28"/>
        </w:rPr>
        <w:t>2.0  Filosofia de Inversion y Principios Rectores</w:t>
      </w:r>
    </w:p>
    <w:p>
      <w:pPr>
        <w:spacing w:before="160" w:after="80"/>
      </w:pPr>
      <w:r>
        <w:rPr>
          <w:rFonts w:ascii="Helvetica" w:hAnsi="Helvetica"/>
          <w:b/>
          <w:sz w:val="24"/>
        </w:rPr>
        <w:t>2.1  Filosofia general</w:t>
      </w:r>
    </w:p>
    <w:p>
      <w:pPr>
        <w:spacing w:after="120"/>
      </w:pPr>
      <w:r>
        <w:rPr>
          <w:rFonts w:ascii="Helvetica" w:hAnsi="Helvetica"/>
          <w:sz w:val="22"/>
        </w:rPr>
        <w:t>DCE Holdings adopta una filosofia de inversion centrada en la calidad economica de los negocios, la sostenibilidad de sus fundamentos y la alineacion con la mentalidad de propietario. El analisis enfatiza la busqueda de modelos con atractivos retornos sobre capital, ventajas competitivas duraderas y estructuras financieras prudentes.</w:t>
      </w:r>
    </w:p>
    <w:p>
      <w:pPr>
        <w:spacing w:before="160" w:after="80"/>
      </w:pPr>
      <w:r>
        <w:rPr>
          <w:rFonts w:ascii="Helvetica" w:hAnsi="Helvetica"/>
          <w:b/>
          <w:sz w:val="24"/>
        </w:rPr>
        <w:t>2.2  Principios rectores</w:t>
      </w:r>
    </w:p>
    <w:p>
      <w:pPr>
        <w:spacing w:after="120"/>
      </w:pPr>
      <w:r>
        <w:rPr>
          <w:rFonts w:ascii="Helvetica" w:hAnsi="Helvetica"/>
          <w:sz w:val="22"/>
        </w:rPr>
        <w:t>El comportamiento institucional y la toma de decisiones se rigen por los siguientes principios:</w:t>
      </w:r>
    </w:p>
    <w:p>
      <w:pPr>
        <w:pStyle w:val="ListBullet"/>
      </w:pPr>
      <w:r>
        <w:rPr>
          <w:rFonts w:ascii="Helvetica" w:hAnsi="Helvetica"/>
          <w:sz w:val="22"/>
        </w:rPr>
        <w:t>Disciplina en la ejecucion y el proceso.</w:t>
      </w:r>
    </w:p>
    <w:p>
      <w:pPr>
        <w:pStyle w:val="ListBullet"/>
      </w:pPr>
      <w:r>
        <w:rPr>
          <w:rFonts w:ascii="Helvetica" w:hAnsi="Helvetica"/>
          <w:sz w:val="22"/>
        </w:rPr>
        <w:t>Humildad intelectual en la revision de supuestos.</w:t>
      </w:r>
    </w:p>
    <w:p>
      <w:pPr>
        <w:pStyle w:val="ListBullet"/>
      </w:pPr>
      <w:r>
        <w:rPr>
          <w:rFonts w:ascii="Helvetica" w:hAnsi="Helvetica"/>
          <w:sz w:val="22"/>
        </w:rPr>
        <w:t>Prudencia financiera como estandar permanente.</w:t>
      </w:r>
    </w:p>
    <w:p>
      <w:pPr>
        <w:pStyle w:val="ListBullet"/>
      </w:pPr>
      <w:r>
        <w:rPr>
          <w:rFonts w:ascii="Helvetica" w:hAnsi="Helvetica"/>
          <w:sz w:val="22"/>
        </w:rPr>
        <w:t>Vision de largo plazo en todas las decisiones patrimoniales.</w:t>
      </w:r>
    </w:p>
    <w:p>
      <w:pPr>
        <w:pStyle w:val="ListBullet"/>
      </w:pPr>
      <w:r>
        <w:rPr>
          <w:rFonts w:ascii="Helvetica" w:hAnsi="Helvetica"/>
          <w:sz w:val="22"/>
        </w:rPr>
        <w:t>Pensamiento de dueno en la evaluacion de oportunidades.</w:t>
      </w:r>
    </w:p>
    <w:p>
      <w:pPr>
        <w:spacing w:before="160" w:after="80"/>
      </w:pPr>
      <w:r>
        <w:rPr>
          <w:rFonts w:ascii="Helvetica" w:hAnsi="Helvetica"/>
          <w:b/>
          <w:sz w:val="24"/>
        </w:rPr>
        <w:t>2.3  Enfoque de valoracion</w:t>
      </w:r>
    </w:p>
    <w:p>
      <w:pPr>
        <w:spacing w:after="120"/>
      </w:pPr>
      <w:r>
        <w:rPr>
          <w:rFonts w:ascii="Helvetica" w:hAnsi="Helvetica"/>
          <w:sz w:val="22"/>
        </w:rPr>
        <w:t>Toda decision de inversion requiere una valoracion intrinseca documentada que demuestre un margen de seguridad adecuado. Las metodologias de valoracion, parametros cuantitativos y umbrales aplicables se definen en el Investment Policy Statement.</w:t>
      </w:r>
    </w:p>
    <w:p>
      <w:pPr>
        <w:spacing w:before="160" w:after="80"/>
      </w:pPr>
      <w:r>
        <w:rPr>
          <w:rFonts w:ascii="Helvetica" w:hAnsi="Helvetica"/>
          <w:b/>
          <w:sz w:val="24"/>
        </w:rPr>
        <w:t>2.4  Disciplina conductual</w:t>
      </w:r>
    </w:p>
    <w:p>
      <w:pPr>
        <w:spacing w:after="120"/>
      </w:pPr>
      <w:r>
        <w:rPr>
          <w:rFonts w:ascii="Helvetica" w:hAnsi="Helvetica"/>
          <w:sz w:val="22"/>
        </w:rPr>
        <w:t>El proceso de inversion incorporara mecanismos sistematicos de mitigacion de sesgos conductuales. La existencia y aplicacion de dichos mecanismos es obligatoria; su diseno, periodicidad y detalle operativo se definen en el Investment Policy Statement y en los manuales correspondientes.</w:t>
      </w:r>
    </w:p>
    <w:p>
      <w:pPr>
        <w:spacing w:before="240" w:after="120"/>
      </w:pPr>
      <w:r>
        <w:rPr>
          <w:rFonts w:ascii="Helvetica" w:hAnsi="Helvetica"/>
          <w:b/>
          <w:sz w:val="28"/>
        </w:rPr>
        <w:t>3.0  Gobierno Corporativo de DCE Holdings</w:t>
      </w:r>
    </w:p>
    <w:p>
      <w:pPr>
        <w:spacing w:before="160" w:after="80"/>
      </w:pPr>
      <w:r>
        <w:rPr>
          <w:rFonts w:ascii="Helvetica" w:hAnsi="Helvetica"/>
          <w:b/>
          <w:sz w:val="24"/>
        </w:rPr>
        <w:t>3.1  Comite de Inversiones (CI)</w:t>
      </w:r>
    </w:p>
    <w:p>
      <w:pPr>
        <w:spacing w:after="120"/>
      </w:pPr>
      <w:r>
        <w:rPr>
          <w:rFonts w:ascii="Helvetica" w:hAnsi="Helvetica"/>
          <w:sz w:val="22"/>
        </w:rPr>
        <w:t>El CI es el organo de supervision estrategica del marco de inversion. Su funcion es evaluar la coherencia del portafolio con el Investment Policy Statement, supervisar los riesgos relevantes, revisar tesis deterioradas y analizar cambios estrategicos de asignacion de activos.</w:t>
      </w:r>
    </w:p>
    <w:p>
      <w:pPr>
        <w:spacing w:after="120"/>
      </w:pPr>
      <w:r>
        <w:rPr>
          <w:rFonts w:ascii="Helvetica" w:hAnsi="Helvetica"/>
          <w:sz w:val="22"/>
        </w:rPr>
        <w:t>Entre sus responsabilidades principales se encuentran:</w:t>
      </w:r>
    </w:p>
    <w:p>
      <w:pPr>
        <w:pStyle w:val="ListBullet"/>
      </w:pPr>
      <w:r>
        <w:rPr>
          <w:rFonts w:ascii="Helvetica" w:hAnsi="Helvetica"/>
          <w:sz w:val="22"/>
        </w:rPr>
        <w:t>Supervisar el desempeno consolidado del portafolio.</w:t>
      </w:r>
    </w:p>
    <w:p>
      <w:pPr>
        <w:pStyle w:val="ListBullet"/>
      </w:pPr>
      <w:r>
        <w:rPr>
          <w:rFonts w:ascii="Helvetica" w:hAnsi="Helvetica"/>
          <w:sz w:val="22"/>
        </w:rPr>
        <w:t>Revisar riesgos de concentracion, liquidez, iliquidez y contraparte.</w:t>
      </w:r>
    </w:p>
    <w:p>
      <w:pPr>
        <w:pStyle w:val="ListBullet"/>
      </w:pPr>
      <w:r>
        <w:rPr>
          <w:rFonts w:ascii="Helvetica" w:hAnsi="Helvetica"/>
          <w:sz w:val="22"/>
        </w:rPr>
        <w:t>Evaluar propuestas estrategicas del Executive Chairman &amp; CIO.</w:t>
      </w:r>
    </w:p>
    <w:p>
      <w:pPr>
        <w:pStyle w:val="ListBullet"/>
      </w:pPr>
      <w:r>
        <w:rPr>
          <w:rFonts w:ascii="Helvetica" w:hAnsi="Helvetica"/>
          <w:sz w:val="22"/>
        </w:rPr>
        <w:t>Analizar temas de deterioro estructural en las tesis.</w:t>
      </w:r>
    </w:p>
    <w:p>
      <w:pPr>
        <w:pStyle w:val="ListBullet"/>
      </w:pPr>
      <w:r>
        <w:rPr>
          <w:rFonts w:ascii="Helvetica" w:hAnsi="Helvetica"/>
          <w:sz w:val="22"/>
        </w:rPr>
        <w:t>Verificar el cumplimiento de los mecanismos de disciplina conductual establecidos en la seccion 2.4.</w:t>
      </w:r>
    </w:p>
    <w:p>
      <w:pPr>
        <w:spacing w:after="120"/>
      </w:pPr>
      <w:r>
        <w:rPr>
          <w:rFonts w:ascii="Helvetica" w:hAnsi="Helvetica"/>
          <w:sz w:val="22"/>
        </w:rPr>
        <w:t>El Comite podra convocar a expertos independientes cuando la naturaleza de los temas lo requiera. El detalle procedimental del funcionamiento del Comite de Inversiones se encuentra regulado en el Governance &amp; Succession Framework.</w:t>
      </w:r>
    </w:p>
    <w:p>
      <w:pPr>
        <w:spacing w:before="160" w:after="80"/>
      </w:pPr>
      <w:r>
        <w:rPr>
          <w:rFonts w:ascii="Helvetica" w:hAnsi="Helvetica"/>
          <w:b/>
          <w:sz w:val="24"/>
        </w:rPr>
        <w:t>3.2  Executive Chairman &amp; Chief Investment Officer (CIO)</w:t>
      </w:r>
    </w:p>
    <w:p>
      <w:pPr>
        <w:spacing w:after="120"/>
      </w:pPr>
      <w:r>
        <w:rPr>
          <w:rFonts w:ascii="Helvetica" w:hAnsi="Helvetica"/>
          <w:sz w:val="22"/>
        </w:rPr>
        <w:t>El Executive Chairman &amp; CIO es el responsable ultimo del marco estrategico de inversion, la asignacion de capital, la supervision del riesgo y la integridad del proceso de toma de decisiones. Lidera la vision del holding, preside el Comite de Inversiones y asegura la coherencia entre la filosofia institucional y la ejecucion practica.</w:t>
      </w:r>
    </w:p>
    <w:p>
      <w:pPr>
        <w:spacing w:before="160" w:after="80"/>
      </w:pPr>
      <w:r>
        <w:rPr>
          <w:rFonts w:ascii="Helvetica" w:hAnsi="Helvetica"/>
          <w:b/>
          <w:sz w:val="24"/>
        </w:rPr>
        <w:t>3.3  Rol analitico senior</w:t>
      </w:r>
    </w:p>
    <w:p>
      <w:pPr>
        <w:spacing w:after="120"/>
      </w:pPr>
      <w:r>
        <w:rPr>
          <w:rFonts w:ascii="Helvetica" w:hAnsi="Helvetica"/>
          <w:sz w:val="22"/>
        </w:rPr>
        <w:t>El holding cuenta con un rol analitico senior responsable de las funciones tecnicas de analisis e investigacion: calidad metodologica, desarrollo de tesis, modelaje, supervision del area de analisis y produccion de los entregables institucionales del proceso de inversion.</w:t>
      </w:r>
    </w:p>
    <w:p>
      <w:pPr>
        <w:spacing w:after="120"/>
      </w:pPr>
      <w:r>
        <w:rPr>
          <w:rFonts w:ascii="Helvetica" w:hAnsi="Helvetica"/>
          <w:sz w:val="22"/>
        </w:rPr>
        <w:t>En su configuracion futura, este rol se denomina Director of Investment Research. Durante el regimen transitorio 2026, mientras el holding opera con una estructura de dos personas y un perfil analitico unico, este rol es desempenado por el Investment Associate, quien absorbe las responsabilidades del Director of Investment Research bajo supervision directa del CIO. La trayectoria de evolucion del Associate hacia Director of Investment Research se activara cuando el holding incorpore un segundo perfil analitico al equipo. El detalle operativo de esta estructura se regula en el Operations Manual.</w:t>
      </w:r>
    </w:p>
    <w:p>
      <w:pPr>
        <w:spacing w:before="160" w:after="80"/>
      </w:pPr>
      <w:r>
        <w:rPr>
          <w:rFonts w:ascii="Helvetica" w:hAnsi="Helvetica"/>
          <w:b/>
          <w:sz w:val="24"/>
        </w:rPr>
        <w:t>3.4  Area de Analisis</w:t>
      </w:r>
    </w:p>
    <w:p>
      <w:pPr>
        <w:spacing w:after="120"/>
      </w:pPr>
      <w:r>
        <w:rPr>
          <w:rFonts w:ascii="Helvetica" w:hAnsi="Helvetica"/>
          <w:sz w:val="22"/>
        </w:rPr>
        <w:t>El area de analisis provee soporte tecnico al rol analitico senior y contribuye al modelaje financiero, benchmarking, mantenimiento de informacion y analisis sectorial necesarios para respaldar las decisiones de inversion. Bajo el regimen transitorio 2026, el area de analisis esta integrada por una unica persona (el Investment Associate) que ejerce ambas funciones de forma combinada. La estructura de esta area puede ampliarse o reconfigurarse conforme evolucione la escala del holding sin necesidad de modificar el Charter.</w:t>
      </w:r>
    </w:p>
    <w:p>
      <w:pPr>
        <w:spacing w:before="240" w:after="120"/>
      </w:pPr>
      <w:r>
        <w:rPr>
          <w:rFonts w:ascii="Helvetica" w:hAnsi="Helvetica"/>
          <w:b/>
          <w:sz w:val="28"/>
        </w:rPr>
        <w:t>4.0  Materias Reservadas y Delegacion de Autoridad</w:t>
      </w:r>
    </w:p>
    <w:p>
      <w:pPr>
        <w:spacing w:before="160" w:after="80"/>
      </w:pPr>
      <w:r>
        <w:rPr>
          <w:rFonts w:ascii="Helvetica" w:hAnsi="Helvetica"/>
          <w:b/>
          <w:sz w:val="24"/>
        </w:rPr>
        <w:t>4.1  Materias Reservadas del Executive Chairman &amp; CIO</w:t>
      </w:r>
    </w:p>
    <w:p>
      <w:pPr>
        <w:spacing w:after="120"/>
      </w:pPr>
      <w:r>
        <w:rPr>
          <w:rFonts w:ascii="Helvetica" w:hAnsi="Helvetica"/>
          <w:sz w:val="22"/>
        </w:rPr>
        <w:t>Corresponden exclusivamente al Executive Chairman &amp; CIO las siguientes decisiones:</w:t>
      </w:r>
    </w:p>
    <w:p>
      <w:pPr>
        <w:pStyle w:val="ListBullet"/>
      </w:pPr>
      <w:r>
        <w:rPr>
          <w:rFonts w:ascii="Helvetica" w:hAnsi="Helvetica"/>
          <w:sz w:val="22"/>
        </w:rPr>
        <w:t>Definicion de nuevas clases de activos o cambios estructurales en el universo de inversion.</w:t>
      </w:r>
    </w:p>
    <w:p>
      <w:pPr>
        <w:pStyle w:val="ListBullet"/>
      </w:pPr>
      <w:r>
        <w:rPr>
          <w:rFonts w:ascii="Helvetica" w:hAnsi="Helvetica"/>
          <w:sz w:val="22"/>
        </w:rPr>
        <w:t>Aprobacion de toda inversion o desinversion (doble firma obligatoria; ver seccion 4.3).</w:t>
      </w:r>
    </w:p>
    <w:p>
      <w:pPr>
        <w:pStyle w:val="ListBullet"/>
      </w:pPr>
      <w:r>
        <w:rPr>
          <w:rFonts w:ascii="Helvetica" w:hAnsi="Helvetica"/>
          <w:sz w:val="22"/>
        </w:rPr>
        <w:t>Cambios en la estructura juridica, custodios, banca privada o arquitectura fiscal.</w:t>
      </w:r>
    </w:p>
    <w:p>
      <w:pPr>
        <w:pStyle w:val="ListBullet"/>
      </w:pPr>
      <w:r>
        <w:rPr>
          <w:rFonts w:ascii="Helvetica" w:hAnsi="Helvetica"/>
          <w:sz w:val="22"/>
        </w:rPr>
        <w:t>Definicion y modificacion de las politicas de riesgo y liquidez.</w:t>
      </w:r>
    </w:p>
    <w:p>
      <w:pPr>
        <w:pStyle w:val="ListBullet"/>
      </w:pPr>
      <w:r>
        <w:rPr>
          <w:rFonts w:ascii="Helvetica" w:hAnsi="Helvetica"/>
          <w:sz w:val="22"/>
        </w:rPr>
        <w:t>Aprobacion del Operations Manual.</w:t>
      </w:r>
    </w:p>
    <w:p>
      <w:pPr>
        <w:pStyle w:val="ListBullet"/>
      </w:pPr>
      <w:r>
        <w:rPr>
          <w:rFonts w:ascii="Helvetica" w:hAnsi="Helvetica"/>
          <w:sz w:val="22"/>
        </w:rPr>
        <w:t>Modificacion del Investment Charter y del Investment Policy Statement.</w:t>
      </w:r>
    </w:p>
    <w:p>
      <w:pPr>
        <w:spacing w:after="120"/>
      </w:pPr>
      <w:r>
        <w:rPr>
          <w:rFonts w:ascii="Helvetica" w:hAnsi="Helvetica"/>
          <w:sz w:val="22"/>
        </w:rPr>
        <w:t>No obstante, las materias relacionadas con gobernanza, sucesion, continuidad institucional y composicion del Comite de Inversiones no podran ser modificadas unilateralmente por el CIO y requeriran aprobacion unanime del Comite de Inversiones.</w:t>
      </w:r>
    </w:p>
    <w:p>
      <w:pPr>
        <w:spacing w:before="160" w:after="80"/>
      </w:pPr>
      <w:r>
        <w:rPr>
          <w:rFonts w:ascii="Helvetica" w:hAnsi="Helvetica"/>
          <w:b/>
          <w:sz w:val="24"/>
        </w:rPr>
        <w:t>4.2  Delegacion funcional</w:t>
      </w:r>
    </w:p>
    <w:p>
      <w:pPr>
        <w:spacing w:after="120"/>
      </w:pPr>
      <w:r>
        <w:rPr>
          <w:rFonts w:ascii="Helvetica" w:hAnsi="Helvetica"/>
          <w:sz w:val="22"/>
        </w:rPr>
        <w:t>El rol analitico senior (Director of Investment Research en estructura objetivo, Investment Associate en regimen transitorio 2026 conforme a la seccion 3.3) es responsable de dirigir el area de analisis y preparar la informacion tecnica necesaria para respaldar decisiones de inversion. El area de analisis ejecuta el modelaje financiero, benchmarking y documentacion operativa. La estructura, cantidad y composicion del personal operativo podran ajustarse libremente sin que ello implique modificaciones al presente Charter.</w:t>
      </w:r>
    </w:p>
    <w:p>
      <w:pPr>
        <w:spacing w:before="160" w:after="80"/>
      </w:pPr>
      <w:r>
        <w:rPr>
          <w:rFonts w:ascii="Helvetica" w:hAnsi="Helvetica"/>
          <w:b/>
          <w:sz w:val="24"/>
        </w:rPr>
        <w:t>4.3  Regimen transitorio de doble firma</w:t>
      </w:r>
    </w:p>
    <w:p>
      <w:pPr>
        <w:spacing w:after="120"/>
      </w:pPr>
      <w:r>
        <w:rPr>
          <w:rFonts w:ascii="Helvetica" w:hAnsi="Helvetica"/>
          <w:sz w:val="22"/>
        </w:rPr>
        <w:t>El requisito de doble firma para toda inversion o desinversion se aplicara entre el Executive Chairman &amp; CIO y el Director of Investment Research como co-firmantes naturales en estructura objetivo. En tanto el holding no cuente con un Director of Investment Research independiente, sea porque ambos roles recaigan en la misma persona fisica o porque opere bajo el regimen transitorio 2026 con un Investment Associate unico que no tiene autoridad de firma sobre decisiones de inversion, el Operations Manual establecera el mecanismo alternativo de documentacion y control que preserve el espiritu del requisito. Dicho mecanismo debera incluir, como minimo, un memo firmado por el CIO para cada decision de inversion o desinversion, archivado en el Data Room, y ratificado por el Comite de Inversiones en su siguiente reunion ordinaria. Esta clausula transitoria expirara automaticamente cuando el rol de Director of Investment Research sea ocupado por una persona distinta al CIO.</w:t>
      </w:r>
    </w:p>
    <w:p>
      <w:pPr>
        <w:spacing w:before="240" w:after="120"/>
      </w:pPr>
      <w:r>
        <w:rPr>
          <w:rFonts w:ascii="Helvetica" w:hAnsi="Helvetica"/>
          <w:b/>
          <w:sz w:val="28"/>
        </w:rPr>
        <w:t>5.0  Marco Documental y Jerarquia Normativa</w:t>
      </w:r>
    </w:p>
    <w:p>
      <w:pPr>
        <w:spacing w:before="160" w:after="80"/>
      </w:pPr>
      <w:r>
        <w:rPr>
          <w:rFonts w:ascii="Helvetica" w:hAnsi="Helvetica"/>
          <w:b/>
          <w:sz w:val="24"/>
        </w:rPr>
        <w:t>5.1  Jerarquia normativa del proceso de inversion</w:t>
      </w:r>
    </w:p>
    <w:p>
      <w:pPr>
        <w:spacing w:after="120"/>
      </w:pPr>
      <w:r>
        <w:rPr>
          <w:rFonts w:ascii="Helvetica" w:hAnsi="Helvetica"/>
          <w:sz w:val="22"/>
        </w:rPr>
        <w:t>El proceso de inversion de DCE Holdings se rige por la siguiente jerarquia documental:</w:t>
      </w:r>
    </w:p>
    <w:p>
      <w:pPr>
        <w:pStyle w:val="ListBullet"/>
      </w:pPr>
      <w:r>
        <w:rPr>
          <w:rFonts w:ascii="Helvetica" w:hAnsi="Helvetica"/>
          <w:sz w:val="22"/>
        </w:rPr>
        <w:t>1.  Investment Charter</w:t>
      </w:r>
    </w:p>
    <w:p>
      <w:pPr>
        <w:pStyle w:val="ListBullet"/>
      </w:pPr>
      <w:r>
        <w:rPr>
          <w:rFonts w:ascii="Helvetica" w:hAnsi="Helvetica"/>
          <w:sz w:val="22"/>
        </w:rPr>
        <w:t>2.  Investment Policy Statement (IPS)</w:t>
      </w:r>
    </w:p>
    <w:p>
      <w:pPr>
        <w:pStyle w:val="ListBullet"/>
      </w:pPr>
      <w:r>
        <w:rPr>
          <w:rFonts w:ascii="Helvetica" w:hAnsi="Helvetica"/>
          <w:sz w:val="22"/>
        </w:rPr>
        <w:t>3.  Operations Manual</w:t>
      </w:r>
    </w:p>
    <w:p>
      <w:pPr>
        <w:spacing w:after="120"/>
      </w:pPr>
      <w:r>
        <w:rPr>
          <w:rFonts w:ascii="Helvetica" w:hAnsi="Helvetica"/>
          <w:sz w:val="22"/>
        </w:rPr>
        <w:t>Adicionalmente, el ecosistema institucional incluye el Governance &amp; Succession Framework, que regula la gobernanza, sucesion y continuidad del holding, y el Provider &amp; Infrastructure Directory, que consolida la infraestructura operativa. Ambos documentos operan en sus respectivos dominios y no forman parte de la jerarquia del proceso de inversion. Estos documentos constituyen el cuerpo normativo integral del holding y deberan mantenerse actualizados en el Data Room institucional.</w:t>
      </w:r>
    </w:p>
    <w:p>
      <w:pPr>
        <w:spacing w:before="160" w:after="80"/>
      </w:pPr>
      <w:r>
        <w:rPr>
          <w:rFonts w:ascii="Helvetica" w:hAnsi="Helvetica"/>
          <w:b/>
          <w:sz w:val="24"/>
        </w:rPr>
        <w:t>5.2  Prelacion en caso de conflicto</w:t>
      </w:r>
    </w:p>
    <w:p>
      <w:pPr>
        <w:spacing w:after="120"/>
      </w:pPr>
      <w:r>
        <w:rPr>
          <w:rFonts w:ascii="Helvetica" w:hAnsi="Helvetica"/>
          <w:sz w:val="22"/>
        </w:rPr>
        <w:t>En caso de conflicto entre documentos, prevalece el de mayor jerarquia: Charter sobre IPS, IPS sobre Operations Manual.</w:t>
      </w:r>
    </w:p>
    <w:p>
      <w:pPr>
        <w:spacing w:before="160" w:after="80"/>
      </w:pPr>
      <w:r>
        <w:rPr>
          <w:rFonts w:ascii="Helvetica" w:hAnsi="Helvetica"/>
          <w:b/>
          <w:sz w:val="24"/>
        </w:rPr>
        <w:t>5.3  Reglas de archivo</w:t>
      </w:r>
    </w:p>
    <w:p>
      <w:pPr>
        <w:spacing w:after="120"/>
      </w:pPr>
      <w:r>
        <w:rPr>
          <w:rFonts w:ascii="Helvetica" w:hAnsi="Helvetica"/>
          <w:sz w:val="22"/>
        </w:rPr>
        <w:t>Todos los documentos, asi como sus versiones historicas y las actas del Comite de Inversiones, deberan conservarse en el Data Room con trazabilidad y control de versiones.</w:t>
      </w:r>
    </w:p>
    <w:p>
      <w:pPr>
        <w:spacing w:before="240" w:after="120"/>
      </w:pPr>
      <w:r>
        <w:rPr>
          <w:rFonts w:ascii="Helvetica" w:hAnsi="Helvetica"/>
          <w:b/>
          <w:sz w:val="28"/>
        </w:rPr>
        <w:t>6.0  Sucesion de la Autoridad del Charter</w:t>
      </w:r>
    </w:p>
    <w:p>
      <w:pPr>
        <w:spacing w:after="120"/>
      </w:pPr>
      <w:r>
        <w:rPr>
          <w:rFonts w:ascii="Helvetica" w:hAnsi="Helvetica"/>
          <w:sz w:val="22"/>
        </w:rPr>
        <w:t>En caso de ausencia definitiva del Executive Chairman &amp; CIO, el rol sera asumido por el Successor Chairman designado en los instrumentos sucesorios correspondientes. La ejecucion transitoria de la politica de inversion y la supervision del proceso recaeran en el Comite de Inversiones, conforme al Governance &amp; Succession Framework del holding.</w:t>
      </w:r>
    </w:p>
    <w:p>
      <w:pPr>
        <w:spacing w:after="120"/>
      </w:pPr>
      <w:r>
        <w:rPr>
          <w:rFonts w:ascii="Helvetica" w:hAnsi="Helvetica"/>
          <w:sz w:val="22"/>
        </w:rPr>
        <w:t>La sucesion del CIO se regira integramente por las disposiciones establecidas en el Governance &amp; Succession Framework, que constituye la referencia normativa principal en todos los procesos de sucesion.</w:t>
      </w:r>
    </w:p>
    <w:p>
      <w:pPr>
        <w:spacing w:before="240" w:after="120"/>
      </w:pPr>
      <w:r>
        <w:rPr>
          <w:rFonts w:ascii="Helvetica" w:hAnsi="Helvetica"/>
          <w:b/>
          <w:sz w:val="28"/>
        </w:rPr>
        <w:t>7.0  Modificacion del Charter</w:t>
      </w:r>
    </w:p>
    <w:p>
      <w:pPr>
        <w:spacing w:after="120"/>
      </w:pPr>
      <w:r>
        <w:rPr>
          <w:rFonts w:ascii="Helvetica" w:hAnsi="Helvetica"/>
          <w:sz w:val="22"/>
        </w:rPr>
        <w:t>Cualquier modificacion al Charter debera ser propuesta por el Executive Chairman &amp; CIO y presentada al Comite de Inversiones para su revision y comentarios. La aprobacion final correspondera exclusivamente al Executive Chairman &amp; CIO, quedando el cambio registrado en el Data Room.</w:t>
      </w:r>
    </w:p>
    <w:p>
      <w:pPr>
        <w:spacing w:after="120"/>
      </w:pPr>
      <w:r>
        <w:rPr>
          <w:rFonts w:ascii="Helvetica" w:hAnsi="Helvetica"/>
          <w:sz w:val="22"/>
        </w:rPr>
        <w:t>Las secciones 2.3 (Enfoque de valoracion) y 2.4 (Disciplina conductual) constituyen principios fundamentales del Charter. Su modificacion, eliminacion o alteracion sustantiva requerira aprobacion unanime del Comite de Inversiones, en adicion a la aprobacion del Executive Chairman &amp; CIO.</w:t>
      </w:r>
    </w:p>
    <w:p>
      <w:pPr>
        <w:spacing w:before="160" w:after="80"/>
      </w:pPr>
      <w:r>
        <w:rPr>
          <w:rFonts w:ascii="Helvetica" w:hAnsi="Helvetica"/>
          <w:b/>
          <w:sz w:val="24"/>
        </w:rPr>
        <w:t>Registro de enmiendas</w:t>
      </w:r>
    </w:p>
    <w:p>
      <w:pPr>
        <w:pStyle w:val="ListBullet"/>
      </w:pPr>
      <w:r>
        <w:rPr>
          <w:rFonts w:ascii="Helvetica" w:hAnsi="Helvetica"/>
          <w:sz w:val="22"/>
        </w:rPr>
        <w:t>v1.0 — Abril 2026: Charter fundacional.</w:t>
      </w:r>
    </w:p>
    <w:p>
      <w:pPr>
        <w:pStyle w:val="ListBullet"/>
      </w:pPr>
      <w:r>
        <w:rPr>
          <w:rFonts w:ascii="Helvetica" w:hAnsi="Helvetica"/>
          <w:sz w:val="22"/>
        </w:rPr>
        <w:t>v2.0 — Febrero 2026: Incorporacion de enfoque de valoracion (2.3), disciplina conductual (2.4), responsabilidad de oversight del CI sobre mecanismos conductuales (3.1), regimen transitorio de doble firma (4.3). Distincion de criterios de evaluacion para empresas operativas vs portafolio financiero (1.3). Proteccion de secciones 2.3 y 2.4 frente a modificacion unilateral (7.0). Renumeracion de secciones 6-7.</w:t>
      </w:r>
    </w:p>
    <w:p>
      <w:pPr>
        <w:pStyle w:val="ListBullet"/>
      </w:pPr>
      <w:r>
        <w:rPr>
          <w:rFonts w:ascii="Helvetica" w:hAnsi="Helvetica"/>
          <w:sz w:val="22"/>
        </w:rPr>
        <w:t>v3.0 — Abril 2026: Proteccion explicita de secciones 2.3 y 2.4 frente a modificacion unilateral incorporada al cuerpo de la seccion 7.0. Regimen transitorio de doble firma (4.3) redirigido al Operations Manual con mecanismo alternativo definido. Fechas fundacionales completadas. Version inicial para firma.</w:t>
      </w:r>
    </w:p>
    <w:p>
      <w:pPr>
        <w:pStyle w:val="ListBullet"/>
      </w:pPr>
      <w:r>
        <w:rPr>
          <w:rFonts w:ascii="Helvetica" w:hAnsi="Helvetica"/>
          <w:sz w:val="22"/>
        </w:rPr>
        <w:t>v3.1 — Mayo 2026: Alineacion del Charter con la estructura organizacional transitoria 2026 formalizada en el Operations Manual v3.5. Cambios: (1) §3.3 reescrita como "Rol analitico senior" para reflejar que durante el regimen transitorio 2026 las responsabilidades del Director of Investment Research son desempenadas por el Investment Associate, con clausula explicita de evolucion del rol cuando se incorpore un segundo perfil analitico al equipo; (2) §3.4 Area de Analisis aclara que bajo el regimen transitorio el area opera con una unica persona (el Investment Associate) y es expansible sin modificacion del Charter; (3) §4.2 Delegacion funcional referencia el rol analitico senior con la doble denominacion segun la estructura vigente; (4) §4.3 Regimen transitorio de doble firma amplia explicitamente el supuesto para incluir el escenario de Investment Associate unico sin DoR independiente, manteniendo el mecanismo de memo firmado por el CIO ratificado por el Comite de Inversiones.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