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B88B47"/>
          <w:sz w:val="22"/>
        </w:rPr>
        <w:t>DCE HOLDINGS</w:t>
      </w:r>
    </w:p>
    <w:p>
      <w:pPr>
        <w:spacing w:before="3200"/>
        <w:jc w:val="left"/>
      </w:pPr>
      <w:r>
        <w:rPr>
          <w:rFonts w:ascii="Calibri" w:hAnsi="Calibri"/>
          <w:b/>
          <w:color w:val="1B2642"/>
          <w:sz w:val="64"/>
        </w:rPr>
        <w:t>INVESTMENT MEMO</w:t>
      </w:r>
    </w:p>
    <w:p>
      <w:pPr>
        <w:spacing w:before="120"/>
      </w:pPr>
      <w:r>
        <w:rPr>
          <w:rFonts w:ascii="Calibri" w:hAnsi="Calibri"/>
          <w:color w:val="606060"/>
          <w:sz w:val="36"/>
        </w:rPr>
        <w:t>Microsoft Corporation (MSFT)</w:t>
      </w:r>
    </w:p>
    <w:p>
      <w:pPr>
        <w:spacing w:before="800"/>
      </w:pPr>
      <w:r>
        <w:rPr>
          <w:rFonts w:ascii="Calibri" w:hAnsi="Calibri"/>
          <w:b/>
          <w:color w:val="1B2642"/>
          <w:sz w:val="22"/>
        </w:rPr>
        <w:t xml:space="preserve">Fecha:  </w:t>
      </w:r>
      <w:r>
        <w:rPr>
          <w:rFonts w:ascii="Calibri" w:hAnsi="Calibri"/>
          <w:color w:val="0D0D0D"/>
          <w:sz w:val="22"/>
        </w:rPr>
        <w:t>8 de mayo de 2026</w:t>
        <w:br/>
      </w:r>
      <w:r>
        <w:rPr>
          <w:rFonts w:ascii="Calibri" w:hAnsi="Calibri"/>
          <w:b/>
          <w:color w:val="1B2642"/>
          <w:sz w:val="22"/>
        </w:rPr>
        <w:t xml:space="preserve">Reviewer:  </w:t>
      </w:r>
      <w:r>
        <w:rPr>
          <w:rFonts w:ascii="Calibri" w:hAnsi="Calibri"/>
          <w:color w:val="0D0D0D"/>
          <w:sz w:val="22"/>
        </w:rPr>
        <w:t>Director of Research — DCE Holdings</w:t>
        <w:br/>
      </w:r>
      <w:r>
        <w:rPr>
          <w:rFonts w:ascii="Calibri" w:hAnsi="Calibri"/>
          <w:b/>
          <w:color w:val="1B2642"/>
          <w:sz w:val="22"/>
        </w:rPr>
        <w:t xml:space="preserve">Decision Owner:  </w:t>
      </w:r>
      <w:r>
        <w:rPr>
          <w:rFonts w:ascii="Calibri" w:hAnsi="Calibri"/>
          <w:color w:val="0D0D0D"/>
          <w:sz w:val="22"/>
        </w:rPr>
        <w:t>Executive Chairman &amp; CIO</w:t>
        <w:br/>
      </w:r>
      <w:r>
        <w:rPr>
          <w:rFonts w:ascii="Calibri" w:hAnsi="Calibri"/>
          <w:b/>
          <w:color w:val="1B2642"/>
          <w:sz w:val="22"/>
        </w:rPr>
        <w:t xml:space="preserve">Version:  </w:t>
      </w:r>
      <w:r>
        <w:rPr>
          <w:rFonts w:ascii="Calibri" w:hAnsi="Calibri"/>
          <w:color w:val="0D0D0D"/>
          <w:sz w:val="22"/>
        </w:rPr>
        <w:t>v1.0 (formato Operations Manual v3.2)</w:t>
        <w:br/>
      </w:r>
      <w:r>
        <w:rPr>
          <w:rFonts w:ascii="Calibri" w:hAnsi="Calibri"/>
          <w:b/>
          <w:color w:val="1B2642"/>
          <w:sz w:val="22"/>
        </w:rPr>
        <w:t xml:space="preserve">Framework:  </w:t>
      </w:r>
      <w:r>
        <w:rPr>
          <w:rFonts w:ascii="Calibri" w:hAnsi="Calibri"/>
          <w:color w:val="0D0D0D"/>
          <w:sz w:val="22"/>
        </w:rPr>
        <w:t>DCE Investment Memo Framework — 12 secciones</w:t>
        <w:br/>
      </w:r>
      <w:r>
        <w:rPr>
          <w:rFonts w:ascii="Calibri" w:hAnsi="Calibri"/>
          <w:b/>
          <w:color w:val="1B2642"/>
          <w:sz w:val="22"/>
        </w:rPr>
        <w:t xml:space="preserve">Source of truth:  </w:t>
      </w:r>
      <w:r>
        <w:rPr>
          <w:rFonts w:ascii="Calibri" w:hAnsi="Calibri"/>
          <w:color w:val="0D0D0D"/>
          <w:sz w:val="22"/>
        </w:rPr>
        <w:t>Supabase decision_journal (live)</w:t>
        <w:br/>
      </w:r>
    </w:p>
    <w:p>
      <w:pPr>
        <w:spacing w:before="2400"/>
        <w:jc w:val="center"/>
      </w:pPr>
      <w:r>
        <w:rPr>
          <w:rFonts w:ascii="Calibri" w:hAnsi="Calibri"/>
          <w:i/>
          <w:color w:val="606060"/>
          <w:sz w:val="18"/>
        </w:rPr>
        <w:t>CONFIDENCIAL — Solo para uso interno de DCE Holdings</w:t>
      </w:r>
    </w:p>
    <w:p>
      <w:r>
        <w:br w:type="page"/>
      </w:r>
    </w:p>
    <w:p>
      <w:pPr>
        <w:spacing w:before="400" w:after="160"/>
      </w:pPr>
      <w:r>
        <w:rPr>
          <w:rFonts w:ascii="Calibri" w:hAnsi="Calibri"/>
          <w:b/>
          <w:color w:val="1B2642"/>
          <w:sz w:val="32"/>
        </w:rPr>
        <w:t>Objective</w:t>
      </w:r>
    </w:p>
    <w:p>
      <w:pPr>
        <w:spacing w:after="120"/>
        <w:jc w:val="both"/>
      </w:pPr>
      <w:r>
        <w:rPr>
          <w:rFonts w:ascii="Calibri" w:hAnsi="Calibri"/>
          <w:color w:val="0D0D0D"/>
          <w:sz w:val="22"/>
        </w:rPr>
        <w:t>Documentar por qué esta inversión existe, dónde está el underwriting edge de DCE Holdings sobre el consenso de mercado, qué debe ocurrir para que la tesis funcione, qué la invalidaría, y por qué el retorno esperado justifica el riesgo asumido. Este memo es input vinculante del Comité de Inversiones; ninguna decisión BUY/PASS se ratifica sin un memo aprobado.</w:t>
      </w:r>
    </w:p>
    <w:p>
      <w:pPr>
        <w:spacing w:after="120"/>
        <w:jc w:val="both"/>
      </w:pPr>
      <w:r>
        <w:rPr>
          <w:rFonts w:ascii="Calibri" w:hAnsi="Calibri"/>
          <w:color w:val="0D0D0D"/>
          <w:sz w:val="22"/>
        </w:rPr>
        <w:t>Este documento se elabora siguiendo el DCE Investment Memo Framework definido en el Operations Manual v3.2, sección 1.5 (Flujo de tesis) y 3.3 (Documentos materiales bajo control). El Pre-Mortem (§10) y los Thesis Kill Criteria (§11) son partes integrales del memo y no documentos separados.</w:t>
      </w:r>
    </w:p>
    <w:p>
      <w:pPr>
        <w:spacing w:before="400" w:after="160"/>
      </w:pPr>
      <w:r>
        <w:rPr>
          <w:rFonts w:ascii="Calibri" w:hAnsi="Calibri"/>
          <w:b/>
          <w:color w:val="1B2642"/>
          <w:sz w:val="32"/>
        </w:rPr>
        <w:t>1. Investment Snapshot</w:t>
      </w:r>
    </w:p>
    <w:tbl>
      <w:tblPr>
        <w:tblW w:type="auto" w:w="0"/>
        <w:jc w:val="center"/>
        <w:tblLook w:firstColumn="1" w:firstRow="1" w:lastColumn="0" w:lastRow="0" w:noHBand="0" w:noVBand="1" w:val="04A0"/>
      </w:tblPr>
      <w:tblGrid>
        <w:gridCol w:w="4703"/>
        <w:gridCol w:w="4703"/>
      </w:tblGrid>
      <w:tr>
        <w:tc>
          <w:tcPr>
            <w:tcW w:type="dxa" w:w="3118"/>
            <w:shd w:val="clear" w:color="auto" w:fill="1B2642"/>
          </w:tcPr>
          <w:p>
            <w:pPr>
              <w:jc w:val="center"/>
            </w:pPr>
            <w:r/>
            <w:r>
              <w:rPr>
                <w:rFonts w:ascii="Calibri" w:hAnsi="Calibri"/>
                <w:b/>
                <w:color w:val="FFFFFF"/>
                <w:sz w:val="20"/>
              </w:rPr>
              <w:t>Concepto</w:t>
            </w:r>
          </w:p>
        </w:tc>
        <w:tc>
          <w:tcPr>
            <w:tcW w:type="dxa" w:w="5953"/>
            <w:shd w:val="clear" w:color="auto" w:fill="1B2642"/>
          </w:tcPr>
          <w:p>
            <w:pPr>
              <w:jc w:val="center"/>
            </w:pPr>
            <w:r/>
            <w:r>
              <w:rPr>
                <w:rFonts w:ascii="Calibri" w:hAnsi="Calibri"/>
                <w:b/>
                <w:color w:val="FFFFFF"/>
                <w:sz w:val="20"/>
              </w:rPr>
              <w:t>Detalle</w:t>
            </w:r>
          </w:p>
        </w:tc>
      </w:tr>
      <w:tr>
        <w:tc>
          <w:tcPr>
            <w:tcW w:type="dxa" w:w="3118"/>
            <w:shd w:val="clear" w:color="auto" w:fill="E6E6E6"/>
            <w:vAlign w:val="center"/>
          </w:tcPr>
          <w:p>
            <w:pPr>
              <w:jc w:val="left"/>
            </w:pPr>
            <w:r/>
            <w:r>
              <w:rPr>
                <w:rFonts w:ascii="Calibri" w:hAnsi="Calibri"/>
                <w:color w:val="0D0D0D"/>
                <w:sz w:val="20"/>
              </w:rPr>
              <w:t>Compañía</w:t>
            </w:r>
          </w:p>
        </w:tc>
        <w:tc>
          <w:tcPr>
            <w:tcW w:type="dxa" w:w="5953"/>
            <w:shd w:val="clear" w:color="auto" w:fill="E6E6E6"/>
            <w:vAlign w:val="center"/>
          </w:tcPr>
          <w:p>
            <w:pPr>
              <w:jc w:val="left"/>
            </w:pPr>
            <w:r/>
            <w:r>
              <w:rPr>
                <w:rFonts w:ascii="Calibri" w:hAnsi="Calibri"/>
                <w:color w:val="0D0D0D"/>
                <w:sz w:val="20"/>
              </w:rPr>
              <w:t>Microsoft Corporation</w:t>
            </w:r>
          </w:p>
        </w:tc>
      </w:tr>
      <w:tr>
        <w:tc>
          <w:tcPr>
            <w:tcW w:type="dxa" w:w="3118"/>
            <w:vAlign w:val="center"/>
          </w:tcPr>
          <w:p>
            <w:pPr>
              <w:jc w:val="left"/>
            </w:pPr>
            <w:r/>
            <w:r>
              <w:rPr>
                <w:rFonts w:ascii="Calibri" w:hAnsi="Calibri"/>
                <w:color w:val="0D0D0D"/>
                <w:sz w:val="20"/>
              </w:rPr>
              <w:t>Ticker</w:t>
            </w:r>
          </w:p>
        </w:tc>
        <w:tc>
          <w:tcPr>
            <w:tcW w:type="dxa" w:w="5953"/>
            <w:vAlign w:val="center"/>
          </w:tcPr>
          <w:p>
            <w:pPr>
              <w:jc w:val="left"/>
            </w:pPr>
            <w:r/>
            <w:r>
              <w:rPr>
                <w:rFonts w:ascii="Calibri" w:hAnsi="Calibri"/>
                <w:color w:val="0D0D0D"/>
                <w:sz w:val="20"/>
              </w:rPr>
              <w:t>MSFT (NASDAQ)</w:t>
            </w:r>
          </w:p>
        </w:tc>
      </w:tr>
      <w:tr>
        <w:tc>
          <w:tcPr>
            <w:tcW w:type="dxa" w:w="3118"/>
            <w:shd w:val="clear" w:color="auto" w:fill="E6E6E6"/>
            <w:vAlign w:val="center"/>
          </w:tcPr>
          <w:p>
            <w:pPr>
              <w:jc w:val="left"/>
            </w:pPr>
            <w:r/>
            <w:r>
              <w:rPr>
                <w:rFonts w:ascii="Calibri" w:hAnsi="Calibri"/>
                <w:color w:val="0D0D0D"/>
                <w:sz w:val="20"/>
              </w:rPr>
              <w:t>Sector / Industria</w:t>
            </w:r>
          </w:p>
        </w:tc>
        <w:tc>
          <w:tcPr>
            <w:tcW w:type="dxa" w:w="5953"/>
            <w:shd w:val="clear" w:color="auto" w:fill="E6E6E6"/>
            <w:vAlign w:val="center"/>
          </w:tcPr>
          <w:p>
            <w:pPr>
              <w:jc w:val="left"/>
            </w:pPr>
            <w:r/>
            <w:r>
              <w:rPr>
                <w:rFonts w:ascii="Calibri" w:hAnsi="Calibri"/>
                <w:color w:val="0D0D0D"/>
                <w:sz w:val="20"/>
              </w:rPr>
              <w:t>Technology / Systems Software</w:t>
            </w:r>
          </w:p>
        </w:tc>
      </w:tr>
      <w:tr>
        <w:tc>
          <w:tcPr>
            <w:tcW w:type="dxa" w:w="3118"/>
            <w:vAlign w:val="center"/>
          </w:tcPr>
          <w:p>
            <w:pPr>
              <w:jc w:val="left"/>
            </w:pPr>
            <w:r/>
            <w:r>
              <w:rPr>
                <w:rFonts w:ascii="Calibri" w:hAnsi="Calibri"/>
                <w:color w:val="0D0D0D"/>
                <w:sz w:val="20"/>
              </w:rPr>
              <w:t>Date of Memo</w:t>
            </w:r>
          </w:p>
        </w:tc>
        <w:tc>
          <w:tcPr>
            <w:tcW w:type="dxa" w:w="5953"/>
            <w:vAlign w:val="center"/>
          </w:tcPr>
          <w:p>
            <w:pPr>
              <w:jc w:val="left"/>
            </w:pPr>
            <w:r/>
            <w:r>
              <w:rPr>
                <w:rFonts w:ascii="Calibri" w:hAnsi="Calibri"/>
                <w:color w:val="0D0D0D"/>
                <w:sz w:val="20"/>
              </w:rPr>
              <w:t>8 de mayo de 2026</w:t>
            </w:r>
          </w:p>
        </w:tc>
      </w:tr>
      <w:tr>
        <w:tc>
          <w:tcPr>
            <w:tcW w:type="dxa" w:w="3118"/>
            <w:shd w:val="clear" w:color="auto" w:fill="E6E6E6"/>
            <w:vAlign w:val="center"/>
          </w:tcPr>
          <w:p>
            <w:pPr>
              <w:jc w:val="left"/>
            </w:pPr>
            <w:r/>
            <w:r>
              <w:rPr>
                <w:rFonts w:ascii="Calibri" w:hAnsi="Calibri"/>
                <w:color w:val="0D0D0D"/>
                <w:sz w:val="20"/>
              </w:rPr>
              <w:t>Action</w:t>
            </w:r>
          </w:p>
        </w:tc>
        <w:tc>
          <w:tcPr>
            <w:tcW w:type="dxa" w:w="5953"/>
            <w:shd w:val="clear" w:color="auto" w:fill="E6E6E6"/>
            <w:vAlign w:val="center"/>
          </w:tcPr>
          <w:p>
            <w:pPr>
              <w:jc w:val="left"/>
            </w:pPr>
            <w:r/>
            <w:r>
              <w:rPr>
                <w:rFonts w:ascii="Calibri" w:hAnsi="Calibri"/>
                <w:color w:val="0D0D0D"/>
                <w:sz w:val="20"/>
              </w:rPr>
              <w:t>BUY — initiate position</w:t>
            </w:r>
          </w:p>
        </w:tc>
      </w:tr>
      <w:tr>
        <w:tc>
          <w:tcPr>
            <w:tcW w:type="dxa" w:w="3118"/>
            <w:vAlign w:val="center"/>
          </w:tcPr>
          <w:p>
            <w:pPr>
              <w:jc w:val="left"/>
            </w:pPr>
            <w:r/>
            <w:r>
              <w:rPr>
                <w:rFonts w:ascii="Calibri" w:hAnsi="Calibri"/>
                <w:color w:val="0D0D0D"/>
                <w:sz w:val="20"/>
              </w:rPr>
              <w:t>Current Price</w:t>
            </w:r>
          </w:p>
        </w:tc>
        <w:tc>
          <w:tcPr>
            <w:tcW w:type="dxa" w:w="5953"/>
            <w:vAlign w:val="center"/>
          </w:tcPr>
          <w:p>
            <w:pPr>
              <w:jc w:val="left"/>
            </w:pPr>
            <w:r/>
            <w:r>
              <w:rPr>
                <w:rFonts w:ascii="Calibri" w:hAnsi="Calibri"/>
                <w:color w:val="0D0D0D"/>
                <w:sz w:val="20"/>
              </w:rPr>
              <w:t>USD 482.30</w:t>
            </w:r>
          </w:p>
        </w:tc>
      </w:tr>
      <w:tr>
        <w:tc>
          <w:tcPr>
            <w:tcW w:type="dxa" w:w="3118"/>
            <w:shd w:val="clear" w:color="auto" w:fill="E6E6E6"/>
            <w:vAlign w:val="center"/>
          </w:tcPr>
          <w:p>
            <w:pPr>
              <w:jc w:val="left"/>
            </w:pPr>
            <w:r/>
            <w:r>
              <w:rPr>
                <w:rFonts w:ascii="Calibri" w:hAnsi="Calibri"/>
                <w:color w:val="0D0D0D"/>
                <w:sz w:val="20"/>
              </w:rPr>
              <w:t>Market Cap</w:t>
            </w:r>
          </w:p>
        </w:tc>
        <w:tc>
          <w:tcPr>
            <w:tcW w:type="dxa" w:w="5953"/>
            <w:shd w:val="clear" w:color="auto" w:fill="E6E6E6"/>
            <w:vAlign w:val="center"/>
          </w:tcPr>
          <w:p>
            <w:pPr>
              <w:jc w:val="left"/>
            </w:pPr>
            <w:r/>
            <w:r>
              <w:rPr>
                <w:rFonts w:ascii="Calibri" w:hAnsi="Calibri"/>
                <w:color w:val="0D0D0D"/>
                <w:sz w:val="20"/>
              </w:rPr>
              <w:t>USD 3.59T</w:t>
            </w:r>
          </w:p>
        </w:tc>
      </w:tr>
      <w:tr>
        <w:tc>
          <w:tcPr>
            <w:tcW w:type="dxa" w:w="3118"/>
            <w:vAlign w:val="center"/>
          </w:tcPr>
          <w:p>
            <w:pPr>
              <w:jc w:val="left"/>
            </w:pPr>
            <w:r/>
            <w:r>
              <w:rPr>
                <w:rFonts w:ascii="Calibri" w:hAnsi="Calibri"/>
                <w:color w:val="0D0D0D"/>
                <w:sz w:val="20"/>
              </w:rPr>
              <w:t>Enterprise Value</w:t>
            </w:r>
          </w:p>
        </w:tc>
        <w:tc>
          <w:tcPr>
            <w:tcW w:type="dxa" w:w="5953"/>
            <w:vAlign w:val="center"/>
          </w:tcPr>
          <w:p>
            <w:pPr>
              <w:jc w:val="left"/>
            </w:pPr>
            <w:r/>
            <w:r>
              <w:rPr>
                <w:rFonts w:ascii="Calibri" w:hAnsi="Calibri"/>
                <w:color w:val="0D0D0D"/>
                <w:sz w:val="20"/>
              </w:rPr>
              <w:t>USD 3.50T (net cash position)</w:t>
            </w:r>
          </w:p>
        </w:tc>
      </w:tr>
      <w:tr>
        <w:tc>
          <w:tcPr>
            <w:tcW w:type="dxa" w:w="3118"/>
            <w:shd w:val="clear" w:color="auto" w:fill="E6E6E6"/>
            <w:vAlign w:val="center"/>
          </w:tcPr>
          <w:p>
            <w:pPr>
              <w:jc w:val="left"/>
            </w:pPr>
            <w:r/>
            <w:r>
              <w:rPr>
                <w:rFonts w:ascii="Calibri" w:hAnsi="Calibri"/>
                <w:color w:val="0D0D0D"/>
                <w:sz w:val="20"/>
              </w:rPr>
              <w:t>Position Size (target)</w:t>
            </w:r>
          </w:p>
        </w:tc>
        <w:tc>
          <w:tcPr>
            <w:tcW w:type="dxa" w:w="5953"/>
            <w:shd w:val="clear" w:color="auto" w:fill="E6E6E6"/>
            <w:vAlign w:val="center"/>
          </w:tcPr>
          <w:p>
            <w:pPr>
              <w:jc w:val="left"/>
            </w:pPr>
            <w:r/>
            <w:r>
              <w:rPr>
                <w:rFonts w:ascii="Calibri" w:hAnsi="Calibri"/>
                <w:color w:val="0D0D0D"/>
                <w:sz w:val="20"/>
              </w:rPr>
              <w:t>6.0% del NAV — Core Compounder (4-8% NAV)</w:t>
            </w:r>
          </w:p>
        </w:tc>
      </w:tr>
      <w:tr>
        <w:tc>
          <w:tcPr>
            <w:tcW w:type="dxa" w:w="3118"/>
            <w:vAlign w:val="center"/>
          </w:tcPr>
          <w:p>
            <w:pPr>
              <w:jc w:val="left"/>
            </w:pPr>
            <w:r/>
            <w:r>
              <w:rPr>
                <w:rFonts w:ascii="Calibri" w:hAnsi="Calibri"/>
                <w:color w:val="0D0D0D"/>
                <w:sz w:val="20"/>
              </w:rPr>
              <w:t>Investment Horizon</w:t>
            </w:r>
          </w:p>
        </w:tc>
        <w:tc>
          <w:tcPr>
            <w:tcW w:type="dxa" w:w="5953"/>
            <w:vAlign w:val="center"/>
          </w:tcPr>
          <w:p>
            <w:pPr>
              <w:jc w:val="left"/>
            </w:pPr>
            <w:r/>
            <w:r>
              <w:rPr>
                <w:rFonts w:ascii="Calibri" w:hAnsi="Calibri"/>
                <w:color w:val="0D0D0D"/>
                <w:sz w:val="20"/>
              </w:rPr>
              <w:t>5+ años</w:t>
            </w:r>
          </w:p>
        </w:tc>
      </w:tr>
      <w:tr>
        <w:tc>
          <w:tcPr>
            <w:tcW w:type="dxa" w:w="3118"/>
            <w:shd w:val="clear" w:color="auto" w:fill="E6E6E6"/>
            <w:vAlign w:val="center"/>
          </w:tcPr>
          <w:p>
            <w:pPr>
              <w:jc w:val="left"/>
            </w:pPr>
            <w:r/>
            <w:r>
              <w:rPr>
                <w:rFonts w:ascii="Calibri" w:hAnsi="Calibri"/>
                <w:color w:val="0D0D0D"/>
                <w:sz w:val="20"/>
              </w:rPr>
              <w:t>Reviewer</w:t>
            </w:r>
          </w:p>
        </w:tc>
        <w:tc>
          <w:tcPr>
            <w:tcW w:type="dxa" w:w="5953"/>
            <w:shd w:val="clear" w:color="auto" w:fill="E6E6E6"/>
            <w:vAlign w:val="center"/>
          </w:tcPr>
          <w:p>
            <w:pPr>
              <w:jc w:val="left"/>
            </w:pPr>
            <w:r/>
            <w:r>
              <w:rPr>
                <w:rFonts w:ascii="Calibri" w:hAnsi="Calibri"/>
                <w:color w:val="0D0D0D"/>
                <w:sz w:val="20"/>
              </w:rPr>
              <w:t>Director of Research — DCE Holdings</w:t>
            </w:r>
          </w:p>
        </w:tc>
      </w:tr>
      <w:tr>
        <w:tc>
          <w:tcPr>
            <w:tcW w:type="dxa" w:w="3118"/>
            <w:vAlign w:val="center"/>
          </w:tcPr>
          <w:p>
            <w:pPr>
              <w:jc w:val="left"/>
            </w:pPr>
            <w:r/>
            <w:r>
              <w:rPr>
                <w:rFonts w:ascii="Calibri" w:hAnsi="Calibri"/>
                <w:color w:val="0D0D0D"/>
                <w:sz w:val="20"/>
              </w:rPr>
              <w:t>Decision Owner</w:t>
            </w:r>
          </w:p>
        </w:tc>
        <w:tc>
          <w:tcPr>
            <w:tcW w:type="dxa" w:w="5953"/>
            <w:vAlign w:val="center"/>
          </w:tcPr>
          <w:p>
            <w:pPr>
              <w:jc w:val="left"/>
            </w:pPr>
            <w:r/>
            <w:r>
              <w:rPr>
                <w:rFonts w:ascii="Calibri" w:hAnsi="Calibri"/>
                <w:color w:val="0D0D0D"/>
                <w:sz w:val="20"/>
              </w:rPr>
              <w:t>Executive Chairman &amp; CIO</w:t>
            </w:r>
          </w:p>
        </w:tc>
      </w:tr>
      <w:tr>
        <w:tc>
          <w:tcPr>
            <w:tcW w:type="dxa" w:w="3118"/>
            <w:shd w:val="clear" w:color="auto" w:fill="E6E6E6"/>
            <w:vAlign w:val="center"/>
          </w:tcPr>
          <w:p>
            <w:pPr>
              <w:jc w:val="left"/>
            </w:pPr>
            <w:r/>
            <w:r>
              <w:rPr>
                <w:rFonts w:ascii="Calibri" w:hAnsi="Calibri"/>
                <w:color w:val="0D0D0D"/>
                <w:sz w:val="20"/>
              </w:rPr>
              <w:t>Conviction Level</w:t>
            </w:r>
          </w:p>
        </w:tc>
        <w:tc>
          <w:tcPr>
            <w:tcW w:type="dxa" w:w="5953"/>
            <w:shd w:val="clear" w:color="auto" w:fill="E6E6E6"/>
            <w:vAlign w:val="center"/>
          </w:tcPr>
          <w:p>
            <w:pPr>
              <w:jc w:val="left"/>
            </w:pPr>
            <w:r/>
            <w:r>
              <w:rPr>
                <w:rFonts w:ascii="Calibri" w:hAnsi="Calibri"/>
                <w:color w:val="0D0D0D"/>
                <w:sz w:val="20"/>
              </w:rPr>
              <w:t>High</w:t>
            </w:r>
          </w:p>
        </w:tc>
      </w:tr>
    </w:tbl>
    <w:p>
      <w:pPr>
        <w:spacing w:after="120"/>
      </w:pPr>
    </w:p>
    <w:p>
      <w:pPr>
        <w:spacing w:before="400" w:after="160"/>
      </w:pPr>
      <w:r>
        <w:rPr>
          <w:rFonts w:ascii="Calibri" w:hAnsi="Calibri"/>
          <w:b/>
          <w:color w:val="1B2642"/>
          <w:sz w:val="32"/>
        </w:rPr>
        <w:t>2. Investment Thesis</w:t>
      </w:r>
    </w:p>
    <w:p>
      <w:pPr>
        <w:spacing w:after="120"/>
        <w:jc w:val="both"/>
      </w:pPr>
      <w:r>
        <w:rPr>
          <w:rFonts w:ascii="Calibri" w:hAnsi="Calibri"/>
          <w:color w:val="0D0D0D"/>
          <w:sz w:val="22"/>
        </w:rPr>
        <w:t>Microsoft es un compounder de calidad excepcional cuya plataforma cloud (Azure) y suite de productividad (Microsoft 365 + Copilot) generan un ROIC ajustado sostenido por encima de 30% con runway de reinversión visible a 5-10 años. La combinación de Azure en la fase media de su S-curve, Copilot monetizando una base instalada de ~440M asientos comerciales, y la disciplina de capital allocation del CEO Satya Nadella, hace de MSFT una de las pocas compañías con la trifecta de moat fuerte, runway largo y ejecución probada.</w:t>
      </w:r>
    </w:p>
    <w:p>
      <w:pPr>
        <w:spacing w:after="120"/>
        <w:jc w:val="both"/>
      </w:pPr>
      <w:r>
        <w:rPr>
          <w:rFonts w:ascii="Calibri" w:hAnsi="Calibri"/>
          <w:color w:val="0D0D0D"/>
          <w:sz w:val="22"/>
        </w:rPr>
        <w:t>La tesis se sostiene sobre 5 pilares (máximo 5 bullets, conforme al framework):</w:t>
      </w:r>
    </w:p>
    <w:p>
      <w:pPr>
        <w:pStyle w:val="ListBullet"/>
        <w:spacing w:after="40"/>
      </w:pPr>
      <w:r>
        <w:rPr>
          <w:rFonts w:ascii="Calibri" w:hAnsi="Calibri"/>
          <w:color w:val="0D0D0D"/>
          <w:sz w:val="22"/>
        </w:rPr>
        <w:t>Azure fast-follower estructural: ~25% market share global, creciendo 28-32% YoY, con cross-sell a la base enterprise existente que reduce CAC de forma asimétrica vs AWS y GCP.</w:t>
      </w:r>
    </w:p>
    <w:p>
      <w:pPr>
        <w:pStyle w:val="ListBullet"/>
        <w:spacing w:after="40"/>
      </w:pPr>
      <w:r>
        <w:rPr>
          <w:rFonts w:ascii="Calibri" w:hAnsi="Calibri"/>
          <w:color w:val="0D0D0D"/>
          <w:sz w:val="22"/>
        </w:rPr>
        <w:t>M365 + Copilot pricing power demostrado: Tres rondas de pricing en los últimos cuatro años con churn enterprise inferior al 2% anual; Copilot agrega un layer de monetización con ARPU incremental de USD 30/asiento/mes en la cohorte E3+E5.</w:t>
      </w:r>
    </w:p>
    <w:p>
      <w:pPr>
        <w:pStyle w:val="ListBullet"/>
        <w:spacing w:after="40"/>
      </w:pPr>
      <w:r>
        <w:rPr>
          <w:rFonts w:ascii="Calibri" w:hAnsi="Calibri"/>
          <w:color w:val="0D0D0D"/>
          <w:sz w:val="22"/>
        </w:rPr>
        <w:t>OpenAI partnership como AI moat asimétrico: MSFT tiene acceso preferente a modelos de frontera + ingresos por hosting Azure, sin la P&amp;L drag de financiar la investigación. La estructura de la inversión (USD 13B en compromiso revolving) limita el downside.</w:t>
      </w:r>
    </w:p>
    <w:p>
      <w:pPr>
        <w:pStyle w:val="ListBullet"/>
        <w:spacing w:after="40"/>
      </w:pPr>
      <w:r>
        <w:rPr>
          <w:rFonts w:ascii="Calibri" w:hAnsi="Calibri"/>
          <w:color w:val="0D0D0D"/>
          <w:sz w:val="22"/>
        </w:rPr>
        <w:t>Capital allocation disciplinado bajo Nadella: USD 90B/año en buybacks + dividendos representa ~40% del FCF; el resto se reinvierte en capex (data centers AI) con θ_firm &gt; WACC + 800bps en los últimos cuatro años.</w:t>
      </w:r>
    </w:p>
    <w:p>
      <w:pPr>
        <w:pStyle w:val="ListBullet"/>
        <w:spacing w:after="40"/>
      </w:pPr>
      <w:r>
        <w:rPr>
          <w:rFonts w:ascii="Calibri" w:hAnsi="Calibri"/>
          <w:color w:val="0D0D0D"/>
          <w:sz w:val="22"/>
        </w:rPr>
        <w:t>Balance fortress: USD 89B cash + investments, deuda neta negativa, capacidad de absorber un drawdown del 50% sin presión sobre el dividendo o capex de crecimiento.</w:t>
      </w:r>
    </w:p>
    <w:p>
      <w:pPr>
        <w:spacing w:before="400" w:after="160"/>
      </w:pPr>
      <w:r>
        <w:rPr>
          <w:rFonts w:ascii="Calibri" w:hAnsi="Calibri"/>
          <w:b/>
          <w:color w:val="1B2642"/>
          <w:sz w:val="32"/>
        </w:rPr>
        <w:t>3. Variant Perception</w:t>
      </w:r>
    </w:p>
    <w:p>
      <w:pPr>
        <w:spacing w:after="120"/>
        <w:jc w:val="both"/>
      </w:pPr>
      <w:r>
        <w:rPr>
          <w:rFonts w:ascii="Calibri" w:hAnsi="Calibri"/>
          <w:color w:val="0D0D0D"/>
          <w:sz w:val="22"/>
        </w:rPr>
        <w:t>El consenso de sell-side modela Azure desacelerando hacia 20% YoY en FY27-28 y un margen de Copilot del 35-40%. Nuestra variant perception es que ambos números subestiman la realidad estructural.</w:t>
      </w:r>
    </w:p>
    <w:p>
      <w:pPr>
        <w:pStyle w:val="ListBullet"/>
        <w:spacing w:after="40"/>
      </w:pPr>
      <w:r>
        <w:rPr>
          <w:rFonts w:ascii="Calibri" w:hAnsi="Calibri"/>
          <w:color w:val="0D0D0D"/>
          <w:sz w:val="22"/>
        </w:rPr>
        <w:t>Azure: El consenso confunde la base de comparación con la pendiente. Azure todavía no ha penetrado el mid-market de forma agresiva; la curva ARR ex-AI seguirá creciendo 25%+ por al menos 24 meses adicionales más allá del bull case del consenso.</w:t>
      </w:r>
    </w:p>
    <w:p>
      <w:pPr>
        <w:pStyle w:val="ListBullet"/>
        <w:spacing w:after="40"/>
      </w:pPr>
      <w:r>
        <w:rPr>
          <w:rFonts w:ascii="Calibri" w:hAnsi="Calibri"/>
          <w:color w:val="0D0D0D"/>
          <w:sz w:val="22"/>
        </w:rPr>
        <w:t>Copilot: El ramp de adopción en E3+E5 es 2-3x más rápido de lo que sell-side modela. Las cohortes early adopters muestran retention &gt;95% a 12 meses con upsell a Copilot Studio y agentes específicos por vertical.</w:t>
      </w:r>
    </w:p>
    <w:p>
      <w:pPr>
        <w:pStyle w:val="ListBullet"/>
        <w:spacing w:after="40"/>
      </w:pPr>
      <w:r>
        <w:rPr>
          <w:rFonts w:ascii="Calibri" w:hAnsi="Calibri"/>
          <w:color w:val="0D0D0D"/>
          <w:sz w:val="22"/>
        </w:rPr>
        <w:t>AI capex: El consenso lo ve como destrucción de FCF; nosotros lo vemos como CAPEX productivo cuyo payback en 4-5 años está soportado por contratos enterprise multi-año ya firmados.</w:t>
      </w:r>
    </w:p>
    <w:p>
      <w:pPr>
        <w:spacing w:after="120"/>
        <w:jc w:val="both"/>
      </w:pPr>
      <w:r>
        <w:rPr>
          <w:rFonts w:ascii="Calibri" w:hAnsi="Calibri"/>
          <w:color w:val="0D0D0D"/>
          <w:sz w:val="22"/>
        </w:rPr>
        <w:t>Evidencia que validaría la diferenciación: (i) Azure mantiene crecimiento &gt;27% en FY26-FY27 reportes; (ii) Copilot revenue cruza USD 12B en FY27 con margen contribution &gt;55%; (iii) FCF ex-AI capex sigue creciendo dígitos altos a pesar del invest-cycle. La invalidación opera simétricamente: si Azure desacelera por debajo del 22% sin razón macro, la tesis del moat fast-follower se debilita estructuralmente.</w:t>
      </w:r>
    </w:p>
    <w:p>
      <w:pPr>
        <w:spacing w:before="400" w:after="160"/>
      </w:pPr>
      <w:r>
        <w:rPr>
          <w:rFonts w:ascii="Calibri" w:hAnsi="Calibri"/>
          <w:b/>
          <w:color w:val="1B2642"/>
          <w:sz w:val="32"/>
        </w:rPr>
        <w:t>4. Business Quality Assessment</w:t>
      </w:r>
    </w:p>
    <w:tbl>
      <w:tblPr>
        <w:tblW w:type="auto" w:w="0"/>
        <w:jc w:val="center"/>
        <w:tblLook w:firstColumn="1" w:firstRow="1" w:lastColumn="0" w:lastRow="0" w:noHBand="0" w:noVBand="1" w:val="04A0"/>
      </w:tblPr>
      <w:tblGrid>
        <w:gridCol w:w="4703"/>
        <w:gridCol w:w="4703"/>
      </w:tblGrid>
      <w:tr>
        <w:tc>
          <w:tcPr>
            <w:tcW w:type="dxa" w:w="2551"/>
            <w:shd w:val="clear" w:color="auto" w:fill="1B2642"/>
          </w:tcPr>
          <w:p>
            <w:pPr>
              <w:jc w:val="center"/>
            </w:pPr>
            <w:r/>
            <w:r>
              <w:rPr>
                <w:rFonts w:ascii="Calibri" w:hAnsi="Calibri"/>
                <w:b/>
                <w:color w:val="FFFFFF"/>
                <w:sz w:val="20"/>
              </w:rPr>
              <w:t>Dimensión</w:t>
            </w:r>
          </w:p>
        </w:tc>
        <w:tc>
          <w:tcPr>
            <w:tcW w:type="dxa" w:w="6520"/>
            <w:shd w:val="clear" w:color="auto" w:fill="1B2642"/>
          </w:tcPr>
          <w:p>
            <w:pPr>
              <w:jc w:val="center"/>
            </w:pPr>
            <w:r/>
            <w:r>
              <w:rPr>
                <w:rFonts w:ascii="Calibri" w:hAnsi="Calibri"/>
                <w:b/>
                <w:color w:val="FFFFFF"/>
                <w:sz w:val="20"/>
              </w:rPr>
              <w:t>Evaluación</w:t>
            </w:r>
          </w:p>
        </w:tc>
      </w:tr>
      <w:tr>
        <w:tc>
          <w:tcPr>
            <w:tcW w:type="dxa" w:w="2551"/>
            <w:shd w:val="clear" w:color="auto" w:fill="E6E6E6"/>
            <w:vAlign w:val="center"/>
          </w:tcPr>
          <w:p>
            <w:pPr>
              <w:jc w:val="left"/>
            </w:pPr>
            <w:r/>
            <w:r>
              <w:rPr>
                <w:rFonts w:ascii="Calibri" w:hAnsi="Calibri"/>
                <w:color w:val="0D0D0D"/>
                <w:sz w:val="20"/>
              </w:rPr>
              <w:t>Competitive Advantage</w:t>
            </w:r>
          </w:p>
        </w:tc>
        <w:tc>
          <w:tcPr>
            <w:tcW w:type="dxa" w:w="6520"/>
            <w:shd w:val="clear" w:color="auto" w:fill="E6E6E6"/>
            <w:vAlign w:val="center"/>
          </w:tcPr>
          <w:p>
            <w:pPr>
              <w:jc w:val="left"/>
            </w:pPr>
            <w:r/>
            <w:r>
              <w:rPr>
                <w:rFonts w:ascii="Calibri" w:hAnsi="Calibri"/>
                <w:color w:val="0D0D0D"/>
                <w:sz w:val="20"/>
              </w:rPr>
              <w:t>Switching costs (M365 stack), economías de escala (Azure), customer captivity enterprise. Greenwald: fuerte en las 3 fuentes.</w:t>
            </w:r>
          </w:p>
        </w:tc>
      </w:tr>
      <w:tr>
        <w:tc>
          <w:tcPr>
            <w:tcW w:type="dxa" w:w="2551"/>
            <w:vAlign w:val="center"/>
          </w:tcPr>
          <w:p>
            <w:pPr>
              <w:jc w:val="left"/>
            </w:pPr>
            <w:r/>
            <w:r>
              <w:rPr>
                <w:rFonts w:ascii="Calibri" w:hAnsi="Calibri"/>
                <w:color w:val="0D0D0D"/>
                <w:sz w:val="20"/>
              </w:rPr>
              <w:t>Reinvestment Runway</w:t>
            </w:r>
          </w:p>
        </w:tc>
        <w:tc>
          <w:tcPr>
            <w:tcW w:type="dxa" w:w="6520"/>
            <w:vAlign w:val="center"/>
          </w:tcPr>
          <w:p>
            <w:pPr>
              <w:jc w:val="left"/>
            </w:pPr>
            <w:r/>
            <w:r>
              <w:rPr>
                <w:rFonts w:ascii="Calibri" w:hAnsi="Calibri"/>
                <w:color w:val="0D0D0D"/>
                <w:sz w:val="20"/>
              </w:rPr>
              <w:t>5-10 años visibles. TAM cloud aún &lt;40% penetrado; Copilot apenas tocando la base instalada.</w:t>
            </w:r>
          </w:p>
        </w:tc>
      </w:tr>
      <w:tr>
        <w:tc>
          <w:tcPr>
            <w:tcW w:type="dxa" w:w="2551"/>
            <w:shd w:val="clear" w:color="auto" w:fill="E6E6E6"/>
            <w:vAlign w:val="center"/>
          </w:tcPr>
          <w:p>
            <w:pPr>
              <w:jc w:val="left"/>
            </w:pPr>
            <w:r/>
            <w:r>
              <w:rPr>
                <w:rFonts w:ascii="Calibri" w:hAnsi="Calibri"/>
                <w:color w:val="0D0D0D"/>
                <w:sz w:val="20"/>
              </w:rPr>
              <w:t>Pricing Power</w:t>
            </w:r>
          </w:p>
        </w:tc>
        <w:tc>
          <w:tcPr>
            <w:tcW w:type="dxa" w:w="6520"/>
            <w:shd w:val="clear" w:color="auto" w:fill="E6E6E6"/>
            <w:vAlign w:val="center"/>
          </w:tcPr>
          <w:p>
            <w:pPr>
              <w:jc w:val="left"/>
            </w:pPr>
            <w:r/>
            <w:r>
              <w:rPr>
                <w:rFonts w:ascii="Calibri" w:hAnsi="Calibri"/>
                <w:color w:val="0D0D0D"/>
                <w:sz w:val="20"/>
              </w:rPr>
              <w:t>Demostrado: 3 rondas de pricing (2022-2025) con churn &lt;2%. Copilot extiende la palanca por al menos otro ciclo.</w:t>
            </w:r>
          </w:p>
        </w:tc>
      </w:tr>
      <w:tr>
        <w:tc>
          <w:tcPr>
            <w:tcW w:type="dxa" w:w="2551"/>
            <w:vAlign w:val="center"/>
          </w:tcPr>
          <w:p>
            <w:pPr>
              <w:jc w:val="left"/>
            </w:pPr>
            <w:r/>
            <w:r>
              <w:rPr>
                <w:rFonts w:ascii="Calibri" w:hAnsi="Calibri"/>
                <w:color w:val="0D0D0D"/>
                <w:sz w:val="20"/>
              </w:rPr>
              <w:t>Management Quality</w:t>
            </w:r>
          </w:p>
        </w:tc>
        <w:tc>
          <w:tcPr>
            <w:tcW w:type="dxa" w:w="6520"/>
            <w:vAlign w:val="center"/>
          </w:tcPr>
          <w:p>
            <w:pPr>
              <w:jc w:val="left"/>
            </w:pPr>
            <w:r/>
            <w:r>
              <w:rPr>
                <w:rFonts w:ascii="Calibri" w:hAnsi="Calibri"/>
                <w:color w:val="0D0D0D"/>
                <w:sz w:val="20"/>
              </w:rPr>
              <w:t>Superior Manager (taxonomía Columbia §5.9): Nadella expandió ROIC ajustado de 18% (2014) a 32% (2026). Track record de M&amp;A disciplinado (LinkedIn, GitHub, Activision).</w:t>
            </w:r>
          </w:p>
        </w:tc>
      </w:tr>
      <w:tr>
        <w:tc>
          <w:tcPr>
            <w:tcW w:type="dxa" w:w="2551"/>
            <w:shd w:val="clear" w:color="auto" w:fill="E6E6E6"/>
            <w:vAlign w:val="center"/>
          </w:tcPr>
          <w:p>
            <w:pPr>
              <w:jc w:val="left"/>
            </w:pPr>
            <w:r/>
            <w:r>
              <w:rPr>
                <w:rFonts w:ascii="Calibri" w:hAnsi="Calibri"/>
                <w:color w:val="0D0D0D"/>
                <w:sz w:val="20"/>
              </w:rPr>
              <w:t>Capital Allocation</w:t>
            </w:r>
          </w:p>
        </w:tc>
        <w:tc>
          <w:tcPr>
            <w:tcW w:type="dxa" w:w="6520"/>
            <w:shd w:val="clear" w:color="auto" w:fill="E6E6E6"/>
            <w:vAlign w:val="center"/>
          </w:tcPr>
          <w:p>
            <w:pPr>
              <w:jc w:val="left"/>
            </w:pPr>
            <w:r/>
            <w:r>
              <w:rPr>
                <w:rFonts w:ascii="Calibri" w:hAnsi="Calibri"/>
                <w:color w:val="0D0D0D"/>
                <w:sz w:val="20"/>
              </w:rPr>
              <w:t>Buybacks oportunistas, dividendo creciente (CAGR 10% últimos 5 años), capex productivo (θ_firm 19% últimos 4 años).</w:t>
            </w:r>
          </w:p>
        </w:tc>
      </w:tr>
      <w:tr>
        <w:tc>
          <w:tcPr>
            <w:tcW w:type="dxa" w:w="2551"/>
            <w:vAlign w:val="center"/>
          </w:tcPr>
          <w:p>
            <w:pPr>
              <w:jc w:val="left"/>
            </w:pPr>
            <w:r/>
            <w:r>
              <w:rPr>
                <w:rFonts w:ascii="Calibri" w:hAnsi="Calibri"/>
                <w:color w:val="0D0D0D"/>
                <w:sz w:val="20"/>
              </w:rPr>
              <w:t>Balance Sheet Durability</w:t>
            </w:r>
          </w:p>
        </w:tc>
        <w:tc>
          <w:tcPr>
            <w:tcW w:type="dxa" w:w="6520"/>
            <w:vAlign w:val="center"/>
          </w:tcPr>
          <w:p>
            <w:pPr>
              <w:jc w:val="left"/>
            </w:pPr>
            <w:r/>
            <w:r>
              <w:rPr>
                <w:rFonts w:ascii="Calibri" w:hAnsi="Calibri"/>
                <w:color w:val="0D0D0D"/>
                <w:sz w:val="20"/>
              </w:rPr>
              <w:t>Net cash USD 89B. Deuda LP investment-grade. Resilencia a recesión validada en 2020 y 2022.</w:t>
            </w:r>
          </w:p>
        </w:tc>
      </w:tr>
    </w:tbl>
    <w:p>
      <w:pPr>
        <w:spacing w:after="120"/>
      </w:pPr>
    </w:p>
    <w:p>
      <w:pPr>
        <w:spacing w:before="400" w:after="160"/>
      </w:pPr>
      <w:r>
        <w:rPr>
          <w:rFonts w:ascii="Calibri" w:hAnsi="Calibri"/>
          <w:b/>
          <w:color w:val="1B2642"/>
          <w:sz w:val="32"/>
        </w:rPr>
        <w:t>5. Key Drivers Of Value Creation</w:t>
      </w:r>
    </w:p>
    <w:p>
      <w:pPr>
        <w:pStyle w:val="ListBullet"/>
        <w:spacing w:after="40"/>
      </w:pPr>
      <w:r>
        <w:rPr>
          <w:rFonts w:ascii="Calibri" w:hAnsi="Calibri"/>
          <w:color w:val="0D0D0D"/>
          <w:sz w:val="22"/>
        </w:rPr>
        <w:t>Crecimiento orgánico Azure (~28% CAGR FY26-FY28) + Copilot ramp.</w:t>
      </w:r>
    </w:p>
    <w:p>
      <w:pPr>
        <w:pStyle w:val="ListBullet"/>
        <w:spacing w:after="40"/>
      </w:pPr>
      <w:r>
        <w:rPr>
          <w:rFonts w:ascii="Calibri" w:hAnsi="Calibri"/>
          <w:color w:val="0D0D0D"/>
          <w:sz w:val="22"/>
        </w:rPr>
        <w:t>Operating leverage: cada punto de revenue growth agrega ~70bps de margen operativo.</w:t>
      </w:r>
    </w:p>
    <w:p>
      <w:pPr>
        <w:pStyle w:val="ListBullet"/>
        <w:spacing w:after="40"/>
      </w:pPr>
      <w:r>
        <w:rPr>
          <w:rFonts w:ascii="Calibri" w:hAnsi="Calibri"/>
          <w:color w:val="0D0D0D"/>
          <w:sz w:val="22"/>
        </w:rPr>
        <w:t>Recompras a múltiplos por debajo de IV intrínseco: USD 60B/año equivalen a ~1.7% del flotante anual.</w:t>
      </w:r>
    </w:p>
    <w:p>
      <w:pPr>
        <w:pStyle w:val="ListBullet"/>
        <w:spacing w:after="40"/>
      </w:pPr>
      <w:r>
        <w:rPr>
          <w:rFonts w:ascii="Calibri" w:hAnsi="Calibri"/>
          <w:color w:val="0D0D0D"/>
          <w:sz w:val="22"/>
        </w:rPr>
        <w:t>Pricing power continuo en M365 + Dynamics 365 (próxima ronda esperada FY27).</w:t>
      </w:r>
    </w:p>
    <w:p>
      <w:pPr>
        <w:pStyle w:val="ListBullet"/>
        <w:spacing w:after="40"/>
      </w:pPr>
      <w:r>
        <w:rPr>
          <w:rFonts w:ascii="Calibri" w:hAnsi="Calibri"/>
          <w:color w:val="0D0D0D"/>
          <w:sz w:val="22"/>
        </w:rPr>
        <w:t>Optionality en agentic AI y Copilot Studio (no asignamos valor al modelo base; cualquier monetización es upside).</w:t>
      </w:r>
    </w:p>
    <w:p>
      <w:pPr>
        <w:spacing w:before="400" w:after="160"/>
      </w:pPr>
      <w:r>
        <w:rPr>
          <w:rFonts w:ascii="Calibri" w:hAnsi="Calibri"/>
          <w:b/>
          <w:color w:val="1B2642"/>
          <w:sz w:val="32"/>
        </w:rPr>
        <w:t>6. KPI Framework</w:t>
      </w:r>
    </w:p>
    <w:p>
      <w:pPr>
        <w:spacing w:after="120"/>
        <w:jc w:val="both"/>
      </w:pPr>
      <w:r>
        <w:rPr>
          <w:rFonts w:ascii="Calibri" w:hAnsi="Calibri"/>
          <w:color w:val="0D0D0D"/>
          <w:sz w:val="22"/>
        </w:rPr>
        <w:t>Solo se trackean KPIs directamente atados a la tesis. Máximo 5-7 KPIs (framework v3.2). Estos KPIs son los que se monitorean trimestralmente en el Re-Underwriting §6 con dato actual vs target.</w:t>
      </w:r>
    </w:p>
    <w:tbl>
      <w:tblPr>
        <w:tblW w:type="auto" w:w="0"/>
        <w:jc w:val="center"/>
        <w:tblLook w:firstColumn="1" w:firstRow="1" w:lastColumn="0" w:lastRow="0" w:noHBand="0" w:noVBand="1" w:val="04A0"/>
      </w:tblPr>
      <w:tblGrid>
        <w:gridCol w:w="2351"/>
        <w:gridCol w:w="2351"/>
        <w:gridCol w:w="2351"/>
        <w:gridCol w:w="2351"/>
      </w:tblGrid>
      <w:tr>
        <w:tc>
          <w:tcPr>
            <w:tcW w:type="dxa" w:w="3118"/>
            <w:shd w:val="clear" w:color="auto" w:fill="1B2642"/>
          </w:tcPr>
          <w:p>
            <w:pPr>
              <w:jc w:val="center"/>
            </w:pPr>
            <w:r/>
            <w:r>
              <w:rPr>
                <w:rFonts w:ascii="Calibri" w:hAnsi="Calibri"/>
                <w:b/>
                <w:color w:val="FFFFFF"/>
                <w:sz w:val="20"/>
              </w:rPr>
              <w:t>KPI</w:t>
            </w:r>
          </w:p>
        </w:tc>
        <w:tc>
          <w:tcPr>
            <w:tcW w:type="dxa" w:w="2268"/>
            <w:shd w:val="clear" w:color="auto" w:fill="1B2642"/>
          </w:tcPr>
          <w:p>
            <w:pPr>
              <w:jc w:val="center"/>
            </w:pPr>
            <w:r/>
            <w:r>
              <w:rPr>
                <w:rFonts w:ascii="Calibri" w:hAnsi="Calibri"/>
                <w:b/>
                <w:color w:val="FFFFFF"/>
                <w:sz w:val="20"/>
              </w:rPr>
              <w:t>Dato actual</w:t>
            </w:r>
          </w:p>
        </w:tc>
        <w:tc>
          <w:tcPr>
            <w:tcW w:type="dxa" w:w="1984"/>
            <w:shd w:val="clear" w:color="auto" w:fill="1B2642"/>
          </w:tcPr>
          <w:p>
            <w:pPr>
              <w:jc w:val="center"/>
            </w:pPr>
            <w:r/>
            <w:r>
              <w:rPr>
                <w:rFonts w:ascii="Calibri" w:hAnsi="Calibri"/>
                <w:b/>
                <w:color w:val="FFFFFF"/>
                <w:sz w:val="20"/>
              </w:rPr>
              <w:t>Target tesis</w:t>
            </w:r>
          </w:p>
        </w:tc>
        <w:tc>
          <w:tcPr>
            <w:tcW w:type="dxa" w:w="1417"/>
            <w:shd w:val="clear" w:color="auto" w:fill="1B2642"/>
          </w:tcPr>
          <w:p>
            <w:pPr>
              <w:jc w:val="center"/>
            </w:pPr>
            <w:r/>
            <w:r>
              <w:rPr>
                <w:rFonts w:ascii="Calibri" w:hAnsi="Calibri"/>
                <w:b/>
                <w:color w:val="FFFFFF"/>
                <w:sz w:val="20"/>
              </w:rPr>
              <w:t>Semáforo</w:t>
            </w:r>
          </w:p>
        </w:tc>
      </w:tr>
      <w:tr>
        <w:tc>
          <w:tcPr>
            <w:tcW w:type="dxa" w:w="3118"/>
            <w:shd w:val="clear" w:color="auto" w:fill="E6E6E6"/>
            <w:vAlign w:val="center"/>
          </w:tcPr>
          <w:p>
            <w:pPr>
              <w:jc w:val="left"/>
            </w:pPr>
            <w:r/>
            <w:r>
              <w:rPr>
                <w:rFonts w:ascii="Calibri" w:hAnsi="Calibri"/>
                <w:color w:val="0D0D0D"/>
                <w:sz w:val="20"/>
              </w:rPr>
              <w:t>Azure revenue YoY %</w:t>
            </w:r>
          </w:p>
        </w:tc>
        <w:tc>
          <w:tcPr>
            <w:tcW w:type="dxa" w:w="2268"/>
            <w:shd w:val="clear" w:color="auto" w:fill="E6E6E6"/>
            <w:vAlign w:val="center"/>
          </w:tcPr>
          <w:p>
            <w:pPr>
              <w:jc w:val="left"/>
            </w:pPr>
            <w:r/>
            <w:r>
              <w:rPr>
                <w:rFonts w:ascii="Calibri" w:hAnsi="Calibri"/>
                <w:color w:val="0D0D0D"/>
                <w:sz w:val="20"/>
              </w:rPr>
              <w:t>+27.5% (LTM Q3 FY26)</w:t>
            </w:r>
          </w:p>
        </w:tc>
        <w:tc>
          <w:tcPr>
            <w:tcW w:type="dxa" w:w="1984"/>
            <w:shd w:val="clear" w:color="auto" w:fill="E6E6E6"/>
            <w:vAlign w:val="center"/>
          </w:tcPr>
          <w:p>
            <w:pPr>
              <w:jc w:val="left"/>
            </w:pPr>
            <w:r/>
            <w:r>
              <w:rPr>
                <w:rFonts w:ascii="Calibri" w:hAnsi="Calibri"/>
                <w:color w:val="0D0D0D"/>
                <w:sz w:val="20"/>
              </w:rPr>
              <w:t>≥ 25%</w:t>
            </w:r>
          </w:p>
        </w:tc>
        <w:tc>
          <w:tcPr>
            <w:tcW w:type="dxa" w:w="1417"/>
            <w:shd w:val="clear" w:color="auto" w:fill="1F5F3F"/>
            <w:vAlign w:val="center"/>
          </w:tcPr>
          <w:p>
            <w:pPr>
              <w:jc w:val="center"/>
            </w:pPr>
            <w:r/>
            <w:r>
              <w:rPr>
                <w:rFonts w:ascii="Calibri" w:hAnsi="Calibri"/>
                <w:b/>
                <w:color w:val="FFFFFF"/>
                <w:sz w:val="20"/>
              </w:rPr>
              <w:t>Verde</w:t>
            </w:r>
          </w:p>
        </w:tc>
      </w:tr>
      <w:tr>
        <w:tc>
          <w:tcPr>
            <w:tcW w:type="dxa" w:w="3118"/>
            <w:vAlign w:val="center"/>
          </w:tcPr>
          <w:p>
            <w:pPr>
              <w:jc w:val="left"/>
            </w:pPr>
            <w:r/>
            <w:r>
              <w:rPr>
                <w:rFonts w:ascii="Calibri" w:hAnsi="Calibri"/>
                <w:color w:val="0D0D0D"/>
                <w:sz w:val="20"/>
              </w:rPr>
              <w:t>M365 Commercial Cloud ARPU YoY</w:t>
            </w:r>
          </w:p>
        </w:tc>
        <w:tc>
          <w:tcPr>
            <w:tcW w:type="dxa" w:w="2268"/>
            <w:vAlign w:val="center"/>
          </w:tcPr>
          <w:p>
            <w:pPr>
              <w:jc w:val="left"/>
            </w:pPr>
            <w:r/>
            <w:r>
              <w:rPr>
                <w:rFonts w:ascii="Calibri" w:hAnsi="Calibri"/>
                <w:color w:val="0D0D0D"/>
                <w:sz w:val="20"/>
              </w:rPr>
              <w:t>+8.4%</w:t>
            </w:r>
          </w:p>
        </w:tc>
        <w:tc>
          <w:tcPr>
            <w:tcW w:type="dxa" w:w="1984"/>
            <w:vAlign w:val="center"/>
          </w:tcPr>
          <w:p>
            <w:pPr>
              <w:jc w:val="left"/>
            </w:pPr>
            <w:r/>
            <w:r>
              <w:rPr>
                <w:rFonts w:ascii="Calibri" w:hAnsi="Calibri"/>
                <w:color w:val="0D0D0D"/>
                <w:sz w:val="20"/>
              </w:rPr>
              <w:t>≥ 5%</w:t>
            </w:r>
          </w:p>
        </w:tc>
        <w:tc>
          <w:tcPr>
            <w:tcW w:type="dxa" w:w="1417"/>
            <w:shd w:val="clear" w:color="auto" w:fill="1F5F3F"/>
            <w:vAlign w:val="center"/>
          </w:tcPr>
          <w:p>
            <w:pPr>
              <w:jc w:val="center"/>
            </w:pPr>
            <w:r/>
            <w:r>
              <w:rPr>
                <w:rFonts w:ascii="Calibri" w:hAnsi="Calibri"/>
                <w:b/>
                <w:color w:val="FFFFFF"/>
                <w:sz w:val="20"/>
              </w:rPr>
              <w:t>Verde</w:t>
            </w:r>
          </w:p>
        </w:tc>
      </w:tr>
      <w:tr>
        <w:tc>
          <w:tcPr>
            <w:tcW w:type="dxa" w:w="3118"/>
            <w:shd w:val="clear" w:color="auto" w:fill="E6E6E6"/>
            <w:vAlign w:val="center"/>
          </w:tcPr>
          <w:p>
            <w:pPr>
              <w:jc w:val="left"/>
            </w:pPr>
            <w:r/>
            <w:r>
              <w:rPr>
                <w:rFonts w:ascii="Calibri" w:hAnsi="Calibri"/>
                <w:color w:val="0D0D0D"/>
                <w:sz w:val="20"/>
              </w:rPr>
              <w:t>Copilot paid seats (millones)</w:t>
            </w:r>
          </w:p>
        </w:tc>
        <w:tc>
          <w:tcPr>
            <w:tcW w:type="dxa" w:w="2268"/>
            <w:shd w:val="clear" w:color="auto" w:fill="E6E6E6"/>
            <w:vAlign w:val="center"/>
          </w:tcPr>
          <w:p>
            <w:pPr>
              <w:jc w:val="left"/>
            </w:pPr>
            <w:r/>
            <w:r>
              <w:rPr>
                <w:rFonts w:ascii="Calibri" w:hAnsi="Calibri"/>
                <w:color w:val="0D0D0D"/>
                <w:sz w:val="20"/>
              </w:rPr>
              <w:t>12.8M</w:t>
            </w:r>
          </w:p>
        </w:tc>
        <w:tc>
          <w:tcPr>
            <w:tcW w:type="dxa" w:w="1984"/>
            <w:shd w:val="clear" w:color="auto" w:fill="E6E6E6"/>
            <w:vAlign w:val="center"/>
          </w:tcPr>
          <w:p>
            <w:pPr>
              <w:jc w:val="left"/>
            </w:pPr>
            <w:r/>
            <w:r>
              <w:rPr>
                <w:rFonts w:ascii="Calibri" w:hAnsi="Calibri"/>
                <w:color w:val="0D0D0D"/>
                <w:sz w:val="20"/>
              </w:rPr>
              <w:t>≥ 10M @ FY26</w:t>
            </w:r>
          </w:p>
        </w:tc>
        <w:tc>
          <w:tcPr>
            <w:tcW w:type="dxa" w:w="1417"/>
            <w:shd w:val="clear" w:color="auto" w:fill="1F5F3F"/>
            <w:vAlign w:val="center"/>
          </w:tcPr>
          <w:p>
            <w:pPr>
              <w:jc w:val="center"/>
            </w:pPr>
            <w:r/>
            <w:r>
              <w:rPr>
                <w:rFonts w:ascii="Calibri" w:hAnsi="Calibri"/>
                <w:b/>
                <w:color w:val="FFFFFF"/>
                <w:sz w:val="20"/>
              </w:rPr>
              <w:t>Verde</w:t>
            </w:r>
          </w:p>
        </w:tc>
      </w:tr>
      <w:tr>
        <w:tc>
          <w:tcPr>
            <w:tcW w:type="dxa" w:w="3118"/>
            <w:vAlign w:val="center"/>
          </w:tcPr>
          <w:p>
            <w:pPr>
              <w:jc w:val="left"/>
            </w:pPr>
            <w:r/>
            <w:r>
              <w:rPr>
                <w:rFonts w:ascii="Calibri" w:hAnsi="Calibri"/>
                <w:color w:val="0D0D0D"/>
                <w:sz w:val="20"/>
              </w:rPr>
              <w:t>Operating margin (LTM)</w:t>
            </w:r>
          </w:p>
        </w:tc>
        <w:tc>
          <w:tcPr>
            <w:tcW w:type="dxa" w:w="2268"/>
            <w:vAlign w:val="center"/>
          </w:tcPr>
          <w:p>
            <w:pPr>
              <w:jc w:val="left"/>
            </w:pPr>
            <w:r/>
            <w:r>
              <w:rPr>
                <w:rFonts w:ascii="Calibri" w:hAnsi="Calibri"/>
                <w:color w:val="0D0D0D"/>
                <w:sz w:val="20"/>
              </w:rPr>
              <w:t>46.2%</w:t>
            </w:r>
          </w:p>
        </w:tc>
        <w:tc>
          <w:tcPr>
            <w:tcW w:type="dxa" w:w="1984"/>
            <w:vAlign w:val="center"/>
          </w:tcPr>
          <w:p>
            <w:pPr>
              <w:jc w:val="left"/>
            </w:pPr>
            <w:r/>
            <w:r>
              <w:rPr>
                <w:rFonts w:ascii="Calibri" w:hAnsi="Calibri"/>
                <w:color w:val="0D0D0D"/>
                <w:sz w:val="20"/>
              </w:rPr>
              <w:t>≥ 44%</w:t>
            </w:r>
          </w:p>
        </w:tc>
        <w:tc>
          <w:tcPr>
            <w:tcW w:type="dxa" w:w="1417"/>
            <w:shd w:val="clear" w:color="auto" w:fill="1F5F3F"/>
            <w:vAlign w:val="center"/>
          </w:tcPr>
          <w:p>
            <w:pPr>
              <w:jc w:val="center"/>
            </w:pPr>
            <w:r/>
            <w:r>
              <w:rPr>
                <w:rFonts w:ascii="Calibri" w:hAnsi="Calibri"/>
                <w:b/>
                <w:color w:val="FFFFFF"/>
                <w:sz w:val="20"/>
              </w:rPr>
              <w:t>Verde</w:t>
            </w:r>
          </w:p>
        </w:tc>
      </w:tr>
      <w:tr>
        <w:tc>
          <w:tcPr>
            <w:tcW w:type="dxa" w:w="3118"/>
            <w:shd w:val="clear" w:color="auto" w:fill="E6E6E6"/>
            <w:vAlign w:val="center"/>
          </w:tcPr>
          <w:p>
            <w:pPr>
              <w:jc w:val="left"/>
            </w:pPr>
            <w:r/>
            <w:r>
              <w:rPr>
                <w:rFonts w:ascii="Calibri" w:hAnsi="Calibri"/>
                <w:color w:val="0D0D0D"/>
                <w:sz w:val="20"/>
              </w:rPr>
              <w:t>FCF margin (LTM)</w:t>
            </w:r>
          </w:p>
        </w:tc>
        <w:tc>
          <w:tcPr>
            <w:tcW w:type="dxa" w:w="2268"/>
            <w:shd w:val="clear" w:color="auto" w:fill="E6E6E6"/>
            <w:vAlign w:val="center"/>
          </w:tcPr>
          <w:p>
            <w:pPr>
              <w:jc w:val="left"/>
            </w:pPr>
            <w:r/>
            <w:r>
              <w:rPr>
                <w:rFonts w:ascii="Calibri" w:hAnsi="Calibri"/>
                <w:color w:val="0D0D0D"/>
                <w:sz w:val="20"/>
              </w:rPr>
              <w:t>32.1%</w:t>
            </w:r>
          </w:p>
        </w:tc>
        <w:tc>
          <w:tcPr>
            <w:tcW w:type="dxa" w:w="1984"/>
            <w:shd w:val="clear" w:color="auto" w:fill="E6E6E6"/>
            <w:vAlign w:val="center"/>
          </w:tcPr>
          <w:p>
            <w:pPr>
              <w:jc w:val="left"/>
            </w:pPr>
            <w:r/>
            <w:r>
              <w:rPr>
                <w:rFonts w:ascii="Calibri" w:hAnsi="Calibri"/>
                <w:color w:val="0D0D0D"/>
                <w:sz w:val="20"/>
              </w:rPr>
              <w:t>≥ 30%</w:t>
            </w:r>
          </w:p>
        </w:tc>
        <w:tc>
          <w:tcPr>
            <w:tcW w:type="dxa" w:w="1417"/>
            <w:shd w:val="clear" w:color="auto" w:fill="1F5F3F"/>
            <w:vAlign w:val="center"/>
          </w:tcPr>
          <w:p>
            <w:pPr>
              <w:jc w:val="center"/>
            </w:pPr>
            <w:r/>
            <w:r>
              <w:rPr>
                <w:rFonts w:ascii="Calibri" w:hAnsi="Calibri"/>
                <w:b/>
                <w:color w:val="FFFFFF"/>
                <w:sz w:val="20"/>
              </w:rPr>
              <w:t>Verde</w:t>
            </w:r>
          </w:p>
        </w:tc>
      </w:tr>
      <w:tr>
        <w:tc>
          <w:tcPr>
            <w:tcW w:type="dxa" w:w="3118"/>
            <w:vAlign w:val="center"/>
          </w:tcPr>
          <w:p>
            <w:pPr>
              <w:jc w:val="left"/>
            </w:pPr>
            <w:r/>
            <w:r>
              <w:rPr>
                <w:rFonts w:ascii="Calibri" w:hAnsi="Calibri"/>
                <w:color w:val="0D0D0D"/>
                <w:sz w:val="20"/>
              </w:rPr>
              <w:t>Net cash (USD B)</w:t>
            </w:r>
          </w:p>
        </w:tc>
        <w:tc>
          <w:tcPr>
            <w:tcW w:type="dxa" w:w="2268"/>
            <w:vAlign w:val="center"/>
          </w:tcPr>
          <w:p>
            <w:pPr>
              <w:jc w:val="left"/>
            </w:pPr>
            <w:r/>
            <w:r>
              <w:rPr>
                <w:rFonts w:ascii="Calibri" w:hAnsi="Calibri"/>
                <w:color w:val="0D0D0D"/>
                <w:sz w:val="20"/>
              </w:rPr>
              <w:t>+89</w:t>
            </w:r>
          </w:p>
        </w:tc>
        <w:tc>
          <w:tcPr>
            <w:tcW w:type="dxa" w:w="1984"/>
            <w:vAlign w:val="center"/>
          </w:tcPr>
          <w:p>
            <w:pPr>
              <w:jc w:val="left"/>
            </w:pPr>
            <w:r/>
            <w:r>
              <w:rPr>
                <w:rFonts w:ascii="Calibri" w:hAnsi="Calibri"/>
                <w:color w:val="0D0D0D"/>
                <w:sz w:val="20"/>
              </w:rPr>
              <w:t>&gt; 50</w:t>
            </w:r>
          </w:p>
        </w:tc>
        <w:tc>
          <w:tcPr>
            <w:tcW w:type="dxa" w:w="1417"/>
            <w:shd w:val="clear" w:color="auto" w:fill="1F5F3F"/>
            <w:vAlign w:val="center"/>
          </w:tcPr>
          <w:p>
            <w:pPr>
              <w:jc w:val="center"/>
            </w:pPr>
            <w:r/>
            <w:r>
              <w:rPr>
                <w:rFonts w:ascii="Calibri" w:hAnsi="Calibri"/>
                <w:b/>
                <w:color w:val="FFFFFF"/>
                <w:sz w:val="20"/>
              </w:rPr>
              <w:t>Verde</w:t>
            </w:r>
          </w:p>
        </w:tc>
      </w:tr>
      <w:tr>
        <w:tc>
          <w:tcPr>
            <w:tcW w:type="dxa" w:w="3118"/>
            <w:shd w:val="clear" w:color="auto" w:fill="E6E6E6"/>
            <w:vAlign w:val="center"/>
          </w:tcPr>
          <w:p>
            <w:pPr>
              <w:jc w:val="left"/>
            </w:pPr>
            <w:r/>
            <w:r>
              <w:rPr>
                <w:rFonts w:ascii="Calibri" w:hAnsi="Calibri"/>
                <w:color w:val="0D0D0D"/>
                <w:sz w:val="20"/>
              </w:rPr>
              <w:t>ROIC ajustado (3-yr avg)</w:t>
            </w:r>
          </w:p>
        </w:tc>
        <w:tc>
          <w:tcPr>
            <w:tcW w:type="dxa" w:w="2268"/>
            <w:shd w:val="clear" w:color="auto" w:fill="E6E6E6"/>
            <w:vAlign w:val="center"/>
          </w:tcPr>
          <w:p>
            <w:pPr>
              <w:jc w:val="left"/>
            </w:pPr>
            <w:r/>
            <w:r>
              <w:rPr>
                <w:rFonts w:ascii="Calibri" w:hAnsi="Calibri"/>
                <w:color w:val="0D0D0D"/>
                <w:sz w:val="20"/>
              </w:rPr>
              <w:t>32.4%</w:t>
            </w:r>
          </w:p>
        </w:tc>
        <w:tc>
          <w:tcPr>
            <w:tcW w:type="dxa" w:w="1984"/>
            <w:shd w:val="clear" w:color="auto" w:fill="E6E6E6"/>
            <w:vAlign w:val="center"/>
          </w:tcPr>
          <w:p>
            <w:pPr>
              <w:jc w:val="left"/>
            </w:pPr>
            <w:r/>
            <w:r>
              <w:rPr>
                <w:rFonts w:ascii="Calibri" w:hAnsi="Calibri"/>
                <w:color w:val="0D0D0D"/>
                <w:sz w:val="20"/>
              </w:rPr>
              <w:t>≥ 28%</w:t>
            </w:r>
          </w:p>
        </w:tc>
        <w:tc>
          <w:tcPr>
            <w:tcW w:type="dxa" w:w="1417"/>
            <w:shd w:val="clear" w:color="auto" w:fill="1F5F3F"/>
            <w:vAlign w:val="center"/>
          </w:tcPr>
          <w:p>
            <w:pPr>
              <w:jc w:val="center"/>
            </w:pPr>
            <w:r/>
            <w:r>
              <w:rPr>
                <w:rFonts w:ascii="Calibri" w:hAnsi="Calibri"/>
                <w:b/>
                <w:color w:val="FFFFFF"/>
                <w:sz w:val="20"/>
              </w:rPr>
              <w:t>Verde</w:t>
            </w:r>
          </w:p>
        </w:tc>
      </w:tr>
    </w:tbl>
    <w:p>
      <w:pPr>
        <w:spacing w:after="120"/>
      </w:pPr>
    </w:p>
    <w:p>
      <w:pPr>
        <w:spacing w:after="120"/>
        <w:jc w:val="both"/>
      </w:pPr>
      <w:r>
        <w:rPr>
          <w:rFonts w:ascii="Calibri" w:hAnsi="Calibri"/>
          <w:color w:val="0D0D0D"/>
          <w:sz w:val="22"/>
        </w:rPr>
        <w:t>Cualquier KPI que cruce a Amarillo (dentro de ±10% del target) o Rojo (por debajo del target) durante dos trimestres consecutivos se escala al CIO conforme al Operations Manual §2.4.</w:t>
      </w:r>
    </w:p>
    <w:p>
      <w:pPr>
        <w:spacing w:before="400" w:after="160"/>
      </w:pPr>
      <w:r>
        <w:rPr>
          <w:rFonts w:ascii="Calibri" w:hAnsi="Calibri"/>
          <w:b/>
          <w:color w:val="1B2642"/>
          <w:sz w:val="32"/>
        </w:rPr>
        <w:t>7. Expected Return Framework</w:t>
      </w:r>
    </w:p>
    <w:tbl>
      <w:tblPr>
        <w:tblW w:type="auto" w:w="0"/>
        <w:jc w:val="center"/>
        <w:tblLook w:firstColumn="1" w:firstRow="1" w:lastColumn="0" w:lastRow="0" w:noHBand="0" w:noVBand="1" w:val="04A0"/>
      </w:tblPr>
      <w:tblGrid>
        <w:gridCol w:w="3135"/>
        <w:gridCol w:w="3135"/>
        <w:gridCol w:w="3135"/>
      </w:tblGrid>
      <w:tr>
        <w:tc>
          <w:tcPr>
            <w:tcW w:type="dxa" w:w="3118"/>
            <w:shd w:val="clear" w:color="auto" w:fill="1B2642"/>
          </w:tcPr>
          <w:p>
            <w:pPr>
              <w:jc w:val="center"/>
            </w:pPr>
            <w:r/>
            <w:r>
              <w:rPr>
                <w:rFonts w:ascii="Calibri" w:hAnsi="Calibri"/>
                <w:b/>
                <w:color w:val="FFFFFF"/>
                <w:sz w:val="20"/>
              </w:rPr>
              <w:t>Componente</w:t>
            </w:r>
          </w:p>
        </w:tc>
        <w:tc>
          <w:tcPr>
            <w:tcW w:type="dxa" w:w="1984"/>
            <w:shd w:val="clear" w:color="auto" w:fill="1B2642"/>
          </w:tcPr>
          <w:p>
            <w:pPr>
              <w:jc w:val="center"/>
            </w:pPr>
            <w:r/>
            <w:r>
              <w:rPr>
                <w:rFonts w:ascii="Calibri" w:hAnsi="Calibri"/>
                <w:b/>
                <w:color w:val="FFFFFF"/>
                <w:sz w:val="20"/>
              </w:rPr>
              <w:t>Contribución anual</w:t>
            </w:r>
          </w:p>
        </w:tc>
        <w:tc>
          <w:tcPr>
            <w:tcW w:type="dxa" w:w="3969"/>
            <w:shd w:val="clear" w:color="auto" w:fill="1B2642"/>
          </w:tcPr>
          <w:p>
            <w:pPr>
              <w:jc w:val="center"/>
            </w:pPr>
            <w:r/>
            <w:r>
              <w:rPr>
                <w:rFonts w:ascii="Calibri" w:hAnsi="Calibri"/>
                <w:b/>
                <w:color w:val="FFFFFF"/>
                <w:sz w:val="20"/>
              </w:rPr>
              <w:t>Observación</w:t>
            </w:r>
          </w:p>
        </w:tc>
      </w:tr>
      <w:tr>
        <w:tc>
          <w:tcPr>
            <w:tcW w:type="dxa" w:w="3118"/>
            <w:shd w:val="clear" w:color="auto" w:fill="E6E6E6"/>
            <w:vAlign w:val="center"/>
          </w:tcPr>
          <w:p>
            <w:pPr>
              <w:jc w:val="left"/>
            </w:pPr>
            <w:r/>
            <w:r>
              <w:rPr>
                <w:rFonts w:ascii="Calibri" w:hAnsi="Calibri"/>
                <w:color w:val="0D0D0D"/>
                <w:sz w:val="20"/>
              </w:rPr>
              <w:t>Earnings growth (5-yr CAGR)</w:t>
            </w:r>
          </w:p>
        </w:tc>
        <w:tc>
          <w:tcPr>
            <w:tcW w:type="dxa" w:w="1984"/>
            <w:shd w:val="clear" w:color="auto" w:fill="E6E6E6"/>
            <w:vAlign w:val="center"/>
          </w:tcPr>
          <w:p>
            <w:pPr>
              <w:jc w:val="left"/>
            </w:pPr>
            <w:r/>
            <w:r>
              <w:rPr>
                <w:rFonts w:ascii="Calibri" w:hAnsi="Calibri"/>
                <w:color w:val="0D0D0D"/>
                <w:sz w:val="20"/>
              </w:rPr>
              <w:t>+13.5%</w:t>
            </w:r>
          </w:p>
        </w:tc>
        <w:tc>
          <w:tcPr>
            <w:tcW w:type="dxa" w:w="3969"/>
            <w:shd w:val="clear" w:color="auto" w:fill="E6E6E6"/>
            <w:vAlign w:val="center"/>
          </w:tcPr>
          <w:p>
            <w:pPr>
              <w:jc w:val="left"/>
            </w:pPr>
            <w:r/>
            <w:r>
              <w:rPr>
                <w:rFonts w:ascii="Calibri" w:hAnsi="Calibri"/>
                <w:color w:val="0D0D0D"/>
                <w:sz w:val="20"/>
              </w:rPr>
              <w:t>Driver principal (Azure + Copilot + leverage operativo)</w:t>
            </w:r>
          </w:p>
        </w:tc>
      </w:tr>
      <w:tr>
        <w:tc>
          <w:tcPr>
            <w:tcW w:type="dxa" w:w="3118"/>
            <w:vAlign w:val="center"/>
          </w:tcPr>
          <w:p>
            <w:pPr>
              <w:jc w:val="left"/>
            </w:pPr>
            <w:r/>
            <w:r>
              <w:rPr>
                <w:rFonts w:ascii="Calibri" w:hAnsi="Calibri"/>
                <w:color w:val="0D0D0D"/>
                <w:sz w:val="20"/>
              </w:rPr>
              <w:t>Multiple change (entry vs exit)</w:t>
            </w:r>
          </w:p>
        </w:tc>
        <w:tc>
          <w:tcPr>
            <w:tcW w:type="dxa" w:w="1984"/>
            <w:vAlign w:val="center"/>
          </w:tcPr>
          <w:p>
            <w:pPr>
              <w:jc w:val="left"/>
            </w:pPr>
            <w:r/>
            <w:r>
              <w:rPr>
                <w:rFonts w:ascii="Calibri" w:hAnsi="Calibri"/>
                <w:color w:val="0D0D0D"/>
                <w:sz w:val="20"/>
              </w:rPr>
              <w:t>−2.0% anual</w:t>
            </w:r>
          </w:p>
        </w:tc>
        <w:tc>
          <w:tcPr>
            <w:tcW w:type="dxa" w:w="3969"/>
            <w:vAlign w:val="center"/>
          </w:tcPr>
          <w:p>
            <w:pPr>
              <w:jc w:val="left"/>
            </w:pPr>
            <w:r/>
            <w:r>
              <w:rPr>
                <w:rFonts w:ascii="Calibri" w:hAnsi="Calibri"/>
                <w:color w:val="0D0D0D"/>
                <w:sz w:val="20"/>
              </w:rPr>
              <w:t>Asume compresión modesta de 32x → 28x P/E</w:t>
            </w:r>
          </w:p>
        </w:tc>
      </w:tr>
      <w:tr>
        <w:tc>
          <w:tcPr>
            <w:tcW w:type="dxa" w:w="3118"/>
            <w:shd w:val="clear" w:color="auto" w:fill="E6E6E6"/>
            <w:vAlign w:val="center"/>
          </w:tcPr>
          <w:p>
            <w:pPr>
              <w:jc w:val="left"/>
            </w:pPr>
            <w:r/>
            <w:r>
              <w:rPr>
                <w:rFonts w:ascii="Calibri" w:hAnsi="Calibri"/>
                <w:color w:val="0D0D0D"/>
                <w:sz w:val="20"/>
              </w:rPr>
              <w:t>Capital returns (dividend + buyback yield)</w:t>
            </w:r>
          </w:p>
        </w:tc>
        <w:tc>
          <w:tcPr>
            <w:tcW w:type="dxa" w:w="1984"/>
            <w:shd w:val="clear" w:color="auto" w:fill="E6E6E6"/>
            <w:vAlign w:val="center"/>
          </w:tcPr>
          <w:p>
            <w:pPr>
              <w:jc w:val="left"/>
            </w:pPr>
            <w:r/>
            <w:r>
              <w:rPr>
                <w:rFonts w:ascii="Calibri" w:hAnsi="Calibri"/>
                <w:color w:val="0D0D0D"/>
                <w:sz w:val="20"/>
              </w:rPr>
              <w:t>+2.8% anual</w:t>
            </w:r>
          </w:p>
        </w:tc>
        <w:tc>
          <w:tcPr>
            <w:tcW w:type="dxa" w:w="3969"/>
            <w:shd w:val="clear" w:color="auto" w:fill="E6E6E6"/>
            <w:vAlign w:val="center"/>
          </w:tcPr>
          <w:p>
            <w:pPr>
              <w:jc w:val="left"/>
            </w:pPr>
            <w:r/>
            <w:r>
              <w:rPr>
                <w:rFonts w:ascii="Calibri" w:hAnsi="Calibri"/>
                <w:color w:val="0D0D0D"/>
                <w:sz w:val="20"/>
              </w:rPr>
              <w:t>Buyback yield 1.8% + dividend yield 1.0%</w:t>
            </w:r>
          </w:p>
        </w:tc>
      </w:tr>
      <w:tr>
        <w:tc>
          <w:tcPr>
            <w:tcW w:type="dxa" w:w="3118"/>
            <w:vAlign w:val="center"/>
          </w:tcPr>
          <w:p>
            <w:pPr>
              <w:jc w:val="left"/>
            </w:pPr>
            <w:r/>
            <w:r>
              <w:rPr>
                <w:rFonts w:ascii="Calibri" w:hAnsi="Calibri"/>
                <w:color w:val="0D0D0D"/>
                <w:sz w:val="20"/>
              </w:rPr>
              <w:t>Implied IRR (5-yr, base case)</w:t>
            </w:r>
          </w:p>
        </w:tc>
        <w:tc>
          <w:tcPr>
            <w:tcW w:type="dxa" w:w="1984"/>
            <w:vAlign w:val="center"/>
          </w:tcPr>
          <w:p>
            <w:pPr>
              <w:jc w:val="left"/>
            </w:pPr>
            <w:r/>
            <w:r>
              <w:rPr>
                <w:rFonts w:ascii="Calibri" w:hAnsi="Calibri"/>
                <w:color w:val="0D0D0D"/>
                <w:sz w:val="20"/>
              </w:rPr>
              <w:t>+14.3% anual</w:t>
            </w:r>
          </w:p>
        </w:tc>
        <w:tc>
          <w:tcPr>
            <w:tcW w:type="dxa" w:w="3969"/>
            <w:vAlign w:val="center"/>
          </w:tcPr>
          <w:p>
            <w:pPr>
              <w:jc w:val="left"/>
            </w:pPr>
            <w:r/>
            <w:r>
              <w:rPr>
                <w:rFonts w:ascii="Calibri" w:hAnsi="Calibri"/>
                <w:color w:val="0D0D0D"/>
                <w:sz w:val="20"/>
              </w:rPr>
              <w:t>Vs hurdle DCE Core Compounder = 10%</w:t>
            </w:r>
          </w:p>
        </w:tc>
      </w:tr>
      <w:tr>
        <w:tc>
          <w:tcPr>
            <w:tcW w:type="dxa" w:w="3118"/>
            <w:shd w:val="clear" w:color="auto" w:fill="E6E6E6"/>
            <w:vAlign w:val="center"/>
          </w:tcPr>
          <w:p>
            <w:pPr>
              <w:jc w:val="left"/>
            </w:pPr>
            <w:r/>
            <w:r>
              <w:rPr>
                <w:rFonts w:ascii="Calibri" w:hAnsi="Calibri"/>
                <w:color w:val="0D0D0D"/>
                <w:sz w:val="20"/>
              </w:rPr>
              <w:t>Margin of safety vs hurdle</w:t>
            </w:r>
          </w:p>
        </w:tc>
        <w:tc>
          <w:tcPr>
            <w:tcW w:type="dxa" w:w="1984"/>
            <w:shd w:val="clear" w:color="auto" w:fill="E6E6E6"/>
            <w:vAlign w:val="center"/>
          </w:tcPr>
          <w:p>
            <w:pPr>
              <w:jc w:val="left"/>
            </w:pPr>
            <w:r/>
            <w:r>
              <w:rPr>
                <w:rFonts w:ascii="Calibri" w:hAnsi="Calibri"/>
                <w:color w:val="0D0D0D"/>
                <w:sz w:val="20"/>
              </w:rPr>
              <w:t>+430bps</w:t>
            </w:r>
          </w:p>
        </w:tc>
        <w:tc>
          <w:tcPr>
            <w:tcW w:type="dxa" w:w="3969"/>
            <w:shd w:val="clear" w:color="auto" w:fill="E6E6E6"/>
            <w:vAlign w:val="center"/>
          </w:tcPr>
          <w:p>
            <w:pPr>
              <w:jc w:val="left"/>
            </w:pPr>
            <w:r/>
            <w:r>
              <w:rPr>
                <w:rFonts w:ascii="Calibri" w:hAnsi="Calibri"/>
                <w:color w:val="0D0D0D"/>
                <w:sz w:val="20"/>
              </w:rPr>
              <w:t>Suficiente para Core Compounder; insuficiente para Special Situation</w:t>
            </w:r>
          </w:p>
        </w:tc>
      </w:tr>
    </w:tbl>
    <w:p>
      <w:pPr>
        <w:spacing w:after="120"/>
      </w:pPr>
    </w:p>
    <w:p>
      <w:pPr>
        <w:spacing w:after="120"/>
        <w:jc w:val="both"/>
      </w:pPr>
      <w:r>
        <w:rPr>
          <w:rFonts w:ascii="Calibri" w:hAnsi="Calibri"/>
          <w:color w:val="0D0D0D"/>
          <w:sz w:val="22"/>
        </w:rPr>
        <w:t>Valor intrínseco implícito (Columbia model, escenario base): USD 545/acción. Margen vs precio actual: +13%. La inversión cumple con el hurdle del IPS para banda Core Compounder con margen de seguridad razonable. El bear case (Azure desacelera a 20%, Copilot ramp se diluye) implica IV USD 410/acción — downside de −15%, asimetría 1.9:1 favorable a la tesis.</w:t>
      </w:r>
    </w:p>
    <w:p>
      <w:pPr>
        <w:spacing w:before="400" w:after="160"/>
      </w:pPr>
      <w:r>
        <w:rPr>
          <w:rFonts w:ascii="Calibri" w:hAnsi="Calibri"/>
          <w:b/>
          <w:color w:val="1B2642"/>
          <w:sz w:val="32"/>
        </w:rPr>
        <w:t>8. Position Sizing Rationale</w:t>
      </w:r>
    </w:p>
    <w:p>
      <w:pPr>
        <w:spacing w:after="120"/>
        <w:jc w:val="both"/>
      </w:pPr>
      <w:r>
        <w:rPr>
          <w:rFonts w:ascii="Calibri" w:hAnsi="Calibri"/>
          <w:color w:val="0D0D0D"/>
          <w:sz w:val="22"/>
        </w:rPr>
        <w:t>Tamaño objetivo 6.0% del NAV. Esto sitúa a MSFT en el centro de la banda Core Compounder definida por el IPS (4-8%), reflejando alta convicción + balance sheet fortress + profundidad de moat, pero respetando el límite superior por concentración tech. Justificaría incrementar a 8% solo si: (i) Azure mantiene &gt;27% growth dos trimestres adicionales y (ii) precio cae por debajo de USD 420 sin deterioro de fundamentales. Justificaría reducir a &lt;4% si cualquiera de los failure modes del Pre-Mortem se activa.</w:t>
      </w:r>
    </w:p>
    <w:p>
      <w:pPr>
        <w:spacing w:after="120"/>
        <w:jc w:val="both"/>
      </w:pPr>
      <w:r>
        <w:rPr>
          <w:rFonts w:ascii="Calibri" w:hAnsi="Calibri"/>
          <w:color w:val="0D0D0D"/>
          <w:sz w:val="22"/>
        </w:rPr>
        <w:t>Justificación del tamaño:</w:t>
      </w:r>
    </w:p>
    <w:p>
      <w:pPr>
        <w:pStyle w:val="ListBullet"/>
        <w:spacing w:after="40"/>
      </w:pPr>
      <w:r>
        <w:rPr>
          <w:rFonts w:ascii="Calibri" w:hAnsi="Calibri"/>
          <w:color w:val="0D0D0D"/>
          <w:sz w:val="22"/>
        </w:rPr>
        <w:t>Convicción: alta (todos los pilares de la tesis con evidencia validada en LTM).</w:t>
      </w:r>
    </w:p>
    <w:p>
      <w:pPr>
        <w:pStyle w:val="ListBullet"/>
        <w:spacing w:after="40"/>
      </w:pPr>
      <w:r>
        <w:rPr>
          <w:rFonts w:ascii="Calibri" w:hAnsi="Calibri"/>
          <w:color w:val="0D0D0D"/>
          <w:sz w:val="22"/>
        </w:rPr>
        <w:t>Liquidez: ADV &gt;USD 14B; el portafolio puede entrar y salir sin impacto.</w:t>
      </w:r>
    </w:p>
    <w:p>
      <w:pPr>
        <w:pStyle w:val="ListBullet"/>
        <w:spacing w:after="40"/>
      </w:pPr>
      <w:r>
        <w:rPr>
          <w:rFonts w:ascii="Calibri" w:hAnsi="Calibri"/>
          <w:color w:val="0D0D0D"/>
          <w:sz w:val="22"/>
        </w:rPr>
        <w:t>Correlación con resto del portafolio: moderada (sector concentration ya incluye otros tech compounders).</w:t>
      </w:r>
    </w:p>
    <w:p>
      <w:pPr>
        <w:pStyle w:val="ListBullet"/>
        <w:spacing w:after="40"/>
      </w:pPr>
      <w:r>
        <w:rPr>
          <w:rFonts w:ascii="Calibri" w:hAnsi="Calibri"/>
          <w:color w:val="0D0D0D"/>
          <w:sz w:val="22"/>
        </w:rPr>
        <w:t>Drawdown risk: bear case −15% es absorbible sin ruptura de tesis.</w:t>
      </w:r>
    </w:p>
    <w:p>
      <w:pPr>
        <w:spacing w:after="120"/>
        <w:jc w:val="both"/>
      </w:pPr>
      <w:r>
        <w:rPr>
          <w:rFonts w:ascii="Calibri" w:hAnsi="Calibri"/>
          <w:color w:val="0D0D0D"/>
          <w:sz w:val="22"/>
        </w:rPr>
        <w:t>Justificaría incrementar a 8% solo si: (i) Azure mantiene &gt;27% growth dos trimestres adicionales y (ii) precio cae por debajo de USD 420 sin deterioro de fundamentales. Justificaría reducir a &lt;4% si cualquiera de los failure modes del Pre-Mortem (§10) se activa.</w:t>
      </w:r>
    </w:p>
    <w:p>
      <w:pPr>
        <w:spacing w:before="400" w:after="160"/>
      </w:pPr>
      <w:r>
        <w:rPr>
          <w:rFonts w:ascii="Calibri" w:hAnsi="Calibri"/>
          <w:b/>
          <w:color w:val="1B2642"/>
          <w:sz w:val="32"/>
        </w:rPr>
        <w:t>9. Catalysts</w:t>
      </w:r>
    </w:p>
    <w:tbl>
      <w:tblPr>
        <w:tblW w:type="auto" w:w="0"/>
        <w:jc w:val="center"/>
        <w:tblLook w:firstColumn="1" w:firstRow="1" w:lastColumn="0" w:lastRow="0" w:noHBand="0" w:noVBand="1" w:val="04A0"/>
      </w:tblPr>
      <w:tblGrid>
        <w:gridCol w:w="3135"/>
        <w:gridCol w:w="3135"/>
        <w:gridCol w:w="3135"/>
      </w:tblGrid>
      <w:tr>
        <w:tc>
          <w:tcPr>
            <w:tcW w:type="dxa" w:w="2835"/>
            <w:shd w:val="clear" w:color="auto" w:fill="1B2642"/>
          </w:tcPr>
          <w:p>
            <w:pPr>
              <w:jc w:val="center"/>
            </w:pPr>
            <w:r/>
            <w:r>
              <w:rPr>
                <w:rFonts w:ascii="Calibri" w:hAnsi="Calibri"/>
                <w:b/>
                <w:color w:val="FFFFFF"/>
                <w:sz w:val="20"/>
              </w:rPr>
              <w:t>Catalyst</w:t>
            </w:r>
          </w:p>
        </w:tc>
        <w:tc>
          <w:tcPr>
            <w:tcW w:type="dxa" w:w="1984"/>
            <w:shd w:val="clear" w:color="auto" w:fill="1B2642"/>
          </w:tcPr>
          <w:p>
            <w:pPr>
              <w:jc w:val="center"/>
            </w:pPr>
            <w:r/>
            <w:r>
              <w:rPr>
                <w:rFonts w:ascii="Calibri" w:hAnsi="Calibri"/>
                <w:b/>
                <w:color w:val="FFFFFF"/>
                <w:sz w:val="20"/>
              </w:rPr>
              <w:t>Timing estimado</w:t>
            </w:r>
          </w:p>
        </w:tc>
        <w:tc>
          <w:tcPr>
            <w:tcW w:type="dxa" w:w="4252"/>
            <w:shd w:val="clear" w:color="auto" w:fill="1B2642"/>
          </w:tcPr>
          <w:p>
            <w:pPr>
              <w:jc w:val="center"/>
            </w:pPr>
            <w:r/>
            <w:r>
              <w:rPr>
                <w:rFonts w:ascii="Calibri" w:hAnsi="Calibri"/>
                <w:b/>
                <w:color w:val="FFFFFF"/>
                <w:sz w:val="20"/>
              </w:rPr>
              <w:t>Impacto sobre la tesis</w:t>
            </w:r>
          </w:p>
        </w:tc>
      </w:tr>
      <w:tr>
        <w:tc>
          <w:tcPr>
            <w:tcW w:type="dxa" w:w="2835"/>
            <w:shd w:val="clear" w:color="auto" w:fill="E6E6E6"/>
            <w:vAlign w:val="center"/>
          </w:tcPr>
          <w:p>
            <w:pPr>
              <w:jc w:val="left"/>
            </w:pPr>
            <w:r/>
            <w:r>
              <w:rPr>
                <w:rFonts w:ascii="Calibri" w:hAnsi="Calibri"/>
                <w:color w:val="0D0D0D"/>
                <w:sz w:val="20"/>
              </w:rPr>
              <w:t>Earnings reports trimestrales</w:t>
            </w:r>
          </w:p>
        </w:tc>
        <w:tc>
          <w:tcPr>
            <w:tcW w:type="dxa" w:w="1984"/>
            <w:shd w:val="clear" w:color="auto" w:fill="E6E6E6"/>
            <w:vAlign w:val="center"/>
          </w:tcPr>
          <w:p>
            <w:pPr>
              <w:jc w:val="left"/>
            </w:pPr>
            <w:r/>
            <w:r>
              <w:rPr>
                <w:rFonts w:ascii="Calibri" w:hAnsi="Calibri"/>
                <w:color w:val="0D0D0D"/>
                <w:sz w:val="20"/>
              </w:rPr>
              <w:t>Recurrente</w:t>
            </w:r>
          </w:p>
        </w:tc>
        <w:tc>
          <w:tcPr>
            <w:tcW w:type="dxa" w:w="4252"/>
            <w:shd w:val="clear" w:color="auto" w:fill="E6E6E6"/>
            <w:vAlign w:val="center"/>
          </w:tcPr>
          <w:p>
            <w:pPr>
              <w:jc w:val="left"/>
            </w:pPr>
            <w:r/>
            <w:r>
              <w:rPr>
                <w:rFonts w:ascii="Calibri" w:hAnsi="Calibri"/>
                <w:color w:val="0D0D0D"/>
                <w:sz w:val="20"/>
              </w:rPr>
              <w:t>Validación de Azure growth + Copilot adoption</w:t>
            </w:r>
          </w:p>
        </w:tc>
      </w:tr>
      <w:tr>
        <w:tc>
          <w:tcPr>
            <w:tcW w:type="dxa" w:w="2835"/>
            <w:vAlign w:val="center"/>
          </w:tcPr>
          <w:p>
            <w:pPr>
              <w:jc w:val="left"/>
            </w:pPr>
            <w:r/>
            <w:r>
              <w:rPr>
                <w:rFonts w:ascii="Calibri" w:hAnsi="Calibri"/>
                <w:color w:val="0D0D0D"/>
                <w:sz w:val="20"/>
              </w:rPr>
              <w:t>Microsoft Build 2026 (mayo)</w:t>
            </w:r>
          </w:p>
        </w:tc>
        <w:tc>
          <w:tcPr>
            <w:tcW w:type="dxa" w:w="1984"/>
            <w:vAlign w:val="center"/>
          </w:tcPr>
          <w:p>
            <w:pPr>
              <w:jc w:val="left"/>
            </w:pPr>
            <w:r/>
            <w:r>
              <w:rPr>
                <w:rFonts w:ascii="Calibri" w:hAnsi="Calibri"/>
                <w:color w:val="0D0D0D"/>
                <w:sz w:val="20"/>
              </w:rPr>
              <w:t>Q2 2026</w:t>
            </w:r>
          </w:p>
        </w:tc>
        <w:tc>
          <w:tcPr>
            <w:tcW w:type="dxa" w:w="4252"/>
            <w:vAlign w:val="center"/>
          </w:tcPr>
          <w:p>
            <w:pPr>
              <w:jc w:val="left"/>
            </w:pPr>
            <w:r/>
            <w:r>
              <w:rPr>
                <w:rFonts w:ascii="Calibri" w:hAnsi="Calibri"/>
                <w:color w:val="0D0D0D"/>
                <w:sz w:val="20"/>
              </w:rPr>
              <w:t>Anuncios Copilot Studio + agentes; demuestra runway</w:t>
            </w:r>
          </w:p>
        </w:tc>
      </w:tr>
      <w:tr>
        <w:tc>
          <w:tcPr>
            <w:tcW w:type="dxa" w:w="2835"/>
            <w:shd w:val="clear" w:color="auto" w:fill="E6E6E6"/>
            <w:vAlign w:val="center"/>
          </w:tcPr>
          <w:p>
            <w:pPr>
              <w:jc w:val="left"/>
            </w:pPr>
            <w:r/>
            <w:r>
              <w:rPr>
                <w:rFonts w:ascii="Calibri" w:hAnsi="Calibri"/>
                <w:color w:val="0D0D0D"/>
                <w:sz w:val="20"/>
              </w:rPr>
              <w:t>Pricing rounds M365</w:t>
            </w:r>
          </w:p>
        </w:tc>
        <w:tc>
          <w:tcPr>
            <w:tcW w:type="dxa" w:w="1984"/>
            <w:shd w:val="clear" w:color="auto" w:fill="E6E6E6"/>
            <w:vAlign w:val="center"/>
          </w:tcPr>
          <w:p>
            <w:pPr>
              <w:jc w:val="left"/>
            </w:pPr>
            <w:r/>
            <w:r>
              <w:rPr>
                <w:rFonts w:ascii="Calibri" w:hAnsi="Calibri"/>
                <w:color w:val="0D0D0D"/>
                <w:sz w:val="20"/>
              </w:rPr>
              <w:t>FY27 H1</w:t>
            </w:r>
          </w:p>
        </w:tc>
        <w:tc>
          <w:tcPr>
            <w:tcW w:type="dxa" w:w="4252"/>
            <w:shd w:val="clear" w:color="auto" w:fill="E6E6E6"/>
            <w:vAlign w:val="center"/>
          </w:tcPr>
          <w:p>
            <w:pPr>
              <w:jc w:val="left"/>
            </w:pPr>
            <w:r/>
            <w:r>
              <w:rPr>
                <w:rFonts w:ascii="Calibri" w:hAnsi="Calibri"/>
                <w:color w:val="0D0D0D"/>
                <w:sz w:val="20"/>
              </w:rPr>
              <w:t>Activa el siguiente leg de revenue growth</w:t>
            </w:r>
          </w:p>
        </w:tc>
      </w:tr>
      <w:tr>
        <w:tc>
          <w:tcPr>
            <w:tcW w:type="dxa" w:w="2835"/>
            <w:vAlign w:val="center"/>
          </w:tcPr>
          <w:p>
            <w:pPr>
              <w:jc w:val="left"/>
            </w:pPr>
            <w:r/>
            <w:r>
              <w:rPr>
                <w:rFonts w:ascii="Calibri" w:hAnsi="Calibri"/>
                <w:color w:val="0D0D0D"/>
                <w:sz w:val="20"/>
              </w:rPr>
              <w:t>AI capex normalization</w:t>
            </w:r>
          </w:p>
        </w:tc>
        <w:tc>
          <w:tcPr>
            <w:tcW w:type="dxa" w:w="1984"/>
            <w:vAlign w:val="center"/>
          </w:tcPr>
          <w:p>
            <w:pPr>
              <w:jc w:val="left"/>
            </w:pPr>
            <w:r/>
            <w:r>
              <w:rPr>
                <w:rFonts w:ascii="Calibri" w:hAnsi="Calibri"/>
                <w:color w:val="0D0D0D"/>
                <w:sz w:val="20"/>
              </w:rPr>
              <w:t>FY27-FY28</w:t>
            </w:r>
          </w:p>
        </w:tc>
        <w:tc>
          <w:tcPr>
            <w:tcW w:type="dxa" w:w="4252"/>
            <w:vAlign w:val="center"/>
          </w:tcPr>
          <w:p>
            <w:pPr>
              <w:jc w:val="left"/>
            </w:pPr>
            <w:r/>
            <w:r>
              <w:rPr>
                <w:rFonts w:ascii="Calibri" w:hAnsi="Calibri"/>
                <w:color w:val="0D0D0D"/>
                <w:sz w:val="20"/>
              </w:rPr>
              <w:t>FCF re-accelerates al normalizarse el invest-cycle</w:t>
            </w:r>
          </w:p>
        </w:tc>
      </w:tr>
      <w:tr>
        <w:tc>
          <w:tcPr>
            <w:tcW w:type="dxa" w:w="2835"/>
            <w:shd w:val="clear" w:color="auto" w:fill="E6E6E6"/>
            <w:vAlign w:val="center"/>
          </w:tcPr>
          <w:p>
            <w:pPr>
              <w:jc w:val="left"/>
            </w:pPr>
            <w:r/>
            <w:r>
              <w:rPr>
                <w:rFonts w:ascii="Calibri" w:hAnsi="Calibri"/>
                <w:color w:val="0D0D0D"/>
                <w:sz w:val="20"/>
              </w:rPr>
              <w:t>Re-rating multiple</w:t>
            </w:r>
          </w:p>
        </w:tc>
        <w:tc>
          <w:tcPr>
            <w:tcW w:type="dxa" w:w="1984"/>
            <w:shd w:val="clear" w:color="auto" w:fill="E6E6E6"/>
            <w:vAlign w:val="center"/>
          </w:tcPr>
          <w:p>
            <w:pPr>
              <w:jc w:val="left"/>
            </w:pPr>
            <w:r/>
            <w:r>
              <w:rPr>
                <w:rFonts w:ascii="Calibri" w:hAnsi="Calibri"/>
                <w:color w:val="0D0D0D"/>
                <w:sz w:val="20"/>
              </w:rPr>
              <w:t>Cualquiera del trimestre</w:t>
            </w:r>
          </w:p>
        </w:tc>
        <w:tc>
          <w:tcPr>
            <w:tcW w:type="dxa" w:w="4252"/>
            <w:shd w:val="clear" w:color="auto" w:fill="E6E6E6"/>
            <w:vAlign w:val="center"/>
          </w:tcPr>
          <w:p>
            <w:pPr>
              <w:jc w:val="left"/>
            </w:pPr>
            <w:r/>
            <w:r>
              <w:rPr>
                <w:rFonts w:ascii="Calibri" w:hAnsi="Calibri"/>
                <w:color w:val="0D0D0D"/>
                <w:sz w:val="20"/>
              </w:rPr>
              <w:t>Si AI productivity gains se vuelven visibles a nivel macro</w:t>
            </w:r>
          </w:p>
        </w:tc>
      </w:tr>
    </w:tbl>
    <w:p>
      <w:pPr>
        <w:spacing w:after="120"/>
      </w:pPr>
    </w:p>
    <w:p>
      <w:pPr>
        <w:spacing w:after="120"/>
        <w:jc w:val="both"/>
      </w:pPr>
      <w:r>
        <w:rPr>
          <w:rFonts w:ascii="Calibri" w:hAnsi="Calibri"/>
          <w:color w:val="0D0D0D"/>
          <w:sz w:val="22"/>
        </w:rPr>
        <w:t>Para un compounder como MSFT, la consistencia de ejecución trimestre tras trimestre es por sí misma el catalyst más poderoso. El mercado tarda años en re-ratear compounders de calidad porque siempre asume mean reversion; Microsoft ha vencido esa expectativa por 11 años consecutivos bajo Nadella.</w:t>
      </w:r>
    </w:p>
    <w:p>
      <w:pPr>
        <w:spacing w:before="400" w:after="160"/>
      </w:pPr>
      <w:r>
        <w:rPr>
          <w:rFonts w:ascii="Calibri" w:hAnsi="Calibri"/>
          <w:b/>
          <w:color w:val="1B2642"/>
          <w:sz w:val="32"/>
        </w:rPr>
        <w:t>10. Premortem</w:t>
      </w:r>
    </w:p>
    <w:p>
      <w:pPr>
        <w:spacing w:after="120"/>
        <w:jc w:val="both"/>
      </w:pPr>
      <w:r>
        <w:rPr>
          <w:rFonts w:ascii="Calibri" w:hAnsi="Calibri"/>
          <w:color w:val="0D0D0D"/>
          <w:sz w:val="22"/>
        </w:rPr>
        <w:t>Asumiendo que en 5 años esta inversión perdió capital de forma permanente, identificamos los failure modes específicos que pueden destruir la tesis. Cada modo se trackea trimestralmente en el Re-Underwriting §5 con su indicador de monitoreo correspondiente.</w:t>
      </w:r>
    </w:p>
    <w:tbl>
      <w:tblPr>
        <w:tblW w:type="auto" w:w="0"/>
        <w:jc w:val="center"/>
        <w:tblLook w:firstColumn="1" w:firstRow="1" w:lastColumn="0" w:lastRow="0" w:noHBand="0" w:noVBand="1" w:val="04A0"/>
      </w:tblPr>
      <w:tblGrid>
        <w:gridCol w:w="2351"/>
        <w:gridCol w:w="2351"/>
        <w:gridCol w:w="2351"/>
        <w:gridCol w:w="2351"/>
      </w:tblGrid>
      <w:tr>
        <w:tc>
          <w:tcPr>
            <w:tcW w:type="dxa" w:w="2835"/>
            <w:shd w:val="clear" w:color="auto" w:fill="1B2642"/>
          </w:tcPr>
          <w:p>
            <w:pPr>
              <w:jc w:val="center"/>
            </w:pPr>
            <w:r/>
            <w:r>
              <w:rPr>
                <w:rFonts w:ascii="Calibri" w:hAnsi="Calibri"/>
                <w:b/>
                <w:color w:val="FFFFFF"/>
                <w:sz w:val="20"/>
              </w:rPr>
              <w:t>Failure Mode</w:t>
            </w:r>
          </w:p>
        </w:tc>
        <w:tc>
          <w:tcPr>
            <w:tcW w:type="dxa" w:w="1247"/>
            <w:shd w:val="clear" w:color="auto" w:fill="1B2642"/>
          </w:tcPr>
          <w:p>
            <w:pPr>
              <w:jc w:val="center"/>
            </w:pPr>
            <w:r/>
            <w:r>
              <w:rPr>
                <w:rFonts w:ascii="Calibri" w:hAnsi="Calibri"/>
                <w:b/>
                <w:color w:val="FFFFFF"/>
                <w:sz w:val="20"/>
              </w:rPr>
              <w:t>Probabilidad</w:t>
            </w:r>
          </w:p>
        </w:tc>
        <w:tc>
          <w:tcPr>
            <w:tcW w:type="dxa" w:w="1134"/>
            <w:shd w:val="clear" w:color="auto" w:fill="1B2642"/>
          </w:tcPr>
          <w:p>
            <w:pPr>
              <w:jc w:val="center"/>
            </w:pPr>
            <w:r/>
            <w:r>
              <w:rPr>
                <w:rFonts w:ascii="Calibri" w:hAnsi="Calibri"/>
                <w:b/>
                <w:color w:val="FFFFFF"/>
                <w:sz w:val="20"/>
              </w:rPr>
              <w:t>Severidad</w:t>
            </w:r>
          </w:p>
        </w:tc>
        <w:tc>
          <w:tcPr>
            <w:tcW w:type="dxa" w:w="3855"/>
            <w:shd w:val="clear" w:color="auto" w:fill="1B2642"/>
          </w:tcPr>
          <w:p>
            <w:pPr>
              <w:jc w:val="center"/>
            </w:pPr>
            <w:r/>
            <w:r>
              <w:rPr>
                <w:rFonts w:ascii="Calibri" w:hAnsi="Calibri"/>
                <w:b/>
                <w:color w:val="FFFFFF"/>
                <w:sz w:val="20"/>
              </w:rPr>
              <w:t>Indicador de monitoreo</w:t>
            </w:r>
          </w:p>
        </w:tc>
      </w:tr>
      <w:tr>
        <w:tc>
          <w:tcPr>
            <w:tcW w:type="dxa" w:w="2835"/>
            <w:shd w:val="clear" w:color="auto" w:fill="E6E6E6"/>
            <w:vAlign w:val="center"/>
          </w:tcPr>
          <w:p>
            <w:pPr>
              <w:jc w:val="left"/>
            </w:pPr>
            <w:r/>
            <w:r>
              <w:rPr>
                <w:rFonts w:ascii="Calibri" w:hAnsi="Calibri"/>
                <w:color w:val="0D0D0D"/>
                <w:sz w:val="20"/>
              </w:rPr>
              <w:t>Azure pierde momentum estructural</w:t>
            </w:r>
          </w:p>
        </w:tc>
        <w:tc>
          <w:tcPr>
            <w:tcW w:type="dxa" w:w="1247"/>
            <w:shd w:val="clear" w:color="auto" w:fill="E6E6E6"/>
            <w:vAlign w:val="center"/>
          </w:tcPr>
          <w:p>
            <w:pPr>
              <w:jc w:val="left"/>
            </w:pPr>
            <w:r/>
            <w:r>
              <w:rPr>
                <w:rFonts w:ascii="Calibri" w:hAnsi="Calibri"/>
                <w:color w:val="0D0D0D"/>
                <w:sz w:val="20"/>
              </w:rPr>
              <w:t>Baja</w:t>
            </w:r>
          </w:p>
        </w:tc>
        <w:tc>
          <w:tcPr>
            <w:tcW w:type="dxa" w:w="1134"/>
            <w:shd w:val="clear" w:color="auto" w:fill="E6E6E6"/>
            <w:vAlign w:val="center"/>
          </w:tcPr>
          <w:p>
            <w:pPr>
              <w:jc w:val="left"/>
            </w:pPr>
            <w:r/>
            <w:r>
              <w:rPr>
                <w:rFonts w:ascii="Calibri" w:hAnsi="Calibri"/>
                <w:color w:val="0D0D0D"/>
                <w:sz w:val="20"/>
              </w:rPr>
              <w:t>Crítica</w:t>
            </w:r>
          </w:p>
        </w:tc>
        <w:tc>
          <w:tcPr>
            <w:tcW w:type="dxa" w:w="3855"/>
            <w:shd w:val="clear" w:color="auto" w:fill="E6E6E6"/>
            <w:vAlign w:val="center"/>
          </w:tcPr>
          <w:p>
            <w:pPr>
              <w:jc w:val="left"/>
            </w:pPr>
            <w:r/>
            <w:r>
              <w:rPr>
                <w:rFonts w:ascii="Calibri" w:hAnsi="Calibri"/>
                <w:color w:val="0D0D0D"/>
                <w:sz w:val="20"/>
              </w:rPr>
              <w:t>Azure growth YoY &lt; 22% por 3 trimestres consecutivos sin razón macro.</w:t>
            </w:r>
          </w:p>
        </w:tc>
      </w:tr>
      <w:tr>
        <w:tc>
          <w:tcPr>
            <w:tcW w:type="dxa" w:w="2835"/>
            <w:vAlign w:val="center"/>
          </w:tcPr>
          <w:p>
            <w:pPr>
              <w:jc w:val="left"/>
            </w:pPr>
            <w:r/>
            <w:r>
              <w:rPr>
                <w:rFonts w:ascii="Calibri" w:hAnsi="Calibri"/>
                <w:color w:val="0D0D0D"/>
                <w:sz w:val="20"/>
              </w:rPr>
              <w:t>AI capex no genera retorno proporcional</w:t>
            </w:r>
          </w:p>
        </w:tc>
        <w:tc>
          <w:tcPr>
            <w:tcW w:type="dxa" w:w="1247"/>
            <w:vAlign w:val="center"/>
          </w:tcPr>
          <w:p>
            <w:pPr>
              <w:jc w:val="left"/>
            </w:pPr>
            <w:r/>
            <w:r>
              <w:rPr>
                <w:rFonts w:ascii="Calibri" w:hAnsi="Calibri"/>
                <w:color w:val="0D0D0D"/>
                <w:sz w:val="20"/>
              </w:rPr>
              <w:t>Media</w:t>
            </w:r>
          </w:p>
        </w:tc>
        <w:tc>
          <w:tcPr>
            <w:tcW w:type="dxa" w:w="1134"/>
            <w:vAlign w:val="center"/>
          </w:tcPr>
          <w:p>
            <w:pPr>
              <w:jc w:val="left"/>
            </w:pPr>
            <w:r/>
            <w:r>
              <w:rPr>
                <w:rFonts w:ascii="Calibri" w:hAnsi="Calibri"/>
                <w:color w:val="0D0D0D"/>
                <w:sz w:val="20"/>
              </w:rPr>
              <w:t>Alta</w:t>
            </w:r>
          </w:p>
        </w:tc>
        <w:tc>
          <w:tcPr>
            <w:tcW w:type="dxa" w:w="3855"/>
            <w:vAlign w:val="center"/>
          </w:tcPr>
          <w:p>
            <w:pPr>
              <w:jc w:val="left"/>
            </w:pPr>
            <w:r/>
            <w:r>
              <w:rPr>
                <w:rFonts w:ascii="Calibri" w:hAnsi="Calibri"/>
                <w:color w:val="0D0D0D"/>
                <w:sz w:val="20"/>
              </w:rPr>
              <w:t>ROIC ajustado cae bajo 25%; FCF margin bajo 28% por 4 trimestres.</w:t>
            </w:r>
          </w:p>
        </w:tc>
      </w:tr>
      <w:tr>
        <w:tc>
          <w:tcPr>
            <w:tcW w:type="dxa" w:w="2835"/>
            <w:shd w:val="clear" w:color="auto" w:fill="E6E6E6"/>
            <w:vAlign w:val="center"/>
          </w:tcPr>
          <w:p>
            <w:pPr>
              <w:jc w:val="left"/>
            </w:pPr>
            <w:r/>
            <w:r>
              <w:rPr>
                <w:rFonts w:ascii="Calibri" w:hAnsi="Calibri"/>
                <w:color w:val="0D0D0D"/>
                <w:sz w:val="20"/>
              </w:rPr>
              <w:t>Disrupción competitiva en M365</w:t>
            </w:r>
          </w:p>
        </w:tc>
        <w:tc>
          <w:tcPr>
            <w:tcW w:type="dxa" w:w="1247"/>
            <w:shd w:val="clear" w:color="auto" w:fill="E6E6E6"/>
            <w:vAlign w:val="center"/>
          </w:tcPr>
          <w:p>
            <w:pPr>
              <w:jc w:val="left"/>
            </w:pPr>
            <w:r/>
            <w:r>
              <w:rPr>
                <w:rFonts w:ascii="Calibri" w:hAnsi="Calibri"/>
                <w:color w:val="0D0D0D"/>
                <w:sz w:val="20"/>
              </w:rPr>
              <w:t>Baja</w:t>
            </w:r>
          </w:p>
        </w:tc>
        <w:tc>
          <w:tcPr>
            <w:tcW w:type="dxa" w:w="1134"/>
            <w:shd w:val="clear" w:color="auto" w:fill="E6E6E6"/>
            <w:vAlign w:val="center"/>
          </w:tcPr>
          <w:p>
            <w:pPr>
              <w:jc w:val="left"/>
            </w:pPr>
            <w:r/>
            <w:r>
              <w:rPr>
                <w:rFonts w:ascii="Calibri" w:hAnsi="Calibri"/>
                <w:color w:val="0D0D0D"/>
                <w:sz w:val="20"/>
              </w:rPr>
              <w:t>Alta</w:t>
            </w:r>
          </w:p>
        </w:tc>
        <w:tc>
          <w:tcPr>
            <w:tcW w:type="dxa" w:w="3855"/>
            <w:shd w:val="clear" w:color="auto" w:fill="E6E6E6"/>
            <w:vAlign w:val="center"/>
          </w:tcPr>
          <w:p>
            <w:pPr>
              <w:jc w:val="left"/>
            </w:pPr>
            <w:r/>
            <w:r>
              <w:rPr>
                <w:rFonts w:ascii="Calibri" w:hAnsi="Calibri"/>
                <w:color w:val="0D0D0D"/>
                <w:sz w:val="20"/>
              </w:rPr>
              <w:t>Churn enterprise &gt; 4% YoY; o pérdida de cliente Tier 1 (Fortune 50) mediático.</w:t>
            </w:r>
          </w:p>
        </w:tc>
      </w:tr>
      <w:tr>
        <w:tc>
          <w:tcPr>
            <w:tcW w:type="dxa" w:w="2835"/>
            <w:vAlign w:val="center"/>
          </w:tcPr>
          <w:p>
            <w:pPr>
              <w:jc w:val="left"/>
            </w:pPr>
            <w:r/>
            <w:r>
              <w:rPr>
                <w:rFonts w:ascii="Calibri" w:hAnsi="Calibri"/>
                <w:color w:val="0D0D0D"/>
                <w:sz w:val="20"/>
              </w:rPr>
              <w:t>Regulación antitrust (UE/US)</w:t>
            </w:r>
          </w:p>
        </w:tc>
        <w:tc>
          <w:tcPr>
            <w:tcW w:type="dxa" w:w="1247"/>
            <w:vAlign w:val="center"/>
          </w:tcPr>
          <w:p>
            <w:pPr>
              <w:jc w:val="left"/>
            </w:pPr>
            <w:r/>
            <w:r>
              <w:rPr>
                <w:rFonts w:ascii="Calibri" w:hAnsi="Calibri"/>
                <w:color w:val="0D0D0D"/>
                <w:sz w:val="20"/>
              </w:rPr>
              <w:t>Media</w:t>
            </w:r>
          </w:p>
        </w:tc>
        <w:tc>
          <w:tcPr>
            <w:tcW w:type="dxa" w:w="1134"/>
            <w:vAlign w:val="center"/>
          </w:tcPr>
          <w:p>
            <w:pPr>
              <w:jc w:val="left"/>
            </w:pPr>
            <w:r/>
            <w:r>
              <w:rPr>
                <w:rFonts w:ascii="Calibri" w:hAnsi="Calibri"/>
                <w:color w:val="0D0D0D"/>
                <w:sz w:val="20"/>
              </w:rPr>
              <w:t>Media</w:t>
            </w:r>
          </w:p>
        </w:tc>
        <w:tc>
          <w:tcPr>
            <w:tcW w:type="dxa" w:w="3855"/>
            <w:vAlign w:val="center"/>
          </w:tcPr>
          <w:p>
            <w:pPr>
              <w:jc w:val="left"/>
            </w:pPr>
            <w:r/>
            <w:r>
              <w:rPr>
                <w:rFonts w:ascii="Calibri" w:hAnsi="Calibri"/>
                <w:color w:val="0D0D0D"/>
                <w:sz w:val="20"/>
              </w:rPr>
              <w:t>Forced unbundling de Copilot/Teams; multa &gt; USD 5B; restricciones a M&amp;A.</w:t>
            </w:r>
          </w:p>
        </w:tc>
      </w:tr>
      <w:tr>
        <w:tc>
          <w:tcPr>
            <w:tcW w:type="dxa" w:w="2835"/>
            <w:shd w:val="clear" w:color="auto" w:fill="E6E6E6"/>
            <w:vAlign w:val="center"/>
          </w:tcPr>
          <w:p>
            <w:pPr>
              <w:jc w:val="left"/>
            </w:pPr>
            <w:r/>
            <w:r>
              <w:rPr>
                <w:rFonts w:ascii="Calibri" w:hAnsi="Calibri"/>
                <w:color w:val="0D0D0D"/>
                <w:sz w:val="20"/>
              </w:rPr>
              <w:t>Sucesión Nadella mal manejada</w:t>
            </w:r>
          </w:p>
        </w:tc>
        <w:tc>
          <w:tcPr>
            <w:tcW w:type="dxa" w:w="1247"/>
            <w:shd w:val="clear" w:color="auto" w:fill="E6E6E6"/>
            <w:vAlign w:val="center"/>
          </w:tcPr>
          <w:p>
            <w:pPr>
              <w:jc w:val="left"/>
            </w:pPr>
            <w:r/>
            <w:r>
              <w:rPr>
                <w:rFonts w:ascii="Calibri" w:hAnsi="Calibri"/>
                <w:color w:val="0D0D0D"/>
                <w:sz w:val="20"/>
              </w:rPr>
              <w:t>Baja</w:t>
            </w:r>
          </w:p>
        </w:tc>
        <w:tc>
          <w:tcPr>
            <w:tcW w:type="dxa" w:w="1134"/>
            <w:shd w:val="clear" w:color="auto" w:fill="E6E6E6"/>
            <w:vAlign w:val="center"/>
          </w:tcPr>
          <w:p>
            <w:pPr>
              <w:jc w:val="left"/>
            </w:pPr>
            <w:r/>
            <w:r>
              <w:rPr>
                <w:rFonts w:ascii="Calibri" w:hAnsi="Calibri"/>
                <w:color w:val="0D0D0D"/>
                <w:sz w:val="20"/>
              </w:rPr>
              <w:t>Alta</w:t>
            </w:r>
          </w:p>
        </w:tc>
        <w:tc>
          <w:tcPr>
            <w:tcW w:type="dxa" w:w="3855"/>
            <w:shd w:val="clear" w:color="auto" w:fill="E6E6E6"/>
            <w:vAlign w:val="center"/>
          </w:tcPr>
          <w:p>
            <w:pPr>
              <w:jc w:val="left"/>
            </w:pPr>
            <w:r/>
            <w:r>
              <w:rPr>
                <w:rFonts w:ascii="Calibri" w:hAnsi="Calibri"/>
                <w:color w:val="0D0D0D"/>
                <w:sz w:val="20"/>
              </w:rPr>
              <w:t>Anuncio de salida sin plan de sucesión claro; deterioro de capital allocation discipline.</w:t>
            </w:r>
          </w:p>
        </w:tc>
      </w:tr>
      <w:tr>
        <w:tc>
          <w:tcPr>
            <w:tcW w:type="dxa" w:w="2835"/>
            <w:vAlign w:val="center"/>
          </w:tcPr>
          <w:p>
            <w:pPr>
              <w:jc w:val="left"/>
            </w:pPr>
            <w:r/>
            <w:r>
              <w:rPr>
                <w:rFonts w:ascii="Calibri" w:hAnsi="Calibri"/>
                <w:color w:val="0D0D0D"/>
                <w:sz w:val="20"/>
              </w:rPr>
              <w:t>Recesión severa enterprise IT spend</w:t>
            </w:r>
          </w:p>
        </w:tc>
        <w:tc>
          <w:tcPr>
            <w:tcW w:type="dxa" w:w="1247"/>
            <w:vAlign w:val="center"/>
          </w:tcPr>
          <w:p>
            <w:pPr>
              <w:jc w:val="left"/>
            </w:pPr>
            <w:r/>
            <w:r>
              <w:rPr>
                <w:rFonts w:ascii="Calibri" w:hAnsi="Calibri"/>
                <w:color w:val="0D0D0D"/>
                <w:sz w:val="20"/>
              </w:rPr>
              <w:t>Media</w:t>
            </w:r>
          </w:p>
        </w:tc>
        <w:tc>
          <w:tcPr>
            <w:tcW w:type="dxa" w:w="1134"/>
            <w:vAlign w:val="center"/>
          </w:tcPr>
          <w:p>
            <w:pPr>
              <w:jc w:val="left"/>
            </w:pPr>
            <w:r/>
            <w:r>
              <w:rPr>
                <w:rFonts w:ascii="Calibri" w:hAnsi="Calibri"/>
                <w:color w:val="0D0D0D"/>
                <w:sz w:val="20"/>
              </w:rPr>
              <w:t>Media</w:t>
            </w:r>
          </w:p>
        </w:tc>
        <w:tc>
          <w:tcPr>
            <w:tcW w:type="dxa" w:w="3855"/>
            <w:vAlign w:val="center"/>
          </w:tcPr>
          <w:p>
            <w:pPr>
              <w:jc w:val="left"/>
            </w:pPr>
            <w:r/>
            <w:r>
              <w:rPr>
                <w:rFonts w:ascii="Calibri" w:hAnsi="Calibri"/>
                <w:color w:val="0D0D0D"/>
                <w:sz w:val="20"/>
              </w:rPr>
              <w:t>Azure new bookings caen &gt;30% YoY; renewals downgraded a tier inferior.</w:t>
            </w:r>
          </w:p>
        </w:tc>
      </w:tr>
    </w:tbl>
    <w:p>
      <w:pPr>
        <w:spacing w:after="120"/>
      </w:pPr>
    </w:p>
    <w:p>
      <w:pPr>
        <w:spacing w:after="120"/>
        <w:jc w:val="both"/>
      </w:pPr>
      <w:r>
        <w:rPr>
          <w:rFonts w:ascii="Calibri" w:hAnsi="Calibri"/>
          <w:color w:val="0D0D0D"/>
          <w:sz w:val="22"/>
        </w:rPr>
        <w:t>El Pre-Mortem es vivo: cada Re-Underwriting trimestral §5 evalúa si algún failure mode se activa y, si procede, dispara una revisión de tesis. La activación de cualquier modo de severidad Alta o Crítica escala automáticamente al CIO conforme al Operations Manual §2.4.</w:t>
      </w:r>
    </w:p>
    <w:p>
      <w:pPr>
        <w:spacing w:before="400" w:after="160"/>
      </w:pPr>
      <w:r>
        <w:rPr>
          <w:rFonts w:ascii="Calibri" w:hAnsi="Calibri"/>
          <w:b/>
          <w:color w:val="1B2642"/>
          <w:sz w:val="32"/>
        </w:rPr>
        <w:t>11. Thesis Kill Criteria</w:t>
      </w:r>
    </w:p>
    <w:p>
      <w:pPr>
        <w:spacing w:after="120"/>
        <w:jc w:val="both"/>
      </w:pPr>
      <w:r>
        <w:rPr>
          <w:rFonts w:ascii="Calibri" w:hAnsi="Calibri"/>
          <w:color w:val="0D0D0D"/>
          <w:sz w:val="22"/>
        </w:rPr>
        <w:t>Las siguientes condiciones estructurales — distintas de los failure modes del Pre-Mortem — invalidarían la tesis y forzarían cierre de posición sin debate adicional. Son umbrales binarios, no semáforos.</w:t>
      </w:r>
    </w:p>
    <w:p>
      <w:pPr>
        <w:pStyle w:val="ListBullet"/>
        <w:spacing w:after="40"/>
      </w:pPr>
      <w:r>
        <w:rPr>
          <w:rFonts w:ascii="Calibri" w:hAnsi="Calibri"/>
          <w:color w:val="0D0D0D"/>
          <w:sz w:val="22"/>
        </w:rPr>
        <w:t>Azure revenue YoY &lt; 18% durante dos trimestres consecutivos sin shock macro identificable.</w:t>
      </w:r>
    </w:p>
    <w:p>
      <w:pPr>
        <w:pStyle w:val="ListBullet"/>
        <w:spacing w:after="40"/>
      </w:pPr>
      <w:r>
        <w:rPr>
          <w:rFonts w:ascii="Calibri" w:hAnsi="Calibri"/>
          <w:color w:val="0D0D0D"/>
          <w:sz w:val="22"/>
        </w:rPr>
        <w:t>ROIC ajustado por debajo de 24% en average rolling 3-yr.</w:t>
      </w:r>
    </w:p>
    <w:p>
      <w:pPr>
        <w:pStyle w:val="ListBullet"/>
        <w:spacing w:after="40"/>
      </w:pPr>
      <w:r>
        <w:rPr>
          <w:rFonts w:ascii="Calibri" w:hAnsi="Calibri"/>
          <w:color w:val="0D0D0D"/>
          <w:sz w:val="22"/>
        </w:rPr>
        <w:t>Operating margin LTM por debajo de 40%.</w:t>
      </w:r>
    </w:p>
    <w:p>
      <w:pPr>
        <w:pStyle w:val="ListBullet"/>
        <w:spacing w:after="40"/>
      </w:pPr>
      <w:r>
        <w:rPr>
          <w:rFonts w:ascii="Calibri" w:hAnsi="Calibri"/>
          <w:color w:val="0D0D0D"/>
          <w:sz w:val="22"/>
        </w:rPr>
        <w:t>Cambio de CEO sin successor de calidad equivalente (validado por el comité).</w:t>
      </w:r>
    </w:p>
    <w:p>
      <w:pPr>
        <w:pStyle w:val="ListBullet"/>
        <w:spacing w:after="40"/>
      </w:pPr>
      <w:r>
        <w:rPr>
          <w:rFonts w:ascii="Calibri" w:hAnsi="Calibri"/>
          <w:color w:val="0D0D0D"/>
          <w:sz w:val="22"/>
        </w:rPr>
        <w:t>Pérdida estructural en una de las tres fuentes de ventaja Greenwald: switching costs M365, escala Azure, o customer captivity enterprise.</w:t>
      </w:r>
    </w:p>
    <w:p>
      <w:pPr>
        <w:pStyle w:val="ListBullet"/>
        <w:spacing w:after="40"/>
      </w:pPr>
      <w:r>
        <w:rPr>
          <w:rFonts w:ascii="Calibri" w:hAnsi="Calibri"/>
          <w:color w:val="0D0D0D"/>
          <w:sz w:val="22"/>
        </w:rPr>
        <w:t>Implied IRR forward (Columbia refrescado) por debajo de 8% (= hurdle Core Compounder − 200bps).</w:t>
      </w:r>
    </w:p>
    <w:p>
      <w:pPr>
        <w:pStyle w:val="ListBullet"/>
        <w:spacing w:after="40"/>
      </w:pPr>
      <w:r>
        <w:rPr>
          <w:rFonts w:ascii="Calibri" w:hAnsi="Calibri"/>
          <w:color w:val="0D0D0D"/>
          <w:sz w:val="22"/>
        </w:rPr>
        <w:t>Net debt / EBITDA &gt; 1.5x (implicaría capital allocation deterioration material).</w:t>
      </w:r>
    </w:p>
    <w:p>
      <w:pPr>
        <w:spacing w:after="120"/>
        <w:jc w:val="both"/>
      </w:pPr>
      <w:r>
        <w:rPr>
          <w:rFonts w:ascii="Calibri" w:hAnsi="Calibri"/>
          <w:color w:val="0D0D0D"/>
          <w:sz w:val="22"/>
        </w:rPr>
        <w:t>Los Kill Criteria se verifican trimestralmente en el Re-Underwriting §8 (Final Conclusion). La activación de cualquiera dispara outcome "Thesis Broken" y cierre de posición conforme al Operations Manual §1.5.</w:t>
      </w:r>
    </w:p>
    <w:p>
      <w:pPr>
        <w:spacing w:before="400" w:after="160"/>
      </w:pPr>
      <w:r>
        <w:rPr>
          <w:rFonts w:ascii="Calibri" w:hAnsi="Calibri"/>
          <w:b/>
          <w:color w:val="1B2642"/>
          <w:sz w:val="32"/>
        </w:rPr>
        <w:t>12. Final Investment Decision</w:t>
      </w:r>
    </w:p>
    <w:p>
      <w:pPr>
        <w:spacing w:after="120"/>
        <w:jc w:val="both"/>
      </w:pPr>
      <w:r>
        <w:rPr>
          <w:rFonts w:ascii="Calibri" w:hAnsi="Calibri"/>
          <w:color w:val="0D0D0D"/>
          <w:sz w:val="22"/>
        </w:rPr>
        <w:t>Microsoft califica como Core Compounder de DCE Holdings: moat fuerte en las tres dimensiones de Greenwald, runway de reinversión visible a 5-10 años, management Superior con track record de 11 años, balance sheet fortress, y un Implied IRR base de 14.3% con margen de 430bps sobre el hurdle. La tesis no requiere asumir el bull case de Azure ni una monetización heroica de Copilot para justificar el retorno esperado. El downside está acotado por la durabilidad del cash flow de M365 y la posición neta de caja. La asimetría es favorable (1.9:1) y los Kill Criteria son medibles y específicos.</w:t>
      </w:r>
    </w:p>
    <w:p>
      <w:pPr>
        <w:spacing w:after="120"/>
        <w:jc w:val="both"/>
      </w:pPr>
      <w:r>
        <w:rPr>
          <w:rFonts w:ascii="Calibri" w:hAnsi="Calibri"/>
          <w:b/>
          <w:color w:val="0D0D0D"/>
          <w:sz w:val="22"/>
        </w:rPr>
        <w:t>Recomendación al Comité de Inversiones: BUY — initiate position al 6.0% del NAV con escalonamiento en tres tramos (3% inmediato, 1.5% en pullback ≥5%, 1.5% en pullback ≥10%). Conviction level: High. Investment horizon: 5+ años. Próxima revisión obligatoria: Quarterly Re-Underwriting Q1 2026 (al cierre del 10-Q FY26 Q3).</w:t>
      </w:r>
    </w:p>
    <w:p/>
    <w:p>
      <w:pPr>
        <w:jc w:val="center"/>
      </w:pPr>
      <w:r>
        <w:rPr>
          <w:rFonts w:ascii="Calibri" w:hAnsi="Calibri"/>
          <w:i/>
          <w:color w:val="606060"/>
          <w:sz w:val="20"/>
        </w:rPr>
        <w:t>— Fin del Investment Memo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D0D0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