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B88B47"/>
          <w:sz w:val="22"/>
        </w:rPr>
        <w:t>DCE HOLDINGS</w:t>
      </w:r>
    </w:p>
    <w:p>
      <w:pPr>
        <w:spacing w:before="3200"/>
      </w:pPr>
      <w:r>
        <w:rPr>
          <w:rFonts w:ascii="Calibri" w:hAnsi="Calibri"/>
          <w:b/>
          <w:color w:val="1B2642"/>
          <w:sz w:val="56"/>
        </w:rPr>
        <w:t>QUARTERLY RE-UNDERWRITING</w:t>
      </w:r>
    </w:p>
    <w:p>
      <w:pPr>
        <w:spacing w:before="120"/>
      </w:pPr>
      <w:r>
        <w:rPr>
          <w:rFonts w:ascii="Calibri" w:hAnsi="Calibri"/>
          <w:color w:val="606060"/>
          <w:sz w:val="36"/>
        </w:rPr>
        <w:t>Microsoft Corporation (MSFT) — Q1 2026</w:t>
      </w:r>
    </w:p>
    <w:p>
      <w:pPr>
        <w:spacing w:before="800"/>
      </w:pPr>
      <w:r>
        <w:rPr>
          <w:rFonts w:ascii="Calibri" w:hAnsi="Calibri"/>
          <w:b/>
          <w:color w:val="1B2642"/>
          <w:sz w:val="22"/>
        </w:rPr>
        <w:t xml:space="preserve">Trimestre:  </w:t>
      </w:r>
      <w:r>
        <w:rPr>
          <w:rFonts w:ascii="Calibri" w:hAnsi="Calibri"/>
          <w:color w:val="0D0D0D"/>
          <w:sz w:val="22"/>
        </w:rPr>
        <w:t>Q1 2026 (period_end 2026-03-31)</w:t>
        <w:br/>
      </w:r>
      <w:r>
        <w:rPr>
          <w:rFonts w:ascii="Calibri" w:hAnsi="Calibri"/>
          <w:b/>
          <w:color w:val="1B2642"/>
          <w:sz w:val="22"/>
        </w:rPr>
        <w:t xml:space="preserve">Trigger document:  </w:t>
      </w:r>
      <w:r>
        <w:rPr>
          <w:rFonts w:ascii="Calibri" w:hAnsi="Calibri"/>
          <w:color w:val="0D0D0D"/>
          <w:sz w:val="22"/>
        </w:rPr>
        <w:t>10-Q presentado por Microsoft el 25 de abril de 2026</w:t>
        <w:br/>
      </w:r>
      <w:r>
        <w:rPr>
          <w:rFonts w:ascii="Calibri" w:hAnsi="Calibri"/>
          <w:b/>
          <w:color w:val="1B2642"/>
          <w:sz w:val="22"/>
        </w:rPr>
        <w:t xml:space="preserve">Fecha del Re-Underwriting:  </w:t>
      </w:r>
      <w:r>
        <w:rPr>
          <w:rFonts w:ascii="Calibri" w:hAnsi="Calibri"/>
          <w:color w:val="0D0D0D"/>
          <w:sz w:val="22"/>
        </w:rPr>
        <w:t>8 de mayo de 2026</w:t>
        <w:br/>
      </w:r>
      <w:r>
        <w:rPr>
          <w:rFonts w:ascii="Calibri" w:hAnsi="Calibri"/>
          <w:b/>
          <w:color w:val="1B2642"/>
          <w:sz w:val="22"/>
        </w:rPr>
        <w:t xml:space="preserve">Analyst:  </w:t>
      </w:r>
      <w:r>
        <w:rPr>
          <w:rFonts w:ascii="Calibri" w:hAnsi="Calibri"/>
          <w:color w:val="0D0D0D"/>
          <w:sz w:val="22"/>
        </w:rPr>
        <w:t>Investment Analyst — DCE Holdings</w:t>
        <w:br/>
      </w:r>
      <w:r>
        <w:rPr>
          <w:rFonts w:ascii="Calibri" w:hAnsi="Calibri"/>
          <w:b/>
          <w:color w:val="1B2642"/>
          <w:sz w:val="22"/>
        </w:rPr>
        <w:t xml:space="preserve">Reviewer:  </w:t>
      </w:r>
      <w:r>
        <w:rPr>
          <w:rFonts w:ascii="Calibri" w:hAnsi="Calibri"/>
          <w:color w:val="0D0D0D"/>
          <w:sz w:val="22"/>
        </w:rPr>
        <w:t>Director of Research — DCE Holdings</w:t>
        <w:br/>
      </w:r>
      <w:r>
        <w:rPr>
          <w:rFonts w:ascii="Calibri" w:hAnsi="Calibri"/>
          <w:b/>
          <w:color w:val="1B2642"/>
          <w:sz w:val="22"/>
        </w:rPr>
        <w:t xml:space="preserve">Memo de referencia:  </w:t>
      </w:r>
      <w:r>
        <w:rPr>
          <w:rFonts w:ascii="Calibri" w:hAnsi="Calibri"/>
          <w:color w:val="0D0D0D"/>
          <w:sz w:val="22"/>
        </w:rPr>
        <w:t>Investment Memo MSFT v1.0 (id 1)</w:t>
        <w:br/>
      </w:r>
      <w:r>
        <w:rPr>
          <w:rFonts w:ascii="Calibri" w:hAnsi="Calibri"/>
          <w:b/>
          <w:color w:val="1B2642"/>
          <w:sz w:val="22"/>
        </w:rPr>
        <w:t xml:space="preserve">Outcome:  </w:t>
      </w:r>
      <w:r>
        <w:rPr>
          <w:rFonts w:ascii="Calibri" w:hAnsi="Calibri"/>
          <w:color w:val="0D0D0D"/>
          <w:sz w:val="22"/>
        </w:rPr>
        <w:t>Thesis Intact</w:t>
        <w:br/>
      </w:r>
      <w:r>
        <w:rPr>
          <w:rFonts w:ascii="Calibri" w:hAnsi="Calibri"/>
          <w:b/>
          <w:color w:val="1B2642"/>
          <w:sz w:val="22"/>
        </w:rPr>
        <w:t xml:space="preserve">Versión:  </w:t>
      </w:r>
      <w:r>
        <w:rPr>
          <w:rFonts w:ascii="Calibri" w:hAnsi="Calibri"/>
          <w:color w:val="0D0D0D"/>
          <w:sz w:val="22"/>
        </w:rPr>
        <w:t>v1.0 (formato Operations Manual v3.2)</w:t>
        <w:br/>
      </w:r>
      <w:r>
        <w:rPr>
          <w:rFonts w:ascii="Calibri" w:hAnsi="Calibri"/>
          <w:b/>
          <w:color w:val="1B2642"/>
          <w:sz w:val="22"/>
        </w:rPr>
        <w:t xml:space="preserve">Source of truth:  </w:t>
      </w:r>
      <w:r>
        <w:rPr>
          <w:rFonts w:ascii="Calibri" w:hAnsi="Calibri"/>
          <w:color w:val="0D0D0D"/>
          <w:sz w:val="22"/>
        </w:rPr>
        <w:t>Supabase reunderwriting_entries (live)</w:t>
        <w:br/>
      </w:r>
    </w:p>
    <w:p>
      <w:pPr>
        <w:spacing w:before="2400"/>
        <w:jc w:val="center"/>
      </w:pPr>
      <w:r>
        <w:rPr>
          <w:rFonts w:ascii="Calibri" w:hAnsi="Calibri"/>
          <w:i/>
          <w:color w:val="606060"/>
          <w:sz w:val="18"/>
        </w:rPr>
        <w:t>CONFIDENCIAL — Solo para uso interno de DCE Holdings</w:t>
      </w:r>
    </w:p>
    <w:p>
      <w:r>
        <w:br w:type="page"/>
      </w:r>
    </w:p>
    <w:p>
      <w:pPr>
        <w:spacing w:before="400" w:after="160"/>
      </w:pPr>
      <w:r>
        <w:rPr>
          <w:rFonts w:ascii="Calibri" w:hAnsi="Calibri"/>
          <w:b/>
          <w:color w:val="1B2642"/>
          <w:sz w:val="32"/>
        </w:rPr>
        <w:t>1. Investment Snapshot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5953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311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Trimestre</w:t>
            </w:r>
          </w:p>
        </w:tc>
        <w:tc>
          <w:tcPr>
            <w:tcW w:type="dxa" w:w="5953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Q1 2026 (period_end 2026-03-31)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Position size actual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6.1% del NAV</w:t>
            </w:r>
          </w:p>
        </w:tc>
      </w:tr>
      <w:tr>
        <w:tc>
          <w:tcPr>
            <w:tcW w:type="dxa" w:w="311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Cost basis</w:t>
            </w:r>
          </w:p>
        </w:tc>
        <w:tc>
          <w:tcPr>
            <w:tcW w:type="dxa" w:w="5953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USD 462.80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Precio cierre trimestre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USD 482.30 (8 de mayo de 2026)</w:t>
            </w:r>
          </w:p>
        </w:tc>
      </w:tr>
      <w:tr>
        <w:tc>
          <w:tcPr>
            <w:tcW w:type="dxa" w:w="311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Unrealized P&amp;L</w:t>
            </w:r>
          </w:p>
        </w:tc>
        <w:tc>
          <w:tcPr>
            <w:tcW w:type="dxa" w:w="5953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+4.2%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Días en cartera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147 días</w:t>
            </w:r>
          </w:p>
        </w:tc>
      </w:tr>
      <w:tr>
        <w:tc>
          <w:tcPr>
            <w:tcW w:type="dxa" w:w="311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Memo de referencia</w:t>
            </w:r>
          </w:p>
        </w:tc>
        <w:tc>
          <w:tcPr>
            <w:tcW w:type="dxa" w:w="5953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Investment Memo MSFT v1.0 (Supabase id 1)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Conviction level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High (sin cambio vs trimestre anterior)</w:t>
            </w:r>
          </w:p>
        </w:tc>
      </w:tr>
      <w:tr>
        <w:tc>
          <w:tcPr>
            <w:tcW w:type="dxa" w:w="311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Outcome propuesto</w:t>
            </w:r>
          </w:p>
        </w:tc>
        <w:tc>
          <w:tcPr>
            <w:tcW w:type="dxa" w:w="5953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Thesis Intact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Acción recomendada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Mantener posición al 6.1% del NAV (sin trim, sin add). Sin recalibración de umbrales del Memo §6 ni del Pre-Mortem §10. Continuar monitoreo de FCF margin (KPI en Amarillo); si Q2 2026 también en Amarillo, escalar formalmente al CIO.</w:t>
            </w:r>
          </w:p>
        </w:tc>
      </w:tr>
    </w:tbl>
    <w:p>
      <w:pPr>
        <w:spacing w:after="120"/>
      </w:pPr>
    </w:p>
    <w:p>
      <w:pPr>
        <w:spacing w:before="400" w:after="160"/>
      </w:pPr>
      <w:r>
        <w:rPr>
          <w:rFonts w:ascii="Calibri" w:hAnsi="Calibri"/>
          <w:b/>
          <w:color w:val="1B2642"/>
          <w:sz w:val="32"/>
        </w:rPr>
        <w:t>2. Executive Summary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Microsoft entrega un trimestre alineado con los pilares de la tesis original. Azure crece 27.8% YoY (vs target ≥25%), Copilot supera la barrera de 12M paid seats, los márgenes operativos se mantienen en 46.2%, y el balance sheet conserva su net cash position de USD 89B. Los siete KPIs definidos en el Memo §6 están en zona verde. Ningún failure mode del Pre-Mortem se activa este trimestre. La tesis se mantiene intacta. Continuamos en posición Core Compounder al 6.1% del NAV con conviction level High. Próxima revisión: Q2 2026 al cierre del 10-K FY26.</w:t>
      </w:r>
    </w:p>
    <w:p>
      <w:pPr>
        <w:spacing w:after="120"/>
        <w:jc w:val="both"/>
      </w:pPr>
      <w:r>
        <w:rPr>
          <w:rFonts w:ascii="Calibri" w:hAnsi="Calibri"/>
          <w:b/>
          <w:color w:val="0D0D0D"/>
          <w:sz w:val="22"/>
        </w:rPr>
        <w:t>Sí — la tesis se mantiene intacta. Sin recalibración de umbrales, sin evolución material de la narrativa, sin cambio en la conclusión del comité.</w:t>
      </w:r>
    </w:p>
    <w:p>
      <w:pPr>
        <w:spacing w:before="400" w:after="160"/>
      </w:pPr>
      <w:r>
        <w:rPr>
          <w:rFonts w:ascii="Calibri" w:hAnsi="Calibri"/>
          <w:b/>
          <w:color w:val="1B2642"/>
          <w:sz w:val="32"/>
        </w:rPr>
        <w:t>3. What Changed Since Last Quarter</w:t>
      </w:r>
    </w:p>
    <w:p>
      <w:pPr>
        <w:spacing w:before="240" w:after="80"/>
      </w:pPr>
      <w:r>
        <w:rPr>
          <w:rFonts w:ascii="Calibri" w:hAnsi="Calibri"/>
          <w:b/>
          <w:color w:val="1B2642"/>
          <w:sz w:val="26"/>
        </w:rPr>
        <w:t>3.1 Eventos materiales del trimestre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25-abril-2026: 10-Q FY26 Q3 publicado. Azure 27.8% YoY (consenso 26.0%), Copilot 12.8M seats (vs 10.4M Q4 2025).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17-abril-2026: Microsoft Build 2026 anuncia Copilot Studio v2 con agentes verticales pre-configurados (legal, finance, healthcare). Validación temprana del optionality bullet del memo.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12-marzo-2026: Comisión Europea cierra investigación antitrust sobre bundling de Teams sin sanción material; commitments comportamentales aceptados. Mitigant del failure mode Regulación antitrust.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5-febrero-2026: Anuncio de OpenAI Stargate Phase 2 (USD 30B adicional capex) — Microsoft confirma su rol como infrastructure partner preferente sin equity dilution.</w:t>
      </w:r>
    </w:p>
    <w:p>
      <w:pPr>
        <w:spacing w:before="240" w:after="80"/>
      </w:pPr>
      <w:r>
        <w:rPr>
          <w:rFonts w:ascii="Calibri" w:hAnsi="Calibri"/>
          <w:b/>
          <w:color w:val="1B2642"/>
          <w:sz w:val="26"/>
        </w:rPr>
        <w:t>3.2 Datos nuevos del 10-Q presentado por Microsoft el 25 de abril de 2026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Revenue: USD 76.4B (+13.2% YoY) — beat consenso.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Operating income: USD 35.3B; margen 46.2%.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Azure &amp; other cloud services: 27.8% YoY constant currency.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AI services contribution to Azure growth: ~13pp.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Capex: USD 21.4B (+38% YoY) — invest cycle continúa.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FCF: USD 22.1B. Margen FCF 28.9% (vs target ≥30% — temporalmente por debajo por capex peak).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Buybacks ejecutados: USD 16.5B en el trimestre.</w:t>
      </w:r>
    </w:p>
    <w:p>
      <w:pPr>
        <w:spacing w:before="240" w:after="80"/>
      </w:pPr>
      <w:r>
        <w:rPr>
          <w:rFonts w:ascii="Calibri" w:hAnsi="Calibri"/>
          <w:b/>
          <w:color w:val="1B2642"/>
          <w:sz w:val="26"/>
        </w:rPr>
        <w:t>3.3 Decisiones tomadas durante el trimestre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Ninguna decisión de portfolio sobre MSFT durante el trimestre. La posición se mantuvo en 6.1% del NAV sin trim ni add. Sin trades ejecutados.</w:t>
      </w:r>
    </w:p>
    <w:p>
      <w:pPr>
        <w:spacing w:before="400" w:after="160"/>
      </w:pPr>
      <w:r>
        <w:rPr>
          <w:rFonts w:ascii="Calibri" w:hAnsi="Calibri"/>
          <w:b/>
          <w:color w:val="1B2642"/>
          <w:sz w:val="32"/>
        </w:rPr>
        <w:t>4. Thesis Tracking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Cada uno de los pilares de la tesis original (Memo §2) se evalúa contra la evidencia trimestral. Estado: Validado / Parcial / Debilitado / Roto.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Pilar de la tesis (Memo §2)</w:t>
            </w:r>
          </w:p>
        </w:tc>
        <w:tc>
          <w:tcPr>
            <w:tcW w:type="dxa" w:w="1417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535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 trimestral</w:t>
            </w:r>
          </w:p>
        </w:tc>
      </w:tr>
      <w:tr>
        <w:tc>
          <w:tcPr>
            <w:tcW w:type="dxa" w:w="311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Azure fast-follower estructural (~25% market share, 28-32% YoY)</w:t>
            </w:r>
          </w:p>
        </w:tc>
        <w:tc>
          <w:tcPr>
            <w:tcW w:type="dxa" w:w="1417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Validado</w:t>
            </w:r>
          </w:p>
        </w:tc>
        <w:tc>
          <w:tcPr>
            <w:tcW w:type="dxa" w:w="453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27.8% YoY este trimestre. Market share intacto vs AWS y GCP. Cross-sell enterprise sigue funcionando.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M365 + Copilot pricing power y baja churn</w:t>
            </w:r>
          </w:p>
        </w:tc>
        <w:tc>
          <w:tcPr>
            <w:tcW w:type="dxa" w:w="1417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Validado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Churn enterprise &lt;2% confirmado. Copilot ramp 12.8M seats supera plan. ARPU YoY +8.4%.</w:t>
            </w:r>
          </w:p>
        </w:tc>
      </w:tr>
      <w:tr>
        <w:tc>
          <w:tcPr>
            <w:tcW w:type="dxa" w:w="311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OpenAI partnership como AI moat asimétrico</w:t>
            </w:r>
          </w:p>
        </w:tc>
        <w:tc>
          <w:tcPr>
            <w:tcW w:type="dxa" w:w="1417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Validado</w:t>
            </w:r>
          </w:p>
        </w:tc>
        <w:tc>
          <w:tcPr>
            <w:tcW w:type="dxa" w:w="453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Stargate Phase 2 confirma rol de Microsoft sin equity dilution. Acceso preferente intacto.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Capital allocation disciplinado (Nadella)</w:t>
            </w:r>
          </w:p>
        </w:tc>
        <w:tc>
          <w:tcPr>
            <w:tcW w:type="dxa" w:w="1417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Validado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USD 66B anualizado en buybacks; θ_firm 19% sostenido; capex productivo respaldado por contratos.</w:t>
            </w:r>
          </w:p>
        </w:tc>
      </w:tr>
      <w:tr>
        <w:tc>
          <w:tcPr>
            <w:tcW w:type="dxa" w:w="311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Balance sheet fortress (USD 89B net cash)</w:t>
            </w:r>
          </w:p>
        </w:tc>
        <w:tc>
          <w:tcPr>
            <w:tcW w:type="dxa" w:w="1417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Validado</w:t>
            </w:r>
          </w:p>
        </w:tc>
        <w:tc>
          <w:tcPr>
            <w:tcW w:type="dxa" w:w="453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Net cash USD 89B intacto a pesar del invest-cycle. Sin emisión de deuda nueva.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hAnsi="Calibri"/>
          <w:b/>
          <w:color w:val="0D0D0D"/>
          <w:sz w:val="22"/>
        </w:rPr>
        <w:t>Conclusión §4: 5 de 5 pilares de la tesis se mantienen Validados. Sin debilitamiento estructural en ningún driver.</w:t>
      </w:r>
    </w:p>
    <w:p>
      <w:pPr>
        <w:spacing w:before="400" w:after="160"/>
      </w:pPr>
      <w:r>
        <w:rPr>
          <w:rFonts w:ascii="Calibri" w:hAnsi="Calibri"/>
          <w:b/>
          <w:color w:val="1B2642"/>
          <w:sz w:val="32"/>
        </w:rPr>
        <w:t>5. Premortem Tracking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Cada failure mode definido en el Memo §10 se evalúa con la evidencia trimestral. La activación de cualquier modo de severidad Alta o Crítica escala automáticamente al CIO conforme al Operations Manual §2.4.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Failure Mode (Memo §10)</w:t>
            </w:r>
          </w:p>
        </w:tc>
        <w:tc>
          <w:tcPr>
            <w:tcW w:type="dxa" w:w="1134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020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4365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Evidencia trimestral</w:t>
            </w:r>
          </w:p>
        </w:tc>
      </w:tr>
      <w:tr>
        <w:tc>
          <w:tcPr>
            <w:tcW w:type="dxa" w:w="255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Azure pierde momentum estructural</w:t>
            </w:r>
          </w:p>
        </w:tc>
        <w:tc>
          <w:tcPr>
            <w:tcW w:type="dxa" w:w="113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 activado</w:t>
            </w:r>
          </w:p>
        </w:tc>
        <w:tc>
          <w:tcPr>
            <w:tcW w:type="dxa" w:w="1020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Crítica</w:t>
            </w:r>
          </w:p>
        </w:tc>
        <w:tc>
          <w:tcPr>
            <w:tcW w:type="dxa" w:w="436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27.8% YoY (vs umbral activación &lt;22%). Margen 580bps por encima del trigger.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AI capex no genera retorno proporcional</w:t>
            </w:r>
          </w:p>
        </w:tc>
        <w:tc>
          <w:tcPr>
            <w:tcW w:type="dxa" w:w="1134"/>
            <w:shd w:val="clear" w:color="auto" w:fill="B88B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Watch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Alta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FCF margin 28.9% (target ≥30%) por capex peak. ROIC ajustado intacto en 32.4%. Monitorear FY27.</w:t>
            </w:r>
          </w:p>
        </w:tc>
      </w:tr>
      <w:tr>
        <w:tc>
          <w:tcPr>
            <w:tcW w:type="dxa" w:w="255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Disrupción competitiva en M365</w:t>
            </w:r>
          </w:p>
        </w:tc>
        <w:tc>
          <w:tcPr>
            <w:tcW w:type="dxa" w:w="113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 activado</w:t>
            </w:r>
          </w:p>
        </w:tc>
        <w:tc>
          <w:tcPr>
            <w:tcW w:type="dxa" w:w="1020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Alta</w:t>
            </w:r>
          </w:p>
        </w:tc>
        <w:tc>
          <w:tcPr>
            <w:tcW w:type="dxa" w:w="436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Churn enterprise &lt;2%; sin pérdidas Tier 1 reportadas; renewals intactos.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Regulación antitrust (UE/US)</w:t>
            </w:r>
          </w:p>
        </w:tc>
        <w:tc>
          <w:tcPr>
            <w:tcW w:type="dxa" w:w="113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 activado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Media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UE cierra investigación Teams sin sanción material. US: status quo.</w:t>
            </w:r>
          </w:p>
        </w:tc>
      </w:tr>
      <w:tr>
        <w:tc>
          <w:tcPr>
            <w:tcW w:type="dxa" w:w="255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Sucesión Nadella mal manejada</w:t>
            </w:r>
          </w:p>
        </w:tc>
        <w:tc>
          <w:tcPr>
            <w:tcW w:type="dxa" w:w="113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 activado</w:t>
            </w:r>
          </w:p>
        </w:tc>
        <w:tc>
          <w:tcPr>
            <w:tcW w:type="dxa" w:w="1020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Alta</w:t>
            </w:r>
          </w:p>
        </w:tc>
        <w:tc>
          <w:tcPr>
            <w:tcW w:type="dxa" w:w="436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Sin señales de salida. Compensación 2026 confirmada con term largo.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Recesión severa enterprise IT spend</w:t>
            </w:r>
          </w:p>
        </w:tc>
        <w:tc>
          <w:tcPr>
            <w:tcW w:type="dxa" w:w="113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 activado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Media</w:t>
            </w:r>
          </w:p>
        </w:tc>
        <w:tc>
          <w:tcPr>
            <w:tcW w:type="dxa" w:w="436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Bookings YoY +25%; renewals stable; sin downgrades de tier reportados.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hAnsi="Calibri"/>
          <w:b/>
          <w:color w:val="0D0D0D"/>
          <w:sz w:val="22"/>
        </w:rPr>
        <w:t>Conclusión §5: 5 de 6 failure modes en estado "No activado", 1 en "Watch", 0 en "Activado". Sin escalamiento al CIO requerido. Re-evaluar en el próximo trimestre.</w:t>
      </w:r>
    </w:p>
    <w:p>
      <w:pPr>
        <w:spacing w:before="400" w:after="160"/>
      </w:pPr>
      <w:r>
        <w:rPr>
          <w:rFonts w:ascii="Calibri" w:hAnsi="Calibri"/>
          <w:b/>
          <w:color w:val="1B2642"/>
          <w:sz w:val="32"/>
        </w:rPr>
        <w:t>6. KPI Dashboard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Los cinco a siete KPIs definidos en el Memo §6 con dato actual vs target y semáforo. Cualquier KPI en zona Roja por dos trimestres consecutivos dispara revisión de tesis.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665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304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Q1 2026</w:t>
            </w:r>
          </w:p>
        </w:tc>
        <w:tc>
          <w:tcPr>
            <w:tcW w:type="dxa" w:w="1531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417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Δ vs target</w:t>
            </w:r>
          </w:p>
        </w:tc>
        <w:tc>
          <w:tcPr>
            <w:tcW w:type="dxa" w:w="1304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Semáforo</w:t>
            </w:r>
          </w:p>
        </w:tc>
      </w:tr>
      <w:tr>
        <w:tc>
          <w:tcPr>
            <w:tcW w:type="dxa" w:w="266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Azure revenue YoY %</w:t>
            </w:r>
          </w:p>
        </w:tc>
        <w:tc>
          <w:tcPr>
            <w:tcW w:type="dxa" w:w="130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27.8%</w:t>
            </w:r>
          </w:p>
        </w:tc>
        <w:tc>
          <w:tcPr>
            <w:tcW w:type="dxa" w:w="153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≥ 25%</w:t>
            </w:r>
          </w:p>
        </w:tc>
        <w:tc>
          <w:tcPr>
            <w:tcW w:type="dxa" w:w="1417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+280bps</w:t>
            </w:r>
          </w:p>
        </w:tc>
        <w:tc>
          <w:tcPr>
            <w:tcW w:type="dxa" w:w="130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Verde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M365 Commercial Cloud ARPU YoY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+8.4%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≥ 5%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+340bps</w:t>
            </w:r>
          </w:p>
        </w:tc>
        <w:tc>
          <w:tcPr>
            <w:tcW w:type="dxa" w:w="130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Verde</w:t>
            </w:r>
          </w:p>
        </w:tc>
      </w:tr>
      <w:tr>
        <w:tc>
          <w:tcPr>
            <w:tcW w:type="dxa" w:w="266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Copilot paid seats (millones)</w:t>
            </w:r>
          </w:p>
        </w:tc>
        <w:tc>
          <w:tcPr>
            <w:tcW w:type="dxa" w:w="130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12.8M</w:t>
            </w:r>
          </w:p>
        </w:tc>
        <w:tc>
          <w:tcPr>
            <w:tcW w:type="dxa" w:w="153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≥ 10M @ FY26</w:t>
            </w:r>
          </w:p>
        </w:tc>
        <w:tc>
          <w:tcPr>
            <w:tcW w:type="dxa" w:w="1417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+28%</w:t>
            </w:r>
          </w:p>
        </w:tc>
        <w:tc>
          <w:tcPr>
            <w:tcW w:type="dxa" w:w="130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Verde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Operating margin (LTM)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46.2%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≥ 44%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+220bps</w:t>
            </w:r>
          </w:p>
        </w:tc>
        <w:tc>
          <w:tcPr>
            <w:tcW w:type="dxa" w:w="130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Verde</w:t>
            </w:r>
          </w:p>
        </w:tc>
      </w:tr>
      <w:tr>
        <w:tc>
          <w:tcPr>
            <w:tcW w:type="dxa" w:w="266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FCF margin (LTM)</w:t>
            </w:r>
          </w:p>
        </w:tc>
        <w:tc>
          <w:tcPr>
            <w:tcW w:type="dxa" w:w="130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28.9%</w:t>
            </w:r>
          </w:p>
        </w:tc>
        <w:tc>
          <w:tcPr>
            <w:tcW w:type="dxa" w:w="153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≥ 30%</w:t>
            </w:r>
          </w:p>
        </w:tc>
        <w:tc>
          <w:tcPr>
            <w:tcW w:type="dxa" w:w="1417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−110bps</w:t>
            </w:r>
          </w:p>
        </w:tc>
        <w:tc>
          <w:tcPr>
            <w:tcW w:type="dxa" w:w="1304"/>
            <w:shd w:val="clear" w:color="auto" w:fill="B88B4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Amarillo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Net cash (USD B)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+89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&gt; 50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+78%</w:t>
            </w:r>
          </w:p>
        </w:tc>
        <w:tc>
          <w:tcPr>
            <w:tcW w:type="dxa" w:w="130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Verde</w:t>
            </w:r>
          </w:p>
        </w:tc>
      </w:tr>
      <w:tr>
        <w:tc>
          <w:tcPr>
            <w:tcW w:type="dxa" w:w="266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ROIC ajustado (3-yr avg)</w:t>
            </w:r>
          </w:p>
        </w:tc>
        <w:tc>
          <w:tcPr>
            <w:tcW w:type="dxa" w:w="130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32.4%</w:t>
            </w:r>
          </w:p>
        </w:tc>
        <w:tc>
          <w:tcPr>
            <w:tcW w:type="dxa" w:w="153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≥ 28%</w:t>
            </w:r>
          </w:p>
        </w:tc>
        <w:tc>
          <w:tcPr>
            <w:tcW w:type="dxa" w:w="1417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+440bps</w:t>
            </w:r>
          </w:p>
        </w:tc>
        <w:tc>
          <w:tcPr>
            <w:tcW w:type="dxa" w:w="1304"/>
            <w:shd w:val="clear" w:color="auto" w:fill="1F5F3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Verde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hAnsi="Calibri"/>
          <w:b/>
          <w:color w:val="0D0D0D"/>
          <w:sz w:val="22"/>
        </w:rPr>
        <w:t>Conclusión §6: 6 de 7 KPIs en Verde, 1 en Amarillo, 0 en Rojo. Cualquier KPI en Amarillo se re-evalúa en el siguiente trimestre; si persiste se escala formalmente.</w:t>
      </w:r>
    </w:p>
    <w:p>
      <w:pPr>
        <w:spacing w:before="400" w:after="160"/>
      </w:pPr>
      <w:r>
        <w:rPr>
          <w:rFonts w:ascii="Calibri" w:hAnsi="Calibri"/>
          <w:b/>
          <w:color w:val="1B2642"/>
          <w:sz w:val="32"/>
        </w:rPr>
        <w:t>7. Valuation Update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Implied IRR refrescado desde el Columbia Model actualizado con la columna LTM más reciente (incremental update conforme a la skill columbia-update-incremental). Sin modificación de Decision Points originales (tax rate, S&amp;M life, R&amp;D life, WACC, hurdle).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1701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Memo original</w:t>
            </w:r>
          </w:p>
        </w:tc>
        <w:tc>
          <w:tcPr>
            <w:tcW w:type="dxa" w:w="1984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Q1 2026 refresh</w:t>
            </w:r>
          </w:p>
        </w:tc>
        <w:tc>
          <w:tcPr>
            <w:tcW w:type="dxa" w:w="1134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368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Earnings growth (5-yr CAGR)</w:t>
            </w:r>
          </w:p>
        </w:tc>
        <w:tc>
          <w:tcPr>
            <w:tcW w:type="dxa" w:w="170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+13.5%</w:t>
            </w:r>
          </w:p>
        </w:tc>
        <w:tc>
          <w:tcPr>
            <w:tcW w:type="dxa" w:w="198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+13.4%</w:t>
            </w:r>
          </w:p>
        </w:tc>
        <w:tc>
          <w:tcPr>
            <w:tcW w:type="dxa" w:w="113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−10bps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Multiple change (entry vs exit)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−2.0%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−2.2%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−20bps</w:t>
            </w:r>
          </w:p>
        </w:tc>
      </w:tr>
      <w:tr>
        <w:tc>
          <w:tcPr>
            <w:tcW w:type="dxa" w:w="368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Capital returns (dividend + buyback yield)</w:t>
            </w:r>
          </w:p>
        </w:tc>
        <w:tc>
          <w:tcPr>
            <w:tcW w:type="dxa" w:w="170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+2.8%</w:t>
            </w:r>
          </w:p>
        </w:tc>
        <w:tc>
          <w:tcPr>
            <w:tcW w:type="dxa" w:w="198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+2.9%</w:t>
            </w:r>
          </w:p>
        </w:tc>
        <w:tc>
          <w:tcPr>
            <w:tcW w:type="dxa" w:w="113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+10bps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Implied IRR forward (5-yr base)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+14.3%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+14.1%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−20bps</w:t>
            </w:r>
          </w:p>
        </w:tc>
      </w:tr>
      <w:tr>
        <w:tc>
          <w:tcPr>
            <w:tcW w:type="dxa" w:w="368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Hurdle Core Compounder (IPS)</w:t>
            </w:r>
          </w:p>
        </w:tc>
        <w:tc>
          <w:tcPr>
            <w:tcW w:type="dxa" w:w="170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+10.0%</w:t>
            </w:r>
          </w:p>
        </w:tc>
        <w:tc>
          <w:tcPr>
            <w:tcW w:type="dxa" w:w="198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+10.0%</w:t>
            </w:r>
          </w:p>
        </w:tc>
        <w:tc>
          <w:tcPr>
            <w:tcW w:type="dxa" w:w="113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—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Margen vs hurdle (bps)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+430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+410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−20bps</w:t>
            </w:r>
          </w:p>
        </w:tc>
      </w:tr>
      <w:tr>
        <w:tc>
          <w:tcPr>
            <w:tcW w:type="dxa" w:w="3685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Valor intrínseco implícito (USD/acción)</w:t>
            </w:r>
          </w:p>
        </w:tc>
        <w:tc>
          <w:tcPr>
            <w:tcW w:type="dxa" w:w="170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545</w:t>
            </w:r>
          </w:p>
        </w:tc>
        <w:tc>
          <w:tcPr>
            <w:tcW w:type="dxa" w:w="198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548</w:t>
            </w:r>
          </w:p>
        </w:tc>
        <w:tc>
          <w:tcPr>
            <w:tcW w:type="dxa" w:w="1134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+3</w:t>
            </w:r>
          </w:p>
        </w:tc>
      </w:tr>
      <w:tr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Margen vs precio actual (USD 482.30)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+13.0%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+13.6%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+60bps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hAnsi="Calibri"/>
          <w:b/>
          <w:color w:val="0D0D0D"/>
          <w:sz w:val="22"/>
        </w:rPr>
        <w:t>Conclusión §7: Implied IRR forward se mantiene en 14.1%, prácticamente sin cambio vs el memo original (14.3%). El margen vs hurdle (410bps) sigue siendo robusto y dentro de la banda Core Compounder. Sin re-rating ni de-rating estructural. La valoración soporta mantener la posición en el target del 6%.</w:t>
      </w:r>
    </w:p>
    <w:p>
      <w:pPr>
        <w:spacing w:before="400" w:after="160"/>
      </w:pPr>
      <w:r>
        <w:rPr>
          <w:rFonts w:ascii="Calibri" w:hAnsi="Calibri"/>
          <w:b/>
          <w:color w:val="1B2642"/>
          <w:sz w:val="32"/>
        </w:rPr>
        <w:t>8. Final Re-Underwriting Conclusion</w:t>
      </w:r>
    </w:p>
    <w:p>
      <w:pPr>
        <w:spacing w:before="240" w:after="80"/>
      </w:pPr>
      <w:r>
        <w:rPr>
          <w:rFonts w:ascii="Calibri" w:hAnsi="Calibri"/>
          <w:b/>
          <w:color w:val="1B2642"/>
          <w:sz w:val="26"/>
        </w:rPr>
        <w:t>8.1 Outcome (uno de cuatro)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1701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102"/>
            <w:shd w:val="clear" w:color="auto" w:fill="1B264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Definición operativa</w:t>
            </w:r>
          </w:p>
        </w:tc>
      </w:tr>
      <w:tr>
        <w:tc>
          <w:tcPr>
            <w:tcW w:type="dxa" w:w="226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Thesis Intact</w:t>
            </w:r>
          </w:p>
        </w:tc>
        <w:tc>
          <w:tcPr>
            <w:tcW w:type="dxa" w:w="170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SELECCIONADO</w:t>
            </w:r>
          </w:p>
        </w:tc>
        <w:tc>
          <w:tcPr>
            <w:tcW w:type="dxa" w:w="5102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Tesis y umbrales se mantienen sin cambio material.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Thresholds Recalibrated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—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Algún umbral del Memo se mueve por evidencia trimestral, sin cambio de tesis.</w:t>
            </w:r>
          </w:p>
        </w:tc>
      </w:tr>
      <w:tr>
        <w:tc>
          <w:tcPr>
            <w:tcW w:type="dxa" w:w="2268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Thesis Evolved</w:t>
            </w:r>
          </w:p>
        </w:tc>
        <w:tc>
          <w:tcPr>
            <w:tcW w:type="dxa" w:w="1701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—</w:t>
            </w:r>
          </w:p>
        </w:tc>
        <w:tc>
          <w:tcPr>
            <w:tcW w:type="dxa" w:w="5102"/>
            <w:shd w:val="clear" w:color="auto" w:fill="E6E6E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La narrativa central cambia; requiere revisión del Pre-Mortem.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Thesis Broken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—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0D0D0D"/>
                <w:sz w:val="20"/>
              </w:rPr>
              <w:t>Activación de Kill Criteria. Disparar Decision Sell.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B2642"/>
          <w:sz w:val="26"/>
        </w:rPr>
        <w:t>8.2 Justificación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Microsoft cumple con los siete KPIs definidos en la tesis (uno en Amarillo temporal por capex peak, no estructural). Ninguno de los seis failure modes del Pre-Mortem se activa. Ningún Kill Criteria se cruza. El Implied IRR refrescado se mantiene 410bps sobre el hurdle. La narrativa central — Azure fast-follower + Copilot ramp + Nadella discipline — sigue siendo la mejor explicación de los hechos del trimestre. La tesis está intacta.</w:t>
      </w:r>
    </w:p>
    <w:p>
      <w:pPr>
        <w:spacing w:before="240" w:after="80"/>
      </w:pPr>
      <w:r>
        <w:rPr>
          <w:rFonts w:ascii="Calibri" w:hAnsi="Calibri"/>
          <w:b/>
          <w:color w:val="1B2642"/>
          <w:sz w:val="26"/>
        </w:rPr>
        <w:t>8.3 Acción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Mantener posición al 6.1% del NAV (sin trim, sin add).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Sin recalibración de umbrales del Memo §6 ni del Pre-Mortem §10.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Continuar monitoreo de FCF margin (KPI en Amarillo); si Q2 2026 también en Amarillo, escalar formalmente al CIO.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Próxima revisión obligatoria: Q2 2026 al cierre del 10-K FY26 (julio-agosto 2026).</w:t>
      </w:r>
    </w:p>
    <w:p>
      <w:pPr>
        <w:pStyle w:val="ListBullet"/>
        <w:spacing w:after="40"/>
      </w:pPr>
      <w:r>
        <w:rPr>
          <w:rFonts w:ascii="Calibri" w:hAnsi="Calibri"/>
          <w:color w:val="0D0D0D"/>
          <w:sz w:val="22"/>
        </w:rPr>
        <w:t>Sin necesidad de Thesis Breaker ni Munger Digital adicionales este trimestre (no se activa la cláusula de cambio material del Operations Manual §2.4).</w:t>
      </w:r>
    </w:p>
    <w:p>
      <w:pPr>
        <w:spacing w:before="240" w:after="80"/>
      </w:pPr>
      <w:r>
        <w:rPr>
          <w:rFonts w:ascii="Calibri" w:hAnsi="Calibri"/>
          <w:b/>
          <w:color w:val="1B2642"/>
          <w:sz w:val="26"/>
        </w:rPr>
        <w:t>8.4 Firma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Borrador preparado por: Investment Analyst — DCE Holdings (8 de mayo de 2026).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Validado y firmado por: Director of Research — DCE Holdings (8 de mayo de 2026).</w:t>
      </w:r>
    </w:p>
    <w:p>
      <w:pPr>
        <w:spacing w:after="120"/>
        <w:jc w:val="both"/>
      </w:pPr>
      <w:r>
        <w:rPr>
          <w:rFonts w:ascii="Calibri" w:hAnsi="Calibri"/>
          <w:color w:val="0D0D0D"/>
          <w:sz w:val="22"/>
        </w:rPr>
        <w:t>Próxima revisión obligatoria: 15 de agosto de 2026.</w:t>
      </w:r>
    </w:p>
    <w:p/>
    <w:p>
      <w:pPr>
        <w:jc w:val="center"/>
      </w:pPr>
      <w:r>
        <w:rPr>
          <w:rFonts w:ascii="Calibri" w:hAnsi="Calibri"/>
          <w:i/>
          <w:color w:val="606060"/>
          <w:sz w:val="20"/>
        </w:rPr>
        <w:t>— Fin del Quarterly Re-Underwriting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D0D0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