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B88B47"/>
          <w:sz w:val="22"/>
        </w:rPr>
        <w:t>DCE HOLDINGS</w:t>
      </w:r>
    </w:p>
    <w:p>
      <w:pPr>
        <w:spacing w:before="3200"/>
      </w:pPr>
      <w:r>
        <w:rPr>
          <w:rFonts w:ascii="Calibri" w:hAnsi="Calibri"/>
          <w:b/>
          <w:color w:val="1B2642"/>
          <w:sz w:val="56"/>
        </w:rPr>
        <w:t>QUARTERLY RE-UNDERWRITING</w:t>
      </w:r>
    </w:p>
    <w:p>
      <w:pPr>
        <w:spacing w:before="120"/>
      </w:pPr>
      <w:r>
        <w:rPr>
          <w:rFonts w:ascii="Calibri" w:hAnsi="Calibri"/>
          <w:color w:val="606060"/>
          <w:sz w:val="36"/>
        </w:rPr>
        <w:t>Microsoft Corporation (MSFT) — Q1 2026</w:t>
      </w:r>
    </w:p>
    <w:p>
      <w:pPr>
        <w:spacing w:before="800"/>
      </w:pPr>
      <w:r>
        <w:rPr>
          <w:rFonts w:ascii="Calibri" w:hAnsi="Calibri"/>
          <w:b/>
          <w:color w:val="1B2642"/>
          <w:sz w:val="22"/>
        </w:rPr>
        <w:t xml:space="preserve">Trimestre:  </w:t>
      </w:r>
      <w:r>
        <w:rPr>
          <w:rFonts w:ascii="Calibri" w:hAnsi="Calibri"/>
          <w:color w:val="0D0D0D"/>
          <w:sz w:val="22"/>
        </w:rPr>
        <w:t>Q1 2026 (10-Q FY26 Q3, fiscal Microsoft Marzo 2026)</w:t>
        <w:br/>
      </w:r>
      <w:r>
        <w:rPr>
          <w:rFonts w:ascii="Calibri" w:hAnsi="Calibri"/>
          <w:b/>
          <w:color w:val="1B2642"/>
          <w:sz w:val="22"/>
        </w:rPr>
        <w:t xml:space="preserve">Trigger document:  </w:t>
      </w:r>
      <w:r>
        <w:rPr>
          <w:rFonts w:ascii="Calibri" w:hAnsi="Calibri"/>
          <w:color w:val="0D0D0D"/>
          <w:sz w:val="22"/>
        </w:rPr>
        <w:t>10-Q presentado por Microsoft el 25 de abril de 2026</w:t>
        <w:br/>
      </w:r>
      <w:r>
        <w:rPr>
          <w:rFonts w:ascii="Calibri" w:hAnsi="Calibri"/>
          <w:b/>
          <w:color w:val="1B2642"/>
          <w:sz w:val="22"/>
        </w:rPr>
        <w:t xml:space="preserve">Fecha del Re-Underwriting:  </w:t>
      </w:r>
      <w:r>
        <w:rPr>
          <w:rFonts w:ascii="Calibri" w:hAnsi="Calibri"/>
          <w:color w:val="0D0D0D"/>
          <w:sz w:val="22"/>
        </w:rPr>
        <w:t>8 de mayo de 2026</w:t>
        <w:br/>
      </w:r>
      <w:r>
        <w:rPr>
          <w:rFonts w:ascii="Calibri" w:hAnsi="Calibri"/>
          <w:b/>
          <w:color w:val="1B2642"/>
          <w:sz w:val="22"/>
        </w:rPr>
        <w:t xml:space="preserve">Analyst:  </w:t>
      </w:r>
      <w:r>
        <w:rPr>
          <w:rFonts w:ascii="Calibri" w:hAnsi="Calibri"/>
          <w:color w:val="0D0D0D"/>
          <w:sz w:val="22"/>
        </w:rPr>
        <w:t>Investment Analyst — DCE Holdings</w:t>
        <w:br/>
      </w:r>
      <w:r>
        <w:rPr>
          <w:rFonts w:ascii="Calibri" w:hAnsi="Calibri"/>
          <w:b/>
          <w:color w:val="1B2642"/>
          <w:sz w:val="22"/>
        </w:rPr>
        <w:t xml:space="preserve">Reviewer:  </w:t>
      </w:r>
      <w:r>
        <w:rPr>
          <w:rFonts w:ascii="Calibri" w:hAnsi="Calibri"/>
          <w:color w:val="0D0D0D"/>
          <w:sz w:val="22"/>
        </w:rPr>
        <w:t>Director of Research — DCE Holdings</w:t>
        <w:br/>
      </w:r>
      <w:r>
        <w:rPr>
          <w:rFonts w:ascii="Calibri" w:hAnsi="Calibri"/>
          <w:b/>
          <w:color w:val="1B2642"/>
          <w:sz w:val="22"/>
        </w:rPr>
        <w:t xml:space="preserve">Memo de referencia:  </w:t>
      </w:r>
      <w:r>
        <w:rPr>
          <w:rFonts w:ascii="Calibri" w:hAnsi="Calibri"/>
          <w:color w:val="0D0D0D"/>
          <w:sz w:val="22"/>
        </w:rPr>
        <w:t>Investment Memo MSFT v1.0 (mayo 2026)</w:t>
        <w:br/>
      </w:r>
      <w:r>
        <w:rPr>
          <w:rFonts w:ascii="Calibri" w:hAnsi="Calibri"/>
          <w:b/>
          <w:color w:val="1B2642"/>
          <w:sz w:val="22"/>
        </w:rPr>
        <w:t xml:space="preserve">Outcome propuesto:  </w:t>
      </w:r>
      <w:r>
        <w:rPr>
          <w:rFonts w:ascii="Calibri" w:hAnsi="Calibri"/>
          <w:color w:val="0D0D0D"/>
          <w:sz w:val="22"/>
        </w:rPr>
        <w:t>Thesis Intact</w:t>
        <w:br/>
      </w:r>
      <w:r>
        <w:rPr>
          <w:rFonts w:ascii="Calibri" w:hAnsi="Calibri"/>
          <w:b/>
          <w:color w:val="1B2642"/>
          <w:sz w:val="22"/>
        </w:rPr>
        <w:t xml:space="preserve">Versión:  </w:t>
      </w:r>
      <w:r>
        <w:rPr>
          <w:rFonts w:ascii="Calibri" w:hAnsi="Calibri"/>
          <w:color w:val="0D0D0D"/>
          <w:sz w:val="22"/>
        </w:rPr>
        <w:t>v1.0 (formato Operations Manual v3.2)</w:t>
        <w:br/>
      </w:r>
    </w:p>
    <w:p>
      <w:pPr>
        <w:spacing w:before="2400"/>
        <w:jc w:val="center"/>
      </w:pPr>
      <w:r>
        <w:rPr>
          <w:rFonts w:ascii="Calibri" w:hAnsi="Calibri"/>
          <w:i/>
          <w:color w:val="606060"/>
          <w:sz w:val="18"/>
        </w:rPr>
        <w:t>CONFIDENCIAL — Solo para uso interno de DCE Holdings</w:t>
      </w:r>
    </w:p>
    <w:p>
      <w:r>
        <w:br w:type="page"/>
      </w:r>
    </w:p>
    <w:p>
      <w:pPr>
        <w:spacing w:before="400" w:after="160"/>
      </w:pPr>
      <w:r>
        <w:rPr>
          <w:rFonts w:ascii="Calibri" w:hAnsi="Calibri"/>
          <w:b/>
          <w:color w:val="1B2642"/>
          <w:sz w:val="32"/>
        </w:rPr>
        <w:t>1. Investment Snapshot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val="clear" w:color="auto" w:fill="1B264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5953"/>
            <w:shd w:val="clear" w:color="auto" w:fill="1B264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3118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Trimestre</w:t>
            </w:r>
          </w:p>
        </w:tc>
        <w:tc>
          <w:tcPr>
            <w:tcW w:type="dxa" w:w="5953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Q1 2026 (10-Q FY26 Q3 — Microsoft fiscal calendar)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Position size actual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6.1% del NAV (target original: 6.0%)</w:t>
            </w:r>
          </w:p>
        </w:tc>
      </w:tr>
      <w:tr>
        <w:tc>
          <w:tcPr>
            <w:tcW w:type="dxa" w:w="3118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Cost basis (USD/acción)</w:t>
            </w:r>
          </w:p>
        </w:tc>
        <w:tc>
          <w:tcPr>
            <w:tcW w:type="dxa" w:w="5953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462.80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Precio cierre trimestre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482.30 (8-mayo-2026)</w:t>
            </w:r>
          </w:p>
        </w:tc>
      </w:tr>
      <w:tr>
        <w:tc>
          <w:tcPr>
            <w:tcW w:type="dxa" w:w="3118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Unrealized P&amp;L</w:t>
            </w:r>
          </w:p>
        </w:tc>
        <w:tc>
          <w:tcPr>
            <w:tcW w:type="dxa" w:w="5953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+4.2%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Días en cartera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147 días</w:t>
            </w:r>
          </w:p>
        </w:tc>
      </w:tr>
      <w:tr>
        <w:tc>
          <w:tcPr>
            <w:tcW w:type="dxa" w:w="3118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Memo de referencia</w:t>
            </w:r>
          </w:p>
        </w:tc>
        <w:tc>
          <w:tcPr>
            <w:tcW w:type="dxa" w:w="5953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Investment Memo MSFT v1.0 — diciembre 2025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Implied IRR forward (Columbia LTM 2026Q3)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14.1% (vs hurdle Core Compounder 10%)</w:t>
            </w:r>
          </w:p>
        </w:tc>
      </w:tr>
      <w:tr>
        <w:tc>
          <w:tcPr>
            <w:tcW w:type="dxa" w:w="3118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Conviction level</w:t>
            </w:r>
          </w:p>
        </w:tc>
        <w:tc>
          <w:tcPr>
            <w:tcW w:type="dxa" w:w="5953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High (sin cambio vs trimestre anterior)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Outcome propuesto</w:t>
            </w:r>
          </w:p>
        </w:tc>
        <w:tc>
          <w:tcPr>
            <w:tcW w:type="dxa" w:w="5953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Thesis Intact</w:t>
            </w:r>
          </w:p>
        </w:tc>
      </w:tr>
      <w:tr>
        <w:tc>
          <w:tcPr>
            <w:tcW w:type="dxa" w:w="3118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Acción recomendada</w:t>
            </w:r>
          </w:p>
        </w:tc>
        <w:tc>
          <w:tcPr>
            <w:tcW w:type="dxa" w:w="5953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Mantener; continuar en banda Core Compounder</w:t>
            </w:r>
          </w:p>
        </w:tc>
      </w:tr>
    </w:tbl>
    <w:p>
      <w:pPr>
        <w:spacing w:after="120"/>
      </w:pPr>
    </w:p>
    <w:p>
      <w:pPr>
        <w:spacing w:before="400" w:after="160"/>
      </w:pPr>
      <w:r>
        <w:rPr>
          <w:rFonts w:ascii="Calibri" w:hAnsi="Calibri"/>
          <w:b/>
          <w:color w:val="1B2642"/>
          <w:sz w:val="32"/>
        </w:rPr>
        <w:t>2. Executive Summary</w:t>
      </w:r>
    </w:p>
    <w:p>
      <w:pPr>
        <w:spacing w:after="120"/>
        <w:jc w:val="both"/>
      </w:pPr>
      <w:r>
        <w:rPr>
          <w:rFonts w:ascii="Calibri" w:hAnsi="Calibri"/>
          <w:color w:val="0D0D0D"/>
          <w:sz w:val="22"/>
        </w:rPr>
        <w:t>Microsoft entrega un trimestre alineado con los pilares de la tesis original. Azure crece 27.8% YoY (vs target ≥25%), Copilot supera la barrera de 12M paid seats, los márgenes operativos se mantienen en 46.2%, y el balance sheet conserva su net cash position de USD 89B. Los siete KPIs definidos en el Memo §6 están en zona verde. Ningún failure mode del Pre-Mortem se activa este trimestre.</w:t>
      </w:r>
    </w:p>
    <w:p>
      <w:pPr>
        <w:spacing w:after="120"/>
        <w:jc w:val="both"/>
      </w:pPr>
      <w:r>
        <w:rPr>
          <w:rFonts w:ascii="Calibri" w:hAnsi="Calibri"/>
          <w:b/>
          <w:color w:val="0D0D0D"/>
          <w:sz w:val="22"/>
        </w:rPr>
        <w:t>La tesis se mantiene intacta. Sin recalibración de umbrales, sin evolución material de la narrativa, sin cambio en la conclusión del comité. Continuamos en posición Core Compounder al 6.1% del NAV con conviction level High. Próxima revisión: Q2 2026 al cierre del 10-K FY26.</w:t>
      </w:r>
    </w:p>
    <w:p>
      <w:pPr>
        <w:spacing w:before="400" w:after="160"/>
      </w:pPr>
      <w:r>
        <w:rPr>
          <w:rFonts w:ascii="Calibri" w:hAnsi="Calibri"/>
          <w:b/>
          <w:color w:val="1B2642"/>
          <w:sz w:val="32"/>
        </w:rPr>
        <w:t>3. What Changed Since Last Quarter</w:t>
      </w:r>
    </w:p>
    <w:p>
      <w:pPr>
        <w:spacing w:before="200" w:after="80"/>
      </w:pPr>
      <w:r>
        <w:rPr>
          <w:rFonts w:ascii="Calibri" w:hAnsi="Calibri"/>
          <w:b/>
          <w:color w:val="1B2642"/>
          <w:sz w:val="26"/>
        </w:rPr>
        <w:t>3.1 Eventos materiales del trimestre</w:t>
      </w:r>
    </w:p>
    <w:p>
      <w:pPr>
        <w:pStyle w:val="ListBullet"/>
        <w:spacing w:after="40"/>
      </w:pPr>
      <w:r>
        <w:rPr>
          <w:rFonts w:ascii="Calibri" w:hAnsi="Calibri"/>
          <w:color w:val="0D0D0D"/>
          <w:sz w:val="22"/>
        </w:rPr>
        <w:t>25-abril-2026: 10-Q FY26 Q3 publicado. Azure 27.8% YoY (consenso 26.0%), Copilot 12.8M seats (vs 10.4M Q4 2025).</w:t>
      </w:r>
    </w:p>
    <w:p>
      <w:pPr>
        <w:pStyle w:val="ListBullet"/>
        <w:spacing w:after="40"/>
      </w:pPr>
      <w:r>
        <w:rPr>
          <w:rFonts w:ascii="Calibri" w:hAnsi="Calibri"/>
          <w:color w:val="0D0D0D"/>
          <w:sz w:val="22"/>
        </w:rPr>
        <w:t>17-abril-2026: Microsoft Build 2026 anuncia Copilot Studio v2 con agentes verticales pre-configurados (legal, finance, healthcare). Validación temprana del optionality bullet del memo.</w:t>
      </w:r>
    </w:p>
    <w:p>
      <w:pPr>
        <w:pStyle w:val="ListBullet"/>
        <w:spacing w:after="40"/>
      </w:pPr>
      <w:r>
        <w:rPr>
          <w:rFonts w:ascii="Calibri" w:hAnsi="Calibri"/>
          <w:color w:val="0D0D0D"/>
          <w:sz w:val="22"/>
        </w:rPr>
        <w:t>12-marzo-2026: Comisión Europea cierra investigación antitrust sobre bundling de Teams sin sanción material; commitments comportamentales aceptados. Mitigant del failure mode "Regulación antitrust".</w:t>
      </w:r>
    </w:p>
    <w:p>
      <w:pPr>
        <w:pStyle w:val="ListBullet"/>
        <w:spacing w:after="40"/>
      </w:pPr>
      <w:r>
        <w:rPr>
          <w:rFonts w:ascii="Calibri" w:hAnsi="Calibri"/>
          <w:color w:val="0D0D0D"/>
          <w:sz w:val="22"/>
        </w:rPr>
        <w:t>5-febrero-2026: Anuncio de OpenAI Stargate Phase 2 (USD 30B adicional capex) — Microsoft confirma su rol como infrastructure partner preferente sin equity dilution.</w:t>
      </w:r>
    </w:p>
    <w:p>
      <w:pPr>
        <w:spacing w:before="200" w:after="80"/>
      </w:pPr>
      <w:r>
        <w:rPr>
          <w:rFonts w:ascii="Calibri" w:hAnsi="Calibri"/>
          <w:b/>
          <w:color w:val="1B2642"/>
          <w:sz w:val="26"/>
        </w:rPr>
        <w:t>3.2 Datos nuevos del 10-Q FY26 Q3</w:t>
      </w:r>
    </w:p>
    <w:p>
      <w:pPr>
        <w:pStyle w:val="ListBullet"/>
        <w:spacing w:after="40"/>
      </w:pPr>
      <w:r>
        <w:rPr>
          <w:rFonts w:ascii="Calibri" w:hAnsi="Calibri"/>
          <w:color w:val="0D0D0D"/>
          <w:sz w:val="22"/>
        </w:rPr>
        <w:t>Revenue: USD 76.4B (+13.2% YoY) — beat consenso.</w:t>
      </w:r>
    </w:p>
    <w:p>
      <w:pPr>
        <w:pStyle w:val="ListBullet"/>
        <w:spacing w:after="40"/>
      </w:pPr>
      <w:r>
        <w:rPr>
          <w:rFonts w:ascii="Calibri" w:hAnsi="Calibri"/>
          <w:color w:val="0D0D0D"/>
          <w:sz w:val="22"/>
        </w:rPr>
        <w:t>Operating income: USD 35.3B (+15.1% YoY); margen 46.2% (consenso 45.5%).</w:t>
      </w:r>
    </w:p>
    <w:p>
      <w:pPr>
        <w:pStyle w:val="ListBullet"/>
        <w:spacing w:after="40"/>
      </w:pPr>
      <w:r>
        <w:rPr>
          <w:rFonts w:ascii="Calibri" w:hAnsi="Calibri"/>
          <w:color w:val="0D0D0D"/>
          <w:sz w:val="22"/>
        </w:rPr>
        <w:t>Azure &amp; other cloud services: 27.8% YoY constant currency (consenso 26.0%).</w:t>
      </w:r>
    </w:p>
    <w:p>
      <w:pPr>
        <w:pStyle w:val="ListBullet"/>
        <w:spacing w:after="40"/>
      </w:pPr>
      <w:r>
        <w:rPr>
          <w:rFonts w:ascii="Calibri" w:hAnsi="Calibri"/>
          <w:color w:val="0D0D0D"/>
          <w:sz w:val="22"/>
        </w:rPr>
        <w:t>AI services contribution to Azure growth: ~13pp (vs 11pp último trimestre).</w:t>
      </w:r>
    </w:p>
    <w:p>
      <w:pPr>
        <w:pStyle w:val="ListBullet"/>
        <w:spacing w:after="40"/>
      </w:pPr>
      <w:r>
        <w:rPr>
          <w:rFonts w:ascii="Calibri" w:hAnsi="Calibri"/>
          <w:color w:val="0D0D0D"/>
          <w:sz w:val="22"/>
        </w:rPr>
        <w:t>Capex: USD 21.4B (+38% YoY) — invest cycle continúa pero contratos enterprise multi-año respaldan el ramp.</w:t>
      </w:r>
    </w:p>
    <w:p>
      <w:pPr>
        <w:pStyle w:val="ListBullet"/>
        <w:spacing w:after="40"/>
      </w:pPr>
      <w:r>
        <w:rPr>
          <w:rFonts w:ascii="Calibri" w:hAnsi="Calibri"/>
          <w:color w:val="0D0D0D"/>
          <w:sz w:val="22"/>
        </w:rPr>
        <w:t>FCF: USD 22.1B (vs USD 19.8B Q3 2025). Margen FCF 28.9% (vs target ≥30% — temporalmente por debajo por capex peak; ROIC ajustado intacto).</w:t>
      </w:r>
    </w:p>
    <w:p>
      <w:pPr>
        <w:pStyle w:val="ListBullet"/>
        <w:spacing w:after="40"/>
      </w:pPr>
      <w:r>
        <w:rPr>
          <w:rFonts w:ascii="Calibri" w:hAnsi="Calibri"/>
          <w:color w:val="0D0D0D"/>
          <w:sz w:val="22"/>
        </w:rPr>
        <w:t>Buybacks ejecutados: USD 16.5B en el trimestre (anualizado USD 66B).</w:t>
      </w:r>
    </w:p>
    <w:p>
      <w:pPr>
        <w:spacing w:before="200" w:after="80"/>
      </w:pPr>
      <w:r>
        <w:rPr>
          <w:rFonts w:ascii="Calibri" w:hAnsi="Calibri"/>
          <w:b/>
          <w:color w:val="1B2642"/>
          <w:sz w:val="26"/>
        </w:rPr>
        <w:t>3.3 Decisiones tomadas durante el trimestre</w:t>
      </w:r>
    </w:p>
    <w:p>
      <w:pPr>
        <w:spacing w:after="120"/>
        <w:jc w:val="both"/>
      </w:pPr>
      <w:r>
        <w:rPr>
          <w:rFonts w:ascii="Calibri" w:hAnsi="Calibri"/>
          <w:color w:val="0D0D0D"/>
          <w:sz w:val="22"/>
        </w:rPr>
        <w:t>Ninguna decisión de portfolio sobre MSFT durante el trimestre. La posición se mantuvo en 6.1% del NAV sin trim ni add. Sin trades ejecutados.</w:t>
      </w:r>
    </w:p>
    <w:p>
      <w:pPr>
        <w:spacing w:before="400" w:after="160"/>
      </w:pPr>
      <w:r>
        <w:rPr>
          <w:rFonts w:ascii="Calibri" w:hAnsi="Calibri"/>
          <w:b/>
          <w:color w:val="1B2642"/>
          <w:sz w:val="32"/>
        </w:rPr>
        <w:t>4. Thesis Tracking</w:t>
      </w:r>
    </w:p>
    <w:p>
      <w:pPr>
        <w:spacing w:after="120"/>
        <w:jc w:val="both"/>
      </w:pPr>
      <w:r>
        <w:rPr>
          <w:rFonts w:ascii="Calibri" w:hAnsi="Calibri"/>
          <w:color w:val="0D0D0D"/>
          <w:sz w:val="22"/>
        </w:rPr>
        <w:t>Cada uno de los cinco pilares de la tesis original (Memo §2) se evalúa contra la evidencia trimestral. Estado: Validado / Parcial / Debilitado / Roto.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18"/>
            <w:shd w:val="clear" w:color="auto" w:fill="1B264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Pilar de la tesis (Memo §2)</w:t>
            </w:r>
          </w:p>
        </w:tc>
        <w:tc>
          <w:tcPr>
            <w:tcW w:type="dxa" w:w="1417"/>
            <w:shd w:val="clear" w:color="auto" w:fill="1B264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4535"/>
            <w:shd w:val="clear" w:color="auto" w:fill="1B264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Evidencia trimestral</w:t>
            </w:r>
          </w:p>
        </w:tc>
      </w:tr>
      <w:tr>
        <w:tc>
          <w:tcPr>
            <w:tcW w:type="dxa" w:w="3118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Azure fast-follower estructural (~25% market share, 28-32% YoY)</w:t>
            </w:r>
          </w:p>
        </w:tc>
        <w:tc>
          <w:tcPr>
            <w:tcW w:type="dxa" w:w="1417"/>
            <w:shd w:val="clear" w:color="auto" w:fill="1F5F3F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Validado</w:t>
            </w:r>
          </w:p>
        </w:tc>
        <w:tc>
          <w:tcPr>
            <w:tcW w:type="dxa" w:w="4535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27.8% YoY este trimestre. Market share intacto vs AWS y GCP. Cross-sell enterprise sigue funcionando.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M365 + Copilot pricing power y baja churn</w:t>
            </w:r>
          </w:p>
        </w:tc>
        <w:tc>
          <w:tcPr>
            <w:tcW w:type="dxa" w:w="1417"/>
            <w:shd w:val="clear" w:color="auto" w:fill="1F5F3F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Validado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Churn enterprise &lt;2% confirmado. Copilot ramp 12.8M seats supera plan. ARPU YoY +8.4%.</w:t>
            </w:r>
          </w:p>
        </w:tc>
      </w:tr>
      <w:tr>
        <w:tc>
          <w:tcPr>
            <w:tcW w:type="dxa" w:w="3118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OpenAI partnership como AI moat asimétrico</w:t>
            </w:r>
          </w:p>
        </w:tc>
        <w:tc>
          <w:tcPr>
            <w:tcW w:type="dxa" w:w="1417"/>
            <w:shd w:val="clear" w:color="auto" w:fill="1F5F3F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Validado</w:t>
            </w:r>
          </w:p>
        </w:tc>
        <w:tc>
          <w:tcPr>
            <w:tcW w:type="dxa" w:w="4535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Stargate Phase 2 confirma rol de Microsoft sin equity dilution. Acceso preferente intacto.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Capital allocation disciplinado (Nadella)</w:t>
            </w:r>
          </w:p>
        </w:tc>
        <w:tc>
          <w:tcPr>
            <w:tcW w:type="dxa" w:w="1417"/>
            <w:shd w:val="clear" w:color="auto" w:fill="1F5F3F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Validado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USD 66B anualizado en buybacks; θ_firm 19% sostenido; capex productivo respaldado por contratos.</w:t>
            </w:r>
          </w:p>
        </w:tc>
      </w:tr>
      <w:tr>
        <w:tc>
          <w:tcPr>
            <w:tcW w:type="dxa" w:w="3118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Balance sheet fortress (USD 89B net cash)</w:t>
            </w:r>
          </w:p>
        </w:tc>
        <w:tc>
          <w:tcPr>
            <w:tcW w:type="dxa" w:w="1417"/>
            <w:shd w:val="clear" w:color="auto" w:fill="1F5F3F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Validado</w:t>
            </w:r>
          </w:p>
        </w:tc>
        <w:tc>
          <w:tcPr>
            <w:tcW w:type="dxa" w:w="4535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Net cash USD 89B intacto a pesar del invest-cycle. Sin emisión de deuda nueva.</w:t>
            </w:r>
          </w:p>
        </w:tc>
      </w:tr>
    </w:tbl>
    <w:p>
      <w:pPr>
        <w:spacing w:after="120"/>
      </w:pPr>
    </w:p>
    <w:p>
      <w:pPr>
        <w:spacing w:after="120"/>
        <w:jc w:val="both"/>
      </w:pPr>
      <w:r>
        <w:rPr>
          <w:rFonts w:ascii="Calibri" w:hAnsi="Calibri"/>
          <w:b/>
          <w:color w:val="0D0D0D"/>
          <w:sz w:val="22"/>
        </w:rPr>
        <w:t>Conclusión §4: los cinco pilares de la tesis se mantienen Validados. Sin debilitamiento estructural en ningún driver.</w:t>
      </w:r>
    </w:p>
    <w:p>
      <w:pPr>
        <w:spacing w:before="400" w:after="160"/>
      </w:pPr>
      <w:r>
        <w:rPr>
          <w:rFonts w:ascii="Calibri" w:hAnsi="Calibri"/>
          <w:b/>
          <w:color w:val="1B2642"/>
          <w:sz w:val="32"/>
        </w:rPr>
        <w:t>5. Premortem Tracking</w:t>
      </w:r>
    </w:p>
    <w:p>
      <w:pPr>
        <w:spacing w:after="120"/>
        <w:jc w:val="both"/>
      </w:pPr>
      <w:r>
        <w:rPr>
          <w:rFonts w:ascii="Calibri" w:hAnsi="Calibri"/>
          <w:color w:val="0D0D0D"/>
          <w:sz w:val="22"/>
        </w:rPr>
        <w:t>Cada failure mode definido en el Memo §10 se evalúa con la evidencia trimestral. La activación de cualquier modo de severidad Alta o Crítica escala automáticamente al CIO conforme al Operations Manual §2.4.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64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Failure Mode (Memo §10)</w:t>
            </w:r>
          </w:p>
        </w:tc>
        <w:tc>
          <w:tcPr>
            <w:tcW w:type="dxa" w:w="1134"/>
            <w:shd w:val="clear" w:color="auto" w:fill="1B264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Estado</w:t>
            </w:r>
          </w:p>
        </w:tc>
        <w:tc>
          <w:tcPr>
            <w:tcW w:type="dxa" w:w="1020"/>
            <w:shd w:val="clear" w:color="auto" w:fill="1B264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Severidad</w:t>
            </w:r>
          </w:p>
        </w:tc>
        <w:tc>
          <w:tcPr>
            <w:tcW w:type="dxa" w:w="4365"/>
            <w:shd w:val="clear" w:color="auto" w:fill="1B264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Evidencia trimestral</w:t>
            </w:r>
          </w:p>
        </w:tc>
      </w:tr>
      <w:tr>
        <w:tc>
          <w:tcPr>
            <w:tcW w:type="dxa" w:w="2551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Azure pierde momentum estructural</w:t>
            </w:r>
          </w:p>
        </w:tc>
        <w:tc>
          <w:tcPr>
            <w:tcW w:type="dxa" w:w="1134"/>
            <w:shd w:val="clear" w:color="auto" w:fill="1F5F3F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 activado</w:t>
            </w:r>
          </w:p>
        </w:tc>
        <w:tc>
          <w:tcPr>
            <w:tcW w:type="dxa" w:w="1020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Crítica</w:t>
            </w:r>
          </w:p>
        </w:tc>
        <w:tc>
          <w:tcPr>
            <w:tcW w:type="dxa" w:w="4365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27.8% YoY (vs umbral activación &lt;22%). Margen 580bps por encima del trigger.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AI capex no genera retorno proporcional</w:t>
            </w:r>
          </w:p>
        </w:tc>
        <w:tc>
          <w:tcPr>
            <w:tcW w:type="dxa" w:w="1134"/>
            <w:shd w:val="clear" w:color="auto" w:fill="B88B4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Watch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Alta</w:t>
            </w:r>
          </w:p>
        </w:tc>
        <w:tc>
          <w:tcPr>
            <w:tcW w:type="dxa" w:w="4365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FCF margin 28.9% (target ≥30%) por capex peak. ROIC ajustado intacto en 32.4%. Monitorear FY27.</w:t>
            </w:r>
          </w:p>
        </w:tc>
      </w:tr>
      <w:tr>
        <w:tc>
          <w:tcPr>
            <w:tcW w:type="dxa" w:w="2551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Disrupción competitiva en M365</w:t>
            </w:r>
          </w:p>
        </w:tc>
        <w:tc>
          <w:tcPr>
            <w:tcW w:type="dxa" w:w="1134"/>
            <w:shd w:val="clear" w:color="auto" w:fill="1F5F3F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 activado</w:t>
            </w:r>
          </w:p>
        </w:tc>
        <w:tc>
          <w:tcPr>
            <w:tcW w:type="dxa" w:w="1020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Alta</w:t>
            </w:r>
          </w:p>
        </w:tc>
        <w:tc>
          <w:tcPr>
            <w:tcW w:type="dxa" w:w="4365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Churn enterprise &lt;2%; sin pérdidas Tier 1 reportadas; renewals intactos.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Regulación antitrust (UE/US)</w:t>
            </w:r>
          </w:p>
        </w:tc>
        <w:tc>
          <w:tcPr>
            <w:tcW w:type="dxa" w:w="1134"/>
            <w:shd w:val="clear" w:color="auto" w:fill="1F5F3F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 activado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Media</w:t>
            </w:r>
          </w:p>
        </w:tc>
        <w:tc>
          <w:tcPr>
            <w:tcW w:type="dxa" w:w="4365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UE cierra investigación Teams sin sanción material. US: status quo.</w:t>
            </w:r>
          </w:p>
        </w:tc>
      </w:tr>
      <w:tr>
        <w:tc>
          <w:tcPr>
            <w:tcW w:type="dxa" w:w="2551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Sucesión Nadella mal manejada</w:t>
            </w:r>
          </w:p>
        </w:tc>
        <w:tc>
          <w:tcPr>
            <w:tcW w:type="dxa" w:w="1134"/>
            <w:shd w:val="clear" w:color="auto" w:fill="1F5F3F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 activado</w:t>
            </w:r>
          </w:p>
        </w:tc>
        <w:tc>
          <w:tcPr>
            <w:tcW w:type="dxa" w:w="1020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Alta</w:t>
            </w:r>
          </w:p>
        </w:tc>
        <w:tc>
          <w:tcPr>
            <w:tcW w:type="dxa" w:w="4365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Sin señales de salida. Compensación 2026 confirmada con term largo.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Recesión severa enterprise IT spend</w:t>
            </w:r>
          </w:p>
        </w:tc>
        <w:tc>
          <w:tcPr>
            <w:tcW w:type="dxa" w:w="1134"/>
            <w:shd w:val="clear" w:color="auto" w:fill="1F5F3F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 activado</w:t>
            </w:r>
          </w:p>
        </w:tc>
        <w:tc>
          <w:tcPr>
            <w:tcW w:type="dxa" w:w="1020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Media</w:t>
            </w:r>
          </w:p>
        </w:tc>
        <w:tc>
          <w:tcPr>
            <w:tcW w:type="dxa" w:w="4365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Bookings YoY +25%; renewals stable; sin downgrades de tier reportados.</w:t>
            </w:r>
          </w:p>
        </w:tc>
      </w:tr>
    </w:tbl>
    <w:p>
      <w:pPr>
        <w:spacing w:after="120"/>
      </w:pPr>
    </w:p>
    <w:p>
      <w:pPr>
        <w:spacing w:after="120"/>
        <w:jc w:val="both"/>
      </w:pPr>
      <w:r>
        <w:rPr>
          <w:rFonts w:ascii="Calibri" w:hAnsi="Calibri"/>
          <w:b/>
          <w:color w:val="0D0D0D"/>
          <w:sz w:val="22"/>
        </w:rPr>
        <w:t>Conclusión §5: cinco de seis failure modes en estado "No activado". Uno en estado "Watch" (AI capex retornos): FCF margin temporalmente por debajo del target por capex peak — explicado por contratos enterprise ya firmados. Sin escalamiento al CIO requerido. Re-evaluar en Q2 2026.</w:t>
      </w:r>
    </w:p>
    <w:p>
      <w:pPr>
        <w:spacing w:before="400" w:after="160"/>
      </w:pPr>
      <w:r>
        <w:rPr>
          <w:rFonts w:ascii="Calibri" w:hAnsi="Calibri"/>
          <w:b/>
          <w:color w:val="1B2642"/>
          <w:sz w:val="32"/>
        </w:rPr>
        <w:t>6. KPI Dashboard</w:t>
      </w:r>
    </w:p>
    <w:p>
      <w:pPr>
        <w:spacing w:after="120"/>
        <w:jc w:val="both"/>
      </w:pPr>
      <w:r>
        <w:rPr>
          <w:rFonts w:ascii="Calibri" w:hAnsi="Calibri"/>
          <w:color w:val="0D0D0D"/>
          <w:sz w:val="22"/>
        </w:rPr>
        <w:t>Los cinco a siete KPIs definidos en el Memo §6 con dato actual vs target y semáforo. Cualquier KPI en zona Roja por dos trimestres consecutivos dispara revisión de tesis.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665"/>
            <w:shd w:val="clear" w:color="auto" w:fill="1B264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KPI</w:t>
            </w:r>
          </w:p>
        </w:tc>
        <w:tc>
          <w:tcPr>
            <w:tcW w:type="dxa" w:w="1304"/>
            <w:shd w:val="clear" w:color="auto" w:fill="1B264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Q1 2026</w:t>
            </w:r>
          </w:p>
        </w:tc>
        <w:tc>
          <w:tcPr>
            <w:tcW w:type="dxa" w:w="1531"/>
            <w:shd w:val="clear" w:color="auto" w:fill="1B264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1417"/>
            <w:shd w:val="clear" w:color="auto" w:fill="1B264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Δ vs target</w:t>
            </w:r>
          </w:p>
        </w:tc>
        <w:tc>
          <w:tcPr>
            <w:tcW w:type="dxa" w:w="1304"/>
            <w:shd w:val="clear" w:color="auto" w:fill="1B264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Semáforo</w:t>
            </w:r>
          </w:p>
        </w:tc>
      </w:tr>
      <w:tr>
        <w:tc>
          <w:tcPr>
            <w:tcW w:type="dxa" w:w="2665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Azure revenue YoY %</w:t>
            </w:r>
          </w:p>
        </w:tc>
        <w:tc>
          <w:tcPr>
            <w:tcW w:type="dxa" w:w="1304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27.8%</w:t>
            </w:r>
          </w:p>
        </w:tc>
        <w:tc>
          <w:tcPr>
            <w:tcW w:type="dxa" w:w="1531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≥ 25%</w:t>
            </w:r>
          </w:p>
        </w:tc>
        <w:tc>
          <w:tcPr>
            <w:tcW w:type="dxa" w:w="1417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+280bps</w:t>
            </w:r>
          </w:p>
        </w:tc>
        <w:tc>
          <w:tcPr>
            <w:tcW w:type="dxa" w:w="1304"/>
            <w:shd w:val="clear" w:color="auto" w:fill="1F5F3F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Verde</w:t>
            </w:r>
          </w:p>
        </w:tc>
      </w:tr>
      <w:tr>
        <w:tc>
          <w:tcPr>
            <w:tcW w:type="dxa" w:w="2665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M365 Commercial Cloud ARPU YoY</w:t>
            </w:r>
          </w:p>
        </w:tc>
        <w:tc>
          <w:tcPr>
            <w:tcW w:type="dxa" w:w="1304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+8.4%</w:t>
            </w:r>
          </w:p>
        </w:tc>
        <w:tc>
          <w:tcPr>
            <w:tcW w:type="dxa" w:w="1531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≥ 5%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+340bps</w:t>
            </w:r>
          </w:p>
        </w:tc>
        <w:tc>
          <w:tcPr>
            <w:tcW w:type="dxa" w:w="1304"/>
            <w:shd w:val="clear" w:color="auto" w:fill="1F5F3F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Verde</w:t>
            </w:r>
          </w:p>
        </w:tc>
      </w:tr>
      <w:tr>
        <w:tc>
          <w:tcPr>
            <w:tcW w:type="dxa" w:w="2665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Copilot paid seats (millones)</w:t>
            </w:r>
          </w:p>
        </w:tc>
        <w:tc>
          <w:tcPr>
            <w:tcW w:type="dxa" w:w="1304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12.8M</w:t>
            </w:r>
          </w:p>
        </w:tc>
        <w:tc>
          <w:tcPr>
            <w:tcW w:type="dxa" w:w="1531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≥ 10M @ FY26</w:t>
            </w:r>
          </w:p>
        </w:tc>
        <w:tc>
          <w:tcPr>
            <w:tcW w:type="dxa" w:w="1417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+28%</w:t>
            </w:r>
          </w:p>
        </w:tc>
        <w:tc>
          <w:tcPr>
            <w:tcW w:type="dxa" w:w="1304"/>
            <w:shd w:val="clear" w:color="auto" w:fill="1F5F3F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Verde</w:t>
            </w:r>
          </w:p>
        </w:tc>
      </w:tr>
      <w:tr>
        <w:tc>
          <w:tcPr>
            <w:tcW w:type="dxa" w:w="2665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Operating margin (LTM)</w:t>
            </w:r>
          </w:p>
        </w:tc>
        <w:tc>
          <w:tcPr>
            <w:tcW w:type="dxa" w:w="1304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46.2%</w:t>
            </w:r>
          </w:p>
        </w:tc>
        <w:tc>
          <w:tcPr>
            <w:tcW w:type="dxa" w:w="1531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≥ 44%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+220bps</w:t>
            </w:r>
          </w:p>
        </w:tc>
        <w:tc>
          <w:tcPr>
            <w:tcW w:type="dxa" w:w="1304"/>
            <w:shd w:val="clear" w:color="auto" w:fill="1F5F3F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Verde</w:t>
            </w:r>
          </w:p>
        </w:tc>
      </w:tr>
      <w:tr>
        <w:tc>
          <w:tcPr>
            <w:tcW w:type="dxa" w:w="2665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FCF margin (LTM)</w:t>
            </w:r>
          </w:p>
        </w:tc>
        <w:tc>
          <w:tcPr>
            <w:tcW w:type="dxa" w:w="1304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28.9%</w:t>
            </w:r>
          </w:p>
        </w:tc>
        <w:tc>
          <w:tcPr>
            <w:tcW w:type="dxa" w:w="1531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≥ 30%</w:t>
            </w:r>
          </w:p>
        </w:tc>
        <w:tc>
          <w:tcPr>
            <w:tcW w:type="dxa" w:w="1417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−110bps</w:t>
            </w:r>
          </w:p>
        </w:tc>
        <w:tc>
          <w:tcPr>
            <w:tcW w:type="dxa" w:w="1304"/>
            <w:shd w:val="clear" w:color="auto" w:fill="B88B47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Amarillo</w:t>
            </w:r>
          </w:p>
        </w:tc>
      </w:tr>
      <w:tr>
        <w:tc>
          <w:tcPr>
            <w:tcW w:type="dxa" w:w="2665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Net cash (USD B)</w:t>
            </w:r>
          </w:p>
        </w:tc>
        <w:tc>
          <w:tcPr>
            <w:tcW w:type="dxa" w:w="1304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+89</w:t>
            </w:r>
          </w:p>
        </w:tc>
        <w:tc>
          <w:tcPr>
            <w:tcW w:type="dxa" w:w="1531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&gt; 50</w:t>
            </w:r>
          </w:p>
        </w:tc>
        <w:tc>
          <w:tcPr>
            <w:tcW w:type="dxa" w:w="1417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+78%</w:t>
            </w:r>
          </w:p>
        </w:tc>
        <w:tc>
          <w:tcPr>
            <w:tcW w:type="dxa" w:w="1304"/>
            <w:shd w:val="clear" w:color="auto" w:fill="1F5F3F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Verde</w:t>
            </w:r>
          </w:p>
        </w:tc>
      </w:tr>
      <w:tr>
        <w:tc>
          <w:tcPr>
            <w:tcW w:type="dxa" w:w="2665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ROIC ajustado (3-yr avg)</w:t>
            </w:r>
          </w:p>
        </w:tc>
        <w:tc>
          <w:tcPr>
            <w:tcW w:type="dxa" w:w="1304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32.4%</w:t>
            </w:r>
          </w:p>
        </w:tc>
        <w:tc>
          <w:tcPr>
            <w:tcW w:type="dxa" w:w="1531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≥ 28%</w:t>
            </w:r>
          </w:p>
        </w:tc>
        <w:tc>
          <w:tcPr>
            <w:tcW w:type="dxa" w:w="1417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+440bps</w:t>
            </w:r>
          </w:p>
        </w:tc>
        <w:tc>
          <w:tcPr>
            <w:tcW w:type="dxa" w:w="1304"/>
            <w:shd w:val="clear" w:color="auto" w:fill="1F5F3F"/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Verde</w:t>
            </w:r>
          </w:p>
        </w:tc>
      </w:tr>
    </w:tbl>
    <w:p>
      <w:pPr>
        <w:spacing w:after="120"/>
      </w:pPr>
    </w:p>
    <w:p>
      <w:pPr>
        <w:spacing w:after="120"/>
        <w:jc w:val="both"/>
      </w:pPr>
      <w:r>
        <w:rPr>
          <w:rFonts w:ascii="Calibri" w:hAnsi="Calibri"/>
          <w:b/>
          <w:color w:val="0D0D0D"/>
          <w:sz w:val="22"/>
        </w:rPr>
        <w:t>Conclusión §6: 6 de 7 KPIs en Verde. FCF margin pasa a Amarillo por capex peak; ROIC ajustado intacto, lo que valida que el deterioro de FCF es temporal e inversionable. Re-evaluar en Q2 2026; si pasa segundo trimestre en Amarillo se escala formalmente.</w:t>
      </w:r>
    </w:p>
    <w:p>
      <w:pPr>
        <w:spacing w:before="400" w:after="160"/>
      </w:pPr>
      <w:r>
        <w:rPr>
          <w:rFonts w:ascii="Calibri" w:hAnsi="Calibri"/>
          <w:b/>
          <w:color w:val="1B2642"/>
          <w:sz w:val="32"/>
        </w:rPr>
        <w:t>7. Valuation Update</w:t>
      </w:r>
    </w:p>
    <w:p>
      <w:pPr>
        <w:spacing w:after="120"/>
        <w:jc w:val="both"/>
      </w:pPr>
      <w:r>
        <w:rPr>
          <w:rFonts w:ascii="Calibri" w:hAnsi="Calibri"/>
          <w:color w:val="0D0D0D"/>
          <w:sz w:val="22"/>
        </w:rPr>
        <w:t>Implied IRR refrescado desde el Columbia Model actualizado con la columna LTM 2026 Q3 (incremental update conforme a la skill columbia-update-incremental). Sin modificación de Decision Points originales (tax rate, S&amp;M life, R&amp;D life, WACC, hurdle).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685"/>
            <w:shd w:val="clear" w:color="auto" w:fill="1B264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Componente</w:t>
            </w:r>
          </w:p>
        </w:tc>
        <w:tc>
          <w:tcPr>
            <w:tcW w:type="dxa" w:w="1701"/>
            <w:shd w:val="clear" w:color="auto" w:fill="1B264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Memo original</w:t>
            </w:r>
          </w:p>
        </w:tc>
        <w:tc>
          <w:tcPr>
            <w:tcW w:type="dxa" w:w="1984"/>
            <w:shd w:val="clear" w:color="auto" w:fill="1B264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Q1 2026 refresh</w:t>
            </w:r>
          </w:p>
        </w:tc>
        <w:tc>
          <w:tcPr>
            <w:tcW w:type="dxa" w:w="1134"/>
            <w:shd w:val="clear" w:color="auto" w:fill="1B264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Δ</w:t>
            </w:r>
          </w:p>
        </w:tc>
      </w:tr>
      <w:tr>
        <w:tc>
          <w:tcPr>
            <w:tcW w:type="dxa" w:w="3685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Earnings growth (5-yr CAGR)</w:t>
            </w:r>
          </w:p>
        </w:tc>
        <w:tc>
          <w:tcPr>
            <w:tcW w:type="dxa" w:w="1701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+13.5%</w:t>
            </w:r>
          </w:p>
        </w:tc>
        <w:tc>
          <w:tcPr>
            <w:tcW w:type="dxa" w:w="1984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+13.4%</w:t>
            </w:r>
          </w:p>
        </w:tc>
        <w:tc>
          <w:tcPr>
            <w:tcW w:type="dxa" w:w="1134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−10bps</w:t>
            </w:r>
          </w:p>
        </w:tc>
      </w:tr>
      <w:tr>
        <w:tc>
          <w:tcPr>
            <w:tcW w:type="dxa" w:w="3685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Multiple change (entry vs exit)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−2.0%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−2.2%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−20bps</w:t>
            </w:r>
          </w:p>
        </w:tc>
      </w:tr>
      <w:tr>
        <w:tc>
          <w:tcPr>
            <w:tcW w:type="dxa" w:w="3685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Capital returns (dividend + buyback yield)</w:t>
            </w:r>
          </w:p>
        </w:tc>
        <w:tc>
          <w:tcPr>
            <w:tcW w:type="dxa" w:w="1701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+2.8%</w:t>
            </w:r>
          </w:p>
        </w:tc>
        <w:tc>
          <w:tcPr>
            <w:tcW w:type="dxa" w:w="1984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+2.9%</w:t>
            </w:r>
          </w:p>
        </w:tc>
        <w:tc>
          <w:tcPr>
            <w:tcW w:type="dxa" w:w="1134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+10bps</w:t>
            </w:r>
          </w:p>
        </w:tc>
      </w:tr>
      <w:tr>
        <w:tc>
          <w:tcPr>
            <w:tcW w:type="dxa" w:w="3685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Implied IRR forward (5-yr base)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+14.3%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+14.1%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−20bps</w:t>
            </w:r>
          </w:p>
        </w:tc>
      </w:tr>
      <w:tr>
        <w:tc>
          <w:tcPr>
            <w:tcW w:type="dxa" w:w="3685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Hurdle Core Compounder (IPS)</w:t>
            </w:r>
          </w:p>
        </w:tc>
        <w:tc>
          <w:tcPr>
            <w:tcW w:type="dxa" w:w="1701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+10.0%</w:t>
            </w:r>
          </w:p>
        </w:tc>
        <w:tc>
          <w:tcPr>
            <w:tcW w:type="dxa" w:w="1984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+10.0%</w:t>
            </w:r>
          </w:p>
        </w:tc>
        <w:tc>
          <w:tcPr>
            <w:tcW w:type="dxa" w:w="1134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—</w:t>
            </w:r>
          </w:p>
        </w:tc>
      </w:tr>
      <w:tr>
        <w:tc>
          <w:tcPr>
            <w:tcW w:type="dxa" w:w="3685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Margen vs hurdle (bps)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+430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+410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−20bps</w:t>
            </w:r>
          </w:p>
        </w:tc>
      </w:tr>
      <w:tr>
        <w:tc>
          <w:tcPr>
            <w:tcW w:type="dxa" w:w="3685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Valor intrínseco implícito (USD/acción)</w:t>
            </w:r>
          </w:p>
        </w:tc>
        <w:tc>
          <w:tcPr>
            <w:tcW w:type="dxa" w:w="1701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545</w:t>
            </w:r>
          </w:p>
        </w:tc>
        <w:tc>
          <w:tcPr>
            <w:tcW w:type="dxa" w:w="1984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548</w:t>
            </w:r>
          </w:p>
        </w:tc>
        <w:tc>
          <w:tcPr>
            <w:tcW w:type="dxa" w:w="1134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+3</w:t>
            </w:r>
          </w:p>
        </w:tc>
      </w:tr>
      <w:tr>
        <w:tc>
          <w:tcPr>
            <w:tcW w:type="dxa" w:w="3685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Margen vs precio actual (USD 482.30)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+13.0%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+13.6%</w:t>
            </w:r>
          </w:p>
        </w:tc>
        <w:tc>
          <w:tcPr>
            <w:tcW w:type="dxa" w:w="1134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+60bps</w:t>
            </w:r>
          </w:p>
        </w:tc>
      </w:tr>
    </w:tbl>
    <w:p>
      <w:pPr>
        <w:spacing w:after="120"/>
      </w:pPr>
    </w:p>
    <w:p>
      <w:pPr>
        <w:spacing w:after="120"/>
        <w:jc w:val="both"/>
      </w:pPr>
      <w:r>
        <w:rPr>
          <w:rFonts w:ascii="Calibri" w:hAnsi="Calibri"/>
          <w:b/>
          <w:color w:val="0D0D0D"/>
          <w:sz w:val="22"/>
        </w:rPr>
        <w:t>Conclusión §7: el Implied IRR forward se mantiene en 14.1%, prácticamente sin cambio vs el memo original (14.3%). El margen vs hurdle (410bps) sigue siendo robusto y dentro de la banda Core Compounder. Sin re-rating ni de-rating estructural. La valoración soporta mantener la posición en el target del 6%.</w:t>
      </w:r>
    </w:p>
    <w:p>
      <w:pPr>
        <w:spacing w:before="400" w:after="160"/>
      </w:pPr>
      <w:r>
        <w:rPr>
          <w:rFonts w:ascii="Calibri" w:hAnsi="Calibri"/>
          <w:b/>
          <w:color w:val="1B2642"/>
          <w:sz w:val="32"/>
        </w:rPr>
        <w:t>8. Final Re-Underwriting Conclusion</w:t>
      </w:r>
    </w:p>
    <w:p>
      <w:pPr>
        <w:spacing w:before="200" w:after="80"/>
      </w:pPr>
      <w:r>
        <w:rPr>
          <w:rFonts w:ascii="Calibri" w:hAnsi="Calibri"/>
          <w:b/>
          <w:color w:val="1B2642"/>
          <w:sz w:val="26"/>
        </w:rPr>
        <w:t>8.1 Outcome (uno de cuatro)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1B264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Outcome</w:t>
            </w:r>
          </w:p>
        </w:tc>
        <w:tc>
          <w:tcPr>
            <w:tcW w:type="dxa" w:w="1701"/>
            <w:shd w:val="clear" w:color="auto" w:fill="1B264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5102"/>
            <w:shd w:val="clear" w:color="auto" w:fill="1B2642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Definición operativa</w:t>
            </w:r>
          </w:p>
        </w:tc>
      </w:tr>
      <w:tr>
        <w:tc>
          <w:tcPr>
            <w:tcW w:type="dxa" w:w="2268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Thesis Intact</w:t>
            </w:r>
          </w:p>
        </w:tc>
        <w:tc>
          <w:tcPr>
            <w:tcW w:type="dxa" w:w="1701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SELECCIONADO</w:t>
            </w:r>
          </w:p>
        </w:tc>
        <w:tc>
          <w:tcPr>
            <w:tcW w:type="dxa" w:w="5102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Tesis y umbrales se mantienen sin cambio material.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Thresholds Recalibrated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—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Algún umbral del Memo se mueve por evidencia trimestral, sin cambio de tesis.</w:t>
            </w:r>
          </w:p>
        </w:tc>
      </w:tr>
      <w:tr>
        <w:tc>
          <w:tcPr>
            <w:tcW w:type="dxa" w:w="2268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Thesis Evolved</w:t>
            </w:r>
          </w:p>
        </w:tc>
        <w:tc>
          <w:tcPr>
            <w:tcW w:type="dxa" w:w="1701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—</w:t>
            </w:r>
          </w:p>
        </w:tc>
        <w:tc>
          <w:tcPr>
            <w:tcW w:type="dxa" w:w="5102"/>
            <w:shd w:val="clear" w:color="auto" w:fill="E6E6E6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La narrativa central cambia; requiere revisión del Pre-Mortem (revisión del premortem).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Thesis Broken</w:t>
            </w:r>
          </w:p>
        </w:tc>
        <w:tc>
          <w:tcPr>
            <w:tcW w:type="dxa" w:w="1701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—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Calibri" w:hAnsi="Calibri"/>
                <w:color w:val="0D0D0D"/>
                <w:sz w:val="20"/>
              </w:rPr>
              <w:t>Activación de Kill Criteria. Disparar Decision Sell.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color w:val="1B2642"/>
          <w:sz w:val="26"/>
        </w:rPr>
        <w:t>8.2 Justificación</w:t>
      </w:r>
    </w:p>
    <w:p>
      <w:pPr>
        <w:spacing w:after="120"/>
        <w:jc w:val="both"/>
      </w:pPr>
      <w:r>
        <w:rPr>
          <w:rFonts w:ascii="Calibri" w:hAnsi="Calibri"/>
          <w:color w:val="0D0D0D"/>
          <w:sz w:val="22"/>
        </w:rPr>
        <w:t>Microsoft cumple con los siete KPIs definidos en la tesis (uno en Amarillo temporal por capex peak, no estructural). Ninguno de los seis failure modes del Pre-Mortem se activa. Ningún Kill Criteria se cruza. El Implied IRR refrescado se mantiene 410bps sobre el hurdle. La narrativa central — Azure fast-follower + Copilot ramp + Nadella discipline — sigue siendo la mejor explicación de los hechos del trimestre. La tesis está intacta.</w:t>
      </w:r>
    </w:p>
    <w:p>
      <w:pPr>
        <w:spacing w:before="200" w:after="80"/>
      </w:pPr>
      <w:r>
        <w:rPr>
          <w:rFonts w:ascii="Calibri" w:hAnsi="Calibri"/>
          <w:b/>
          <w:color w:val="1B2642"/>
          <w:sz w:val="26"/>
        </w:rPr>
        <w:t>8.3 Acción</w:t>
      </w:r>
    </w:p>
    <w:p>
      <w:pPr>
        <w:pStyle w:val="ListBullet"/>
        <w:spacing w:after="40"/>
      </w:pPr>
      <w:r>
        <w:rPr>
          <w:rFonts w:ascii="Calibri" w:hAnsi="Calibri"/>
          <w:color w:val="0D0D0D"/>
          <w:sz w:val="22"/>
        </w:rPr>
        <w:t>Mantener posición al 6.1% del NAV (sin trim, sin add).</w:t>
      </w:r>
    </w:p>
    <w:p>
      <w:pPr>
        <w:pStyle w:val="ListBullet"/>
        <w:spacing w:after="40"/>
      </w:pPr>
      <w:r>
        <w:rPr>
          <w:rFonts w:ascii="Calibri" w:hAnsi="Calibri"/>
          <w:color w:val="0D0D0D"/>
          <w:sz w:val="22"/>
        </w:rPr>
        <w:t>Sin recalibración de umbrales del Memo §6 ni del Pre-Mortem §10.</w:t>
      </w:r>
    </w:p>
    <w:p>
      <w:pPr>
        <w:pStyle w:val="ListBullet"/>
        <w:spacing w:after="40"/>
      </w:pPr>
      <w:r>
        <w:rPr>
          <w:rFonts w:ascii="Calibri" w:hAnsi="Calibri"/>
          <w:color w:val="0D0D0D"/>
          <w:sz w:val="22"/>
        </w:rPr>
        <w:t>Continuar monitoreo de FCF margin (KPI en Amarillo); si Q2 2026 también en Amarillo, escalar formalmente al CIO.</w:t>
      </w:r>
    </w:p>
    <w:p>
      <w:pPr>
        <w:pStyle w:val="ListBullet"/>
        <w:spacing w:after="40"/>
      </w:pPr>
      <w:r>
        <w:rPr>
          <w:rFonts w:ascii="Calibri" w:hAnsi="Calibri"/>
          <w:color w:val="0D0D0D"/>
          <w:sz w:val="22"/>
        </w:rPr>
        <w:t>Próxima revisión obligatoria: Q2 2026 al cierre del 10-K FY26 (julio-agosto 2026).</w:t>
      </w:r>
    </w:p>
    <w:p>
      <w:pPr>
        <w:pStyle w:val="ListBullet"/>
        <w:spacing w:after="40"/>
      </w:pPr>
      <w:r>
        <w:rPr>
          <w:rFonts w:ascii="Calibri" w:hAnsi="Calibri"/>
          <w:color w:val="0D0D0D"/>
          <w:sz w:val="22"/>
        </w:rPr>
        <w:t>Sin necesidad de Thesis Breaker ni Munger Digital adicionales este trimestre (no se activa la cláusula de cambio material del Operations Manual §2.4).</w:t>
      </w:r>
    </w:p>
    <w:p>
      <w:pPr>
        <w:spacing w:before="200" w:after="80"/>
      </w:pPr>
      <w:r>
        <w:rPr>
          <w:rFonts w:ascii="Calibri" w:hAnsi="Calibri"/>
          <w:b/>
          <w:color w:val="1B2642"/>
          <w:sz w:val="26"/>
        </w:rPr>
        <w:t>8.4 Firma</w:t>
      </w:r>
    </w:p>
    <w:p>
      <w:pPr>
        <w:spacing w:after="120"/>
        <w:jc w:val="both"/>
      </w:pPr>
      <w:r>
        <w:rPr>
          <w:rFonts w:ascii="Calibri" w:hAnsi="Calibri"/>
          <w:color w:val="0D0D0D"/>
          <w:sz w:val="22"/>
        </w:rPr>
        <w:t>Borrador preparado por: Investment Analyst (8-mayo-2026).</w:t>
      </w:r>
    </w:p>
    <w:p>
      <w:pPr>
        <w:spacing w:after="120"/>
        <w:jc w:val="both"/>
      </w:pPr>
      <w:r>
        <w:rPr>
          <w:rFonts w:ascii="Calibri" w:hAnsi="Calibri"/>
          <w:color w:val="0D0D0D"/>
          <w:sz w:val="22"/>
        </w:rPr>
        <w:t>Validado y firmado por: Director of Research (8-mayo-2026).</w:t>
      </w:r>
    </w:p>
    <w:p>
      <w:pPr>
        <w:spacing w:after="120"/>
        <w:jc w:val="both"/>
      </w:pPr>
      <w:r>
        <w:rPr>
          <w:rFonts w:ascii="Calibri" w:hAnsi="Calibri"/>
          <w:color w:val="0D0D0D"/>
          <w:sz w:val="22"/>
        </w:rPr>
        <w:t>Incluido en: CI Pack Q1 2026 — agendado para presentación al Comité de Inversiones del 22-mayo-2026.</w:t>
      </w:r>
    </w:p>
    <w:p/>
    <w:p>
      <w:pPr>
        <w:jc w:val="center"/>
      </w:pPr>
      <w:r>
        <w:rPr>
          <w:rFonts w:ascii="Calibri" w:hAnsi="Calibri"/>
          <w:i/>
          <w:color w:val="606060"/>
          <w:sz w:val="20"/>
        </w:rPr>
        <w:t>— Fin del Quarterly Re-Underwriting —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