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20"/>
          <w:szCs w:val="20"/>
        </w:rPr>
        <w:t xml:space="preserve"/>
      </w:r>
    </w:p>
    <w:p>
      <w:pPr>
        <w:spacing w:after="160" w:before="0"/>
        <w:jc w:val="center"/>
      </w:pPr>
      <w:r>
        <w:rPr>
          <w:rFonts w:ascii="Calibri" w:cs="Calibri" w:eastAsia="Calibri" w:hAnsi="Calibri"/>
          <w:b/>
          <w:bCs/>
          <w:color w:val="1B2642"/>
          <w:sz w:val="64"/>
          <w:szCs w:val="64"/>
        </w:rPr>
        <w:t xml:space="preserve">DCE HOLDINGS</w:t>
      </w:r>
    </w:p>
    <w:p>
      <w:pPr>
        <w:spacing w:after="160" w:before="0"/>
        <w:jc w:val="center"/>
      </w:pPr>
      <w:r>
        <w:rPr>
          <w:rFonts w:ascii="Calibri" w:cs="Calibri" w:eastAsia="Calibri" w:hAnsi="Calibri"/>
          <w:color w:val="B88B47"/>
          <w:sz w:val="24"/>
          <w:szCs w:val="24"/>
        </w:rPr>
        <w:t xml:space="preserve">─────────────────────────────────</w:t>
      </w:r>
    </w:p>
    <w:p>
      <w:pPr>
        <w:spacing w:after="80" w:before="0"/>
        <w:jc w:val="center"/>
      </w:pPr>
      <w:r>
        <w:rPr>
          <w:rFonts w:ascii="Calibri" w:cs="Calibri" w:eastAsia="Calibri" w:hAnsi="Calibri"/>
          <w:b/>
          <w:bCs/>
          <w:color w:val="1B2642"/>
          <w:sz w:val="48"/>
          <w:szCs w:val="48"/>
        </w:rPr>
        <w:t xml:space="preserve">COMPANY BRIEF v2.0</w:t>
      </w:r>
    </w:p>
    <w:p>
      <w:pPr>
        <w:spacing w:after="80" w:before="0"/>
        <w:jc w:val="center"/>
      </w:pPr>
      <w:r>
        <w:rPr>
          <w:rFonts w:ascii="Calibri" w:cs="Calibri" w:eastAsia="Calibri" w:hAnsi="Calibri"/>
          <w:b/>
          <w:bCs/>
          <w:color w:val="B88B47"/>
          <w:sz w:val="52"/>
          <w:szCs w:val="52"/>
        </w:rPr>
        <w:t xml:space="preserve">UBER TECHNOLOGIES, INC.</w:t>
      </w:r>
    </w:p>
    <w:p>
      <w:pPr>
        <w:spacing w:after="320" w:before="0"/>
        <w:jc w:val="center"/>
      </w:pPr>
      <w:r>
        <w:rPr>
          <w:rFonts w:ascii="Calibri" w:cs="Calibri" w:eastAsia="Calibri" w:hAnsi="Calibri"/>
          <w:color w:val="555555"/>
          <w:sz w:val="28"/>
          <w:szCs w:val="28"/>
        </w:rPr>
        <w:t xml:space="preserve">NYSE: UBER  |  Precio: $70,40  |  30 de mayo de 2026</w:t>
      </w:r>
    </w:p>
    <w:p>
      <w:pPr>
        <w:spacing w:after="0" w:before="160"/>
      </w:pPr>
      <w:r>
        <w:rPr>
          <w:sz w:val="20"/>
          <w:szCs w:val="20"/>
        </w:rPr>
        <w:t xml:space="preserve"/>
      </w:r>
    </w:p>
    <w:p>
      <w:pPr>
        <w:spacing w:after="160" w:before="0"/>
        <w:jc w:val="center"/>
      </w:pPr>
      <w:r>
        <w:rPr>
          <w:rFonts w:ascii="Calibri" w:cs="Calibri" w:eastAsia="Calibri" w:hAnsi="Calibri"/>
          <w:color w:val="B88B47"/>
          <w:sz w:val="24"/>
          <w:szCs w:val="24"/>
        </w:rPr>
        <w:t xml:space="preserve">─────────────────────────────────</w:t>
      </w:r>
    </w:p>
    <w:p>
      <w:pPr>
        <w:spacing w:after="60" w:before="0"/>
        <w:jc w:val="center"/>
      </w:pPr>
      <w:r>
        <w:rPr>
          <w:rFonts w:ascii="Calibri" w:cs="Calibri" w:eastAsia="Calibri" w:hAnsi="Calibri"/>
          <w:color w:val="444444"/>
          <w:sz w:val="24"/>
          <w:szCs w:val="24"/>
        </w:rPr>
        <w:t xml:space="preserve">Analista: DCE Investment Team</w:t>
      </w:r>
    </w:p>
    <w:p>
      <w:pPr>
        <w:spacing w:after="60" w:before="0"/>
        <w:jc w:val="center"/>
      </w:pPr>
      <w:r>
        <w:rPr>
          <w:rFonts w:ascii="Calibri" w:cs="Calibri" w:eastAsia="Calibri" w:hAnsi="Calibri"/>
          <w:color w:val="444444"/>
          <w:sz w:val="24"/>
          <w:szCs w:val="24"/>
        </w:rPr>
        <w:t xml:space="preserve">Revisado por: Luis (CIO)</w:t>
      </w:r>
    </w:p>
    <w:p>
      <w:pPr>
        <w:spacing w:after="60" w:before="0"/>
        <w:jc w:val="center"/>
      </w:pPr>
      <w:r>
        <w:rPr>
          <w:rFonts w:ascii="Calibri" w:cs="Calibri" w:eastAsia="Calibri" w:hAnsi="Calibri"/>
          <w:color w:val="444444"/>
          <w:sz w:val="24"/>
          <w:szCs w:val="24"/>
        </w:rPr>
        <w:t xml:space="preserve">Firma: DCE Holdings</w:t>
      </w:r>
    </w:p>
    <w:p>
      <w:pPr>
        <w:spacing w:after="60" w:before="0"/>
        <w:jc w:val="center"/>
      </w:pPr>
      <w:r>
        <w:rPr>
          <w:rFonts w:ascii="Calibri" w:cs="Calibri" w:eastAsia="Calibri" w:hAnsi="Calibri"/>
          <w:color w:val="444444"/>
          <w:sz w:val="24"/>
          <w:szCs w:val="24"/>
        </w:rPr>
        <w:t xml:space="preserve">Fecha de Valoración: 30 de mayo de 2026</w:t>
      </w:r>
    </w:p>
    <w:p>
      <w:pPr>
        <w:spacing w:after="0" w:before="200"/>
      </w:pPr>
      <w:r>
        <w:rPr>
          <w:sz w:val="20"/>
          <w:szCs w:val="20"/>
        </w:rPr>
        <w:t xml:space="preserve"/>
      </w:r>
    </w:p>
    <w:p>
      <w:pPr>
        <w:spacing w:after="60" w:before="0"/>
        <w:jc w:val="center"/>
      </w:pPr>
      <w:r>
        <w:rPr>
          <w:rFonts w:ascii="Calibri" w:cs="Calibri" w:eastAsia="Calibri" w:hAnsi="Calibri"/>
          <w:b/>
          <w:bCs/>
          <w:color w:val="BB0000"/>
          <w:sz w:val="20"/>
          <w:szCs w:val="20"/>
        </w:rPr>
        <w:t xml:space="preserve">CONFIDENCIAL — USO INTERNO EXCLUSIVO DCE HOLDINGS</w:t>
      </w:r>
    </w:p>
    <w:p>
      <w:r>
        <w:br w:type="page"/>
      </w:r>
    </w:p>
    <w:p>
      <w:r>
        <w:br w:type="page"/>
      </w:r>
    </w:p>
    <w:p>
      <w:pPr>
        <w:pStyle w:val="Heading1"/>
        <w:spacing w:after="120" w:before="240"/>
      </w:pPr>
      <w:r>
        <w:rPr>
          <w:rFonts w:ascii="Calibri" w:cs="Calibri" w:eastAsia="Calibri" w:hAnsi="Calibri"/>
          <w:b/>
          <w:bCs/>
          <w:color w:val="1B2642"/>
          <w:sz w:val="36"/>
          <w:szCs w:val="36"/>
        </w:rPr>
        <w:t xml:space="preserve">§1 — ÍNDICE</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spacing w:after="120" w:before="240"/>
      </w:pPr>
      <w:r>
        <w:rPr>
          <w:rFonts w:ascii="Calibri" w:cs="Calibri" w:eastAsia="Calibri" w:hAnsi="Calibri"/>
          <w:b/>
          <w:bCs/>
          <w:color w:val="1B2642"/>
          <w:sz w:val="36"/>
          <w:szCs w:val="36"/>
        </w:rPr>
        <w:t xml:space="preserve">§0 — RESUMEN EJECUTIVO</w:t>
      </w:r>
    </w:p>
    <w:p>
      <w:pPr>
        <w:pStyle w:val="Heading2"/>
        <w:spacing w:after="80" w:before="200"/>
      </w:pPr>
      <w:r>
        <w:rPr>
          <w:rFonts w:ascii="Calibri" w:cs="Calibri" w:eastAsia="Calibri" w:hAnsi="Calibri"/>
          <w:b/>
          <w:bCs/>
          <w:color w:val="1B2642"/>
          <w:sz w:val="28"/>
          <w:szCs w:val="28"/>
        </w:rPr>
        <w:t xml:space="preserve">§0.1 Ficha Resumen</w:t>
      </w:r>
    </w:p>
    <w:p>
      <w:pPr>
        <w:spacing w:after="80" w:before="80"/>
      </w:pPr>
      <w:r>
        <w:rPr>
          <w:rFonts w:ascii="Calibri" w:cs="Calibri" w:eastAsia="Calibri" w:hAnsi="Calibri"/>
          <w:b w:val="false"/>
          <w:bCs w:val="false"/>
          <w:i w:val="false"/>
          <w:iCs w:val="false"/>
          <w:color w:val="1A1A1A"/>
          <w:sz w:val="20"/>
          <w:szCs w:val="20"/>
        </w:rPr>
        <w:t xml:space="preserve">Tabla síntesis de los principales datos financieros y de valoración de Uber Technologies, Inc. al 30 de mayo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Ticker / Bolsa</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UBER / NYSE</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Precio Actual (30-may-2026)</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$70,40</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Acciones Diluidas</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2.119,69M</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Market Cap</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$149.226M</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Enterprise Value (Overview)</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$153.504M</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Revenue LTM</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$52.017M (+18,3% YoY)</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Operating Income LTM</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$5.565M (margen 10,7%)</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EBITDA LTM</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$6.284M</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Net Income LTM (GAAP)</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$10.146M (distorsionado: $5.800M DTA no recurrente)</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EPS Diluido LTM (GAAP)</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$4,73 (ajustado por DTA)</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FCF LTM</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$9.763M (margen 18,8%)</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ROIC Seleccionado (media 3 años FY23-25)</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20,39%</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WACC</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11,3%</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Dividend Yield</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0%</w:t>
            </w:r>
          </w:p>
        </w:tc>
      </w:tr>
    </w:tbl>
    <w:p>
      <w:pPr>
        <w:spacing w:after="0" w:before="160"/>
      </w:pPr>
      <w:r>
        <w:rPr>
          <w:sz w:val="20"/>
          <w:szCs w:val="20"/>
        </w:rPr>
        <w:t xml:space="preserve"/>
      </w:r>
    </w:p>
    <w:p>
      <w:pPr>
        <w:pStyle w:val="Heading2"/>
        <w:spacing w:after="80" w:before="200"/>
      </w:pPr>
      <w:r>
        <w:rPr>
          <w:rFonts w:ascii="Calibri" w:cs="Calibri" w:eastAsia="Calibri" w:hAnsi="Calibri"/>
          <w:b/>
          <w:bCs/>
          <w:color w:val="1B2642"/>
          <w:sz w:val="28"/>
          <w:szCs w:val="28"/>
        </w:rPr>
        <w:t xml:space="preserve">§0.2 Mapa de Valoración Greenwald</w:t>
      </w:r>
    </w:p>
    <w:p>
      <w:pPr>
        <w:spacing w:after="80" w:before="80"/>
      </w:pPr>
      <w:r>
        <w:rPr>
          <w:rFonts w:ascii="Calibri" w:cs="Calibri" w:eastAsia="Calibri" w:hAnsi="Calibri"/>
          <w:b w:val="false"/>
          <w:bCs w:val="false"/>
          <w:i w:val="false"/>
          <w:iCs w:val="false"/>
          <w:color w:val="1A1A1A"/>
          <w:sz w:val="20"/>
          <w:szCs w:val="20"/>
        </w:rPr>
        <w:t xml:space="preserve">Escala de valoración con metodología Greenwald (Valor de Reproducción → EPV → Franchise Value → Precio de Mercado). El resultado ubica a UBER en el Caso 4: mercado paga exclusivamente opcionalidad de alto crecimiento/AV.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 de Valoración</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c>
          <w:tcPr>
            <w:tcW w:type="dxa" w:w="2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Múltiplo vs. Precio</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Interpretación</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Valor de Reproducción (RV/acción)</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$12,64</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Precio = 5,6× RV</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Mercado paga 5,6× costo de replicar activos</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EPV/acción (WACC 11,3%)</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$18,35</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Precio = 3,8× EPV</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Franchise Test: EPV/RV = 1,45×</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Franchise Test (EPV/RV)</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1,45×</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(confirma franchise modesto)</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Moat existe pero limitado vs. precio</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Precio Actual de Mercado</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$70,40</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 (referencia)</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Fecha: 30 de mayo de 2026</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Implied IRR (tenedor equity)</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i/>
                <w:iCs/>
                <w:color w:val="1A1A1A"/>
                <w:sz w:val="18"/>
                <w:szCs w:val="18"/>
              </w:rPr>
              <w:t xml:space="preserve">-5,81%/año</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MoS = -17,81pp vs. hurdle 12%</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CASO 4: mercado paga opcionalidad AV</w:t>
            </w:r>
          </w:p>
        </w:tc>
      </w:tr>
    </w:tbl>
    <w:p>
      <w:pPr>
        <w:spacing w:after="0" w:before="120"/>
      </w:pPr>
      <w:r>
        <w:rPr>
          <w:sz w:val="20"/>
          <w:szCs w:val="20"/>
        </w:rPr>
        <w:t xml:space="preserve"/>
      </w:r>
    </w:p>
    <w:p>
      <w:pPr>
        <w:pStyle w:val="Heading3"/>
        <w:spacing w:after="60" w:before="160"/>
      </w:pPr>
      <w:r>
        <w:rPr>
          <w:rFonts w:ascii="Calibri" w:cs="Calibri" w:eastAsia="Calibri" w:hAnsi="Calibri"/>
          <w:b/>
          <w:bCs/>
          <w:color w:val="B88B47"/>
          <w:sz w:val="24"/>
          <w:szCs w:val="24"/>
        </w:rPr>
        <w:t xml:space="preserve">§0.3 Síntesis de la Tesis — Caso Base Consensuado</w:t>
      </w:r>
    </w:p>
    <w:p>
      <w:pPr>
        <w:spacing w:after="80" w:before="80"/>
      </w:pPr>
      <w:r>
        <w:rPr>
          <w:rFonts w:ascii="Calibri" w:cs="Calibri" w:eastAsia="Calibri" w:hAnsi="Calibri"/>
          <w:b w:val="false"/>
          <w:bCs w:val="false"/>
          <w:i w:val="false"/>
          <w:iCs w:val="false"/>
          <w:color w:val="1A1A1A"/>
          <w:sz w:val="20"/>
          <w:szCs w:val="20"/>
        </w:rPr>
        <w:t xml:space="preserve">Uber es un compounder en Cuadrante 1 con ventaja competitiva Medio-Fuerte (economías de escala hiperlocalizada FUERTE; cautividad de demanda MEDIA; ventajas de oferta MEDIA). El ROIC seleccionado del 20,39% supera al WACC de 11,3% en +9,09pp, confirmando generación de valor económico sostenida.</w:t>
      </w:r>
    </w:p>
    <w:p>
      <w:pPr>
        <w:spacing w:after="80" w:before="80"/>
      </w:pPr>
      <w:r>
        <w:rPr>
          <w:rFonts w:ascii="Calibri" w:cs="Calibri" w:eastAsia="Calibri" w:hAnsi="Calibri"/>
          <w:b w:val="false"/>
          <w:bCs w:val="false"/>
          <w:i w:val="false"/>
          <w:iCs w:val="false"/>
          <w:color w:val="1A1A1A"/>
          <w:sz w:val="20"/>
          <w:szCs w:val="20"/>
        </w:rPr>
        <w:t xml:space="preserve">Sin embargo, al precio actual de $70,40, el mercado no ofrece margen de seguridad convencional bajo ninguna métrica Greenwald (RV $12,64, EPV $18,35). El IRR implícito de -5,81%/año confirma que el precio embebe opcionalidad de la era AV. Este Brief es base case consensuado sin veredicto de inversión.</w:t>
      </w:r>
    </w:p>
    <w:p>
      <w:pPr>
        <w:pStyle w:val="Heading1"/>
        <w:pageBreakBefore/>
        <w:spacing w:after="120" w:before="240"/>
      </w:pPr>
      <w:r>
        <w:rPr>
          <w:rFonts w:ascii="Calibri" w:cs="Calibri" w:eastAsia="Calibri" w:hAnsi="Calibri"/>
          <w:b/>
          <w:bCs/>
          <w:color w:val="1B2642"/>
          <w:sz w:val="36"/>
          <w:szCs w:val="36"/>
        </w:rPr>
        <w:t xml:space="preserve">§2 — DESCRIPCIÓN DEL NEGOCIO</w:t>
      </w:r>
    </w:p>
    <w:p>
      <w:pPr>
        <w:pStyle w:val="Heading2"/>
        <w:spacing w:after="80" w:before="200"/>
      </w:pPr>
      <w:r>
        <w:rPr>
          <w:rFonts w:ascii="Calibri" w:cs="Calibri" w:eastAsia="Calibri" w:hAnsi="Calibri"/>
          <w:b/>
          <w:bCs/>
          <w:color w:val="1B2642"/>
          <w:sz w:val="28"/>
          <w:szCs w:val="28"/>
        </w:rPr>
        <w:t xml:space="preserve">§2.1 Historia</w:t>
      </w:r>
    </w:p>
    <w:p>
      <w:pPr>
        <w:spacing w:after="80" w:before="80"/>
      </w:pPr>
      <w:r>
        <w:rPr>
          <w:rFonts w:ascii="Calibri" w:cs="Calibri" w:eastAsia="Calibri" w:hAnsi="Calibri"/>
          <w:b w:val="false"/>
          <w:bCs w:val="false"/>
          <w:i w:val="false"/>
          <w:iCs w:val="false"/>
          <w:color w:val="1A1A1A"/>
          <w:sz w:val="20"/>
          <w:szCs w:val="20"/>
        </w:rPr>
        <w:t xml:space="preserve">Uber Technologies, Inc. nació de una idea concebida en París durante el invierno de 2008, cuando Garrett Camp y Travis Kalanick no pudieron conseguir un taxi en una noche nevada. Camp, cofundador de StumbleUpon, visualizó un servicio de transporte bajo demanda accesible desde el teléfono móvil. En marzo de 2009 fue constituida formalmente como UberCab, Inc. en San Francisco.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Año</w:t>
            </w:r>
          </w:p>
        </w:tc>
        <w:tc>
          <w:tcPr>
            <w:tcW w:type="dxa" w:w="81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Hito</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2009</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Fundación como UberCab; Camp invierte $250.000 de capital semilla</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May. 2010</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Lanzamiento operativo en San Francisco con coches de lujo</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2011</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Cambio de nombre a Uber Technologies, Inc.; expansión a París</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Jul. 2012</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Lanzamiento de UberX con vehículos no-lujo de conductores propios</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Ago. 2014</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Lanzamiento de Uber Eats (piloto en Santa Mónica)</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Ago. 2016</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Venta de operaciones en China a DiDi Chuxing a cambio de participación del 18%</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Ago. 2017</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Dara Khosrowshahi (ex-CEO de Expedia Group) nombrado CEO tras la dimisión de Kalanick</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May. 2019</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OPI en NYSE bajo el ticker UBER a $45/acción; captación de $8.100M</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2020</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Adquisición de Postmates ($2.650M); venta de ATG a Aurora Innovation</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Feb. 2023</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Primer beneficio operativo GAAP trimestral en la historia de la empresa</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Ene. 2024</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Incorporación al índice S&amp;P 500</w:t>
            </w:r>
          </w:p>
        </w:tc>
      </w:tr>
      <w:tr>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Sep. 2024</w:t>
            </w:r>
          </w:p>
        </w:tc>
        <w:tc>
          <w:tcPr>
            <w:tcW w:type="dxa" w:w="8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Anuncio de asociación ampliada con Waymo para Austin y Atlanta vía app de Uber</w:t>
            </w:r>
          </w:p>
        </w:tc>
      </w:tr>
      <w:tr>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Feb. 2026</w:t>
            </w:r>
          </w:p>
        </w:tc>
        <w:tc>
          <w:tcPr>
            <w:tcW w:type="dxa" w:w="8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FY2025 cerrado con $193.454M en Gross Bookings y $9.763M en Free Cash Flow</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§2.2 Productos y Sustitutos</w:t>
      </w:r>
    </w:p>
    <w:p>
      <w:pPr>
        <w:spacing w:after="80" w:before="80"/>
      </w:pPr>
      <w:r>
        <w:rPr>
          <w:rFonts w:ascii="Calibri" w:cs="Calibri" w:eastAsia="Calibri" w:hAnsi="Calibri"/>
          <w:b w:val="false"/>
          <w:bCs w:val="false"/>
          <w:i w:val="false"/>
          <w:iCs w:val="false"/>
          <w:color w:val="1A1A1A"/>
          <w:sz w:val="20"/>
          <w:szCs w:val="20"/>
        </w:rPr>
        <w:t xml:space="preserve">Portafolio de cuatro verticales principales: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Mobility: Transporte bajo demanda (UberX, Uber Comfort, Uber Black, Uber Green, UberX Share, taxis integrados). Segmento core y mayor generador de margen.</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Delivery (Uber Eats): Entrega de comida a domicilio, grocery, conveniencia. Segundo segmento por tamaño.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Freight: Plataforma de intermediación logística B2B entre cargadores y transportistas (FTL/LTL). Mercado de correduría digitalizado.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Uber One: Membresía transversal (Mobility + Delivery), &gt;50M miembros en mayo de 2026. Crea lock-in económico cross-producto.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Uber Advertising: Capa publicitaria (Journey Ads, in-app, notificaciones). Run rate de $2.000M anuales a principios de 2026.</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§2.3 Revenue por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Segmento</w:t>
            </w:r>
          </w:p>
        </w:tc>
        <w:tc>
          <w:tcPr>
            <w:tcW w:type="dxa" w:w="1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 Ingresos</w:t>
            </w:r>
          </w:p>
        </w:tc>
        <w:tc>
          <w:tcPr>
            <w:tcW w:type="dxa" w:w="1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 Ingresos</w:t>
            </w:r>
          </w:p>
        </w:tc>
        <w:tc>
          <w:tcPr>
            <w:tcW w:type="dxa" w:w="13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Var. YoY</w:t>
            </w:r>
          </w:p>
        </w:tc>
        <w:tc>
          <w:tcPr>
            <w:tcW w:type="dxa" w:w="234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 Mix FY2025</w:t>
            </w:r>
          </w:p>
        </w:tc>
      </w:tr>
      <w:tr>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Mobility</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$25.087M</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$29.670M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w:t>
            </w:r>
          </w:p>
        </w:tc>
        <w:tc>
          <w:tcPr>
            <w:tcW w:type="dxa" w:w="234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~57%</w:t>
            </w:r>
          </w:p>
        </w:tc>
      </w:tr>
      <w:tr>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Delivery</w:t>
            </w:r>
          </w:p>
        </w:tc>
        <w:tc>
          <w:tcPr>
            <w:tcW w:type="dxa" w:w="1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$13.750M</w:t>
            </w:r>
          </w:p>
        </w:tc>
        <w:tc>
          <w:tcPr>
            <w:tcW w:type="dxa" w:w="1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$17.248M</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+25%</w:t>
            </w:r>
          </w:p>
        </w:tc>
        <w:tc>
          <w:tcPr>
            <w:tcW w:type="dxa" w:w="234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~33%</w:t>
            </w:r>
          </w:p>
        </w:tc>
      </w:tr>
      <w:tr>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Freight</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$5.141M</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$5.099M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w:t>
            </w:r>
          </w:p>
        </w:tc>
        <w:tc>
          <w:tcPr>
            <w:tcW w:type="dxa" w:w="234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w:t>
            </w:r>
          </w:p>
        </w:tc>
      </w:tr>
      <w:tr>
        <w:tc>
          <w:tcPr>
            <w:tcW w:type="dxa" w:w="20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TOTAL</w:t>
            </w:r>
          </w:p>
        </w:tc>
        <w:tc>
          <w:tcPr>
            <w:tcW w:type="dxa" w:w="186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$43.978M</w:t>
            </w:r>
          </w:p>
        </w:tc>
        <w:tc>
          <w:tcPr>
            <w:tcW w:type="dxa" w:w="186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$52.017M</w:t>
            </w:r>
          </w:p>
        </w:tc>
        <w:tc>
          <w:tcPr>
            <w:tcW w:type="dxa" w:w="13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w:t>
            </w:r>
          </w:p>
        </w:tc>
        <w:tc>
          <w:tcPr>
            <w:tcW w:type="dxa" w:w="234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100%</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Fuente: 10-K FY2025, SEC (https://www.sec.gov/Archives/edgar/data/1543151/000154315126000015/uber-20251231.htm)</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§2.4 Revenue por Geografía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Geografía</w:t>
            </w:r>
          </w:p>
        </w:tc>
        <w:tc>
          <w:tcPr>
            <w:tcW w:type="dxa" w:w="171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FY2023</w:t>
            </w:r>
          </w:p>
        </w:tc>
        <w:tc>
          <w:tcPr>
            <w:tcW w:type="dxa" w:w="171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w:t>
            </w:r>
          </w:p>
        </w:tc>
        <w:tc>
          <w:tcPr>
            <w:tcW w:type="dxa" w:w="171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w:t>
            </w:r>
          </w:p>
        </w:tc>
        <w:tc>
          <w:tcPr>
            <w:tcW w:type="dxa" w:w="171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 Mix FY2025</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EE.UU. y Canadá (US&amp;CAN)</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$20.436M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$23.618M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$26.469M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~51%</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EMEA</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$9.904M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$12.529M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$16.364M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~31%</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APAC</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$4.429M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$5.036M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$5.857M</w:t>
            </w:r>
          </w:p>
        </w:tc>
        <w:tc>
          <w:tcPr>
            <w:tcW w:type="dxa" w:w="171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LatAm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$2.512M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$2.795M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$3.327M</w:t>
            </w:r>
          </w:p>
        </w:tc>
        <w:tc>
          <w:tcPr>
            <w:tcW w:type="dxa" w:w="171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w:t>
            </w:r>
          </w:p>
        </w:tc>
      </w:tr>
      <w:tr>
        <w:tc>
          <w:tcPr>
            <w:tcW w:type="dxa" w:w="25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TOTAL</w:t>
            </w:r>
          </w:p>
        </w:tc>
        <w:tc>
          <w:tcPr>
            <w:tcW w:type="dxa" w:w="1715"/>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$37.281M</w:t>
            </w:r>
          </w:p>
        </w:tc>
        <w:tc>
          <w:tcPr>
            <w:tcW w:type="dxa" w:w="1715"/>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$43.978M</w:t>
            </w:r>
          </w:p>
        </w:tc>
        <w:tc>
          <w:tcPr>
            <w:tcW w:type="dxa" w:w="1715"/>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$52.017M</w:t>
            </w:r>
          </w:p>
        </w:tc>
        <w:tc>
          <w:tcPr>
            <w:tcW w:type="dxa" w:w="1715"/>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100%</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Nota: EE.UU. solo aporta $23.771M en FY2025; Reino Unido es el segundo mercado individual con $10.609M. EMEA crece más rápido (+31% YoY en FY2025). Fuente: 10-K FY2025.</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§2.5 Modelo de Negocio</w:t>
      </w:r>
    </w:p>
    <w:p>
      <w:pPr>
        <w:spacing w:after="80" w:before="80"/>
      </w:pPr>
      <w:r>
        <w:rPr>
          <w:rFonts w:ascii="Calibri" w:cs="Calibri" w:eastAsia="Calibri" w:hAnsi="Calibri"/>
          <w:b w:val="false"/>
          <w:bCs w:val="false"/>
          <w:i w:val="false"/>
          <w:iCs w:val="false"/>
          <w:color w:val="1A1A1A"/>
          <w:sz w:val="20"/>
          <w:szCs w:val="20"/>
        </w:rPr>
        <w:t xml:space="preserve">Uber opera un marketplace de dos lados (two-sided platform) en tres verticales principales: Mobility (riders ↔ drivers), Delivery (eaters ↔ merchants/couriers), y Freight (shippers ↔ carriers). La monetización se realiza vía take rate (comisión sobre el valor bruto de la transacción).</w:t>
      </w:r>
    </w:p>
    <w:p>
      <w:pPr>
        <w:spacing w:after="80" w:before="80"/>
      </w:pPr>
      <w:r>
        <w:rPr>
          <w:rFonts w:ascii="Calibri" w:cs="Calibri" w:eastAsia="Calibri" w:hAnsi="Calibri"/>
          <w:b w:val="false"/>
          <w:bCs w:val="false"/>
          <w:i w:val="false"/>
          <w:iCs w:val="false"/>
          <w:color w:val="1A1A1A"/>
          <w:sz w:val="20"/>
          <w:szCs w:val="20"/>
        </w:rPr>
        <w:t xml:space="preserve">Take Rate FY2025: ~30,7% en Mobility; ~18,9% en Delivery; Revenue/Gross Bookings total: 26,9%. El take rate de Mobility escaló de ~12-21% en 2020 a ~30-31% en 2025, evidenciando pricing power real.</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§2.6 Cadena de Valor</w:t>
      </w:r>
    </w:p>
    <w:p>
      <w:pPr>
        <w:spacing w:after="80" w:before="80"/>
      </w:pPr>
      <w:r>
        <w:rPr>
          <w:rFonts w:ascii="Calibri" w:cs="Calibri" w:eastAsia="Calibri" w:hAnsi="Calibri"/>
          <w:b w:val="false"/>
          <w:bCs w:val="false"/>
          <w:i w:val="false"/>
          <w:iCs w:val="false"/>
          <w:color w:val="1A1A1A"/>
          <w:sz w:val="20"/>
          <w:szCs w:val="20"/>
        </w:rPr>
        <w:t xml:space="preserve">La cadena de valor de Uber gravita en torno a su plataforma tecnológica central:</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Captación de demanda: Marketing digital, referrals, Uber One, integración con Google Maps y Apple Maps.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Matching algorítmico: Motor de emparejamiento en tiempo real que minimiza ETAs y maximiza utilización de conductores — activo tecnológico central afinado en 15+ años.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Surge pricing dinámico: Incrementa tarifas en demanda pico, equilibra oferta/demanda sin intervención humana.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Conductores independientes (contractors): Elimina costos laborales fijos pero genera riesgo regulatorio permanente (AB5, EU Platform Work Directive).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Pagos e identidad: Procesamiento integrado, background checks de conductores, historial de calificaciones bidireccional.</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§2.7 Arquitectura Organizativa</w:t>
      </w:r>
    </w:p>
    <w:p>
      <w:pPr>
        <w:spacing w:after="80" w:before="80"/>
      </w:pPr>
      <w:r>
        <w:rPr>
          <w:rFonts w:ascii="Calibri" w:cs="Calibri" w:eastAsia="Calibri" w:hAnsi="Calibri"/>
          <w:b w:val="false"/>
          <w:bCs w:val="false"/>
          <w:i w:val="false"/>
          <w:iCs w:val="false"/>
          <w:color w:val="1A1A1A"/>
          <w:sz w:val="20"/>
          <w:szCs w:val="20"/>
        </w:rPr>
        <w:t xml:space="preserve">Tecnología centralizada (San Francisco): algoritmos de pricing/matching, ciencia de datos, seguridad, I+D. Operaciones descentralizadas: equipos locales por ciudad responsables de lanzamiento de mercado, compliance regulatorio local y marketing regional. Datos centralizados: procesamiento en nube de demanda, oferta, pricing y comportamiento — alimenta modelos predictivos globales.</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§2.8 Equipo Directivo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Nombre</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Cargo</w:t>
            </w:r>
          </w:p>
        </w:tc>
        <w:tc>
          <w:tcPr>
            <w:tcW w:type="dxa" w:w="1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Desde</w:t>
            </w:r>
          </w:p>
        </w:tc>
        <w:tc>
          <w:tcPr>
            <w:tcW w:type="dxa" w:w="3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Perfil Clave</w:t>
            </w:r>
          </w:p>
        </w:tc>
      </w:tr>
      <w:tr>
        <w:tc>
          <w:tcPr>
            <w:tcW w:type="dxa" w:w="2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Dara Khosrowshahi</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CEO</w:t>
            </w:r>
          </w:p>
        </w:tc>
        <w:tc>
          <w:tcPr>
            <w:tcW w:type="dxa" w:w="1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Ago. 2017</w:t>
            </w:r>
          </w:p>
        </w:tc>
        <w:tc>
          <w:tcPr>
            <w:tcW w:type="dxa" w:w="3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Ex-CEO Expedia Group. Transformó UBER de pérdidas de $5.200M (2019) a FCF $9.763M (FY2025). ROIC: de −25% → +24%.</w:t>
            </w:r>
          </w:p>
        </w:tc>
      </w:tr>
      <w:tr>
        <w:tc>
          <w:tcPr>
            <w:tcW w:type="dxa" w:w="2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Balaji Krishnamurthy</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CFO</w:t>
            </w:r>
          </w:p>
        </w:tc>
        <w:tc>
          <w:tcPr>
            <w:tcW w:type="dxa" w:w="1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Feb. 2026</w:t>
            </w:r>
          </w:p>
        </w:tc>
        <w:tc>
          <w:tcPr>
            <w:tcW w:type="dxa" w:w="3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Promovido internamente; ex-VP IR y VP Strategic Finance. Compró 22.400 acciones en feb. 2026 (señal de conviction).</w:t>
            </w:r>
          </w:p>
        </w:tc>
      </w:tr>
      <w:tr>
        <w:tc>
          <w:tcPr>
            <w:tcW w:type="dxa" w:w="2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Andrew Macdonald</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SVP, Mobility &amp; Business Operations</w:t>
            </w:r>
          </w:p>
        </w:tc>
        <w:tc>
          <w:tcPr>
            <w:tcW w:type="dxa" w:w="1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 años</w:t>
            </w:r>
          </w:p>
        </w:tc>
        <w:tc>
          <w:tcPr>
            <w:tcW w:type="dxa" w:w="3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Lidera operaciones de Mobility globalmente, incluyendo estrategia AV e integración con socios como Waymo.</w:t>
            </w:r>
          </w:p>
        </w:tc>
      </w:tr>
      <w:tr>
        <w:tc>
          <w:tcPr>
            <w:tcW w:type="dxa" w:w="2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Tony West</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Chief Legal Officer</w:t>
            </w:r>
          </w:p>
        </w:tc>
        <w:tc>
          <w:tcPr>
            <w:tcW w:type="dxa" w:w="1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2017</w:t>
            </w:r>
          </w:p>
        </w:tc>
        <w:tc>
          <w:tcPr>
            <w:tcW w:type="dxa" w:w="3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Ex-Subsecretario de Justicia de EE.UU. Gestiona entorno regulatorio, clasificación de conductores y litigios clave.</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§2.9 Accionariado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Accionista</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Acciones (~M)</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 Aprox.</w:t>
            </w:r>
          </w:p>
        </w:tc>
        <w:tc>
          <w:tcPr>
            <w:tcW w:type="dxa" w:w="22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Categoría</w:t>
            </w:r>
          </w:p>
        </w:tc>
      </w:tr>
      <w:tr>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Vanguard Group</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192,5M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~9,2%</w:t>
            </w:r>
          </w:p>
        </w:tc>
        <w:tc>
          <w:tcPr>
            <w:tcW w:type="dxa" w:w="22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Institucional pasivo</w:t>
            </w:r>
          </w:p>
        </w:tc>
      </w:tr>
      <w:tr>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BlackRock, Inc.</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154,8M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~7,5%</w:t>
            </w:r>
          </w:p>
        </w:tc>
        <w:tc>
          <w:tcPr>
            <w:tcW w:type="dxa" w:w="22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Institucional pasivo</w:t>
            </w:r>
          </w:p>
        </w:tc>
      </w:tr>
      <w:tr>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Capital Research Global Investors</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113,5M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~5,5%</w:t>
            </w:r>
          </w:p>
        </w:tc>
        <w:tc>
          <w:tcPr>
            <w:tcW w:type="dxa" w:w="22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Institucional activo</w:t>
            </w:r>
          </w:p>
        </w:tc>
      </w:tr>
      <w:tr>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State Street Corp</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90,9M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~4,4%</w:t>
            </w:r>
          </w:p>
        </w:tc>
        <w:tc>
          <w:tcPr>
            <w:tcW w:type="dxa" w:w="22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Institucional pasivo</w:t>
            </w:r>
          </w:p>
        </w:tc>
      </w:tr>
      <w:tr>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Morgan Stanley</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80,2M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~3,9%</w:t>
            </w:r>
          </w:p>
        </w:tc>
        <w:tc>
          <w:tcPr>
            <w:tcW w:type="dxa" w:w="22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Institucional</w:t>
            </w:r>
          </w:p>
        </w:tc>
      </w:tr>
      <w:tr>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Public Investment Fund (Arabia Saudita)</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72,8M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~3,5%</w:t>
            </w:r>
          </w:p>
        </w:tc>
        <w:tc>
          <w:tcPr>
            <w:tcW w:type="dxa" w:w="22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Soberano</w:t>
            </w:r>
          </w:p>
        </w:tc>
      </w:tr>
      <w:tr>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Geode Capital Management</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47,9M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~2,3%</w:t>
            </w:r>
          </w:p>
        </w:tc>
        <w:tc>
          <w:tcPr>
            <w:tcW w:type="dxa" w:w="22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Institucional pasivo</w:t>
            </w:r>
          </w:p>
        </w:tc>
      </w:tr>
      <w:tr>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FMR LLC (Fidelity)</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31,6M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w:t>
            </w:r>
          </w:p>
        </w:tc>
        <w:tc>
          <w:tcPr>
            <w:tcW w:type="dxa" w:w="22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Institucional activo</w:t>
            </w:r>
          </w:p>
        </w:tc>
      </w:tr>
      <w:tr>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Pershing Square / Bill Ackman (Superinvestor)</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30,2M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~1,5%</w:t>
            </w:r>
          </w:p>
        </w:tc>
        <w:tc>
          <w:tcPr>
            <w:tcW w:type="dxa" w:w="22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Hedge fund activista — Mayor posición del fondo 13F</w:t>
            </w:r>
          </w:p>
        </w:tc>
      </w:tr>
      <w:tr>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Dara Khosrowshahi (CEO / Insider)</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~8,5M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~0,4%</w:t>
            </w:r>
          </w:p>
        </w:tc>
        <w:tc>
          <w:tcPr>
            <w:tcW w:type="dxa" w:w="22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Insider — Req. 10× salario base en acciones</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Float institucional: ~80% del capital. Fuentes: BusinessQuant, MarketBeat, Fintel.io (Q4 2025).</w:t>
      </w:r>
    </w:p>
    <w:p>
      <w:pPr>
        <w:pStyle w:val="Heading1"/>
        <w:pageBreakBefore/>
        <w:spacing w:after="120" w:before="240"/>
      </w:pPr>
      <w:r>
        <w:rPr>
          <w:rFonts w:ascii="Calibri" w:cs="Calibri" w:eastAsia="Calibri" w:hAnsi="Calibri"/>
          <w:b/>
          <w:bCs/>
          <w:color w:val="1B2642"/>
          <w:sz w:val="36"/>
          <w:szCs w:val="36"/>
        </w:rPr>
        <w:t xml:space="preserve">§3 — SECTOR E INDUSTRIA</w:t>
      </w:r>
    </w:p>
    <w:p>
      <w:pPr>
        <w:pStyle w:val="Heading2"/>
        <w:spacing w:after="80" w:before="200"/>
      </w:pPr>
      <w:r>
        <w:rPr>
          <w:rFonts w:ascii="Calibri" w:cs="Calibri" w:eastAsia="Calibri" w:hAnsi="Calibri"/>
          <w:b/>
          <w:bCs/>
          <w:color w:val="1B2642"/>
          <w:sz w:val="28"/>
          <w:szCs w:val="28"/>
        </w:rPr>
        <w:t xml:space="preserve">§3.1 GICS y Clasificación</w:t>
      </w:r>
    </w:p>
    <w:p>
      <w:pPr>
        <w:spacing w:after="80" w:before="80"/>
      </w:pPr>
      <w:r>
        <w:rPr>
          <w:rFonts w:ascii="Calibri" w:cs="Calibri" w:eastAsia="Calibri" w:hAnsi="Calibri"/>
          <w:b w:val="false"/>
          <w:bCs w:val="false"/>
          <w:i w:val="false"/>
          <w:iCs w:val="false"/>
          <w:color w:val="1A1A1A"/>
          <w:sz w:val="20"/>
          <w:szCs w:val="20"/>
        </w:rPr>
        <w:t xml:space="preserve">GICS: Industrials → Ground Transportation (Transporte Terrestre). Subsector informal: Ridesharing / Gig Economy / On-Demand Mobility. Uber fue incluida en el S&amp;P 500 en enero de 2024, lo que genera demanda estructural de acciones vía fondos pasivos.</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§3.2 TAM / SAM /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 Estimado</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Proyección</w:t>
            </w:r>
          </w:p>
        </w:tc>
        <w:tc>
          <w:tcPr>
            <w:tcW w:type="dxa" w:w="1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CAGR</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TAM Ridesharing Global (2025)</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~$180.000M</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$205.830M (2030, Allied MR)</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13,2%</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TAM Delivery Food (EE.UU., 2024)</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$31.910M</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$74.030M (2033)</w:t>
            </w:r>
          </w:p>
        </w:tc>
        <w:tc>
          <w:tcPr>
            <w:tcW w:type="dxa" w:w="1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~10%</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TAM Combinado (ridesharing + delivery + freight + adv.)</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$500.000M+</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&gt;$2B (2030)</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Variable</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SAM Uber (Gross Bookings FY2025)</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$193.454M</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$200.000M+ objetivo 2027</w:t>
            </w:r>
          </w:p>
        </w:tc>
        <w:tc>
          <w:tcPr>
            <w:tcW w:type="dxa" w:w="1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+19% YoY</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Revenue reconocido FY2025</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$52.017M</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Crecimiento ~18-20%/año</w:t>
            </w:r>
          </w:p>
        </w:tc>
        <w:tc>
          <w:tcPr>
            <w:tcW w:type="dxa" w:w="1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+18,3% YoY</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§3.3 Naturaleza del Sector</w:t>
      </w:r>
    </w:p>
    <w:p>
      <w:pPr>
        <w:spacing w:after="80" w:before="80"/>
      </w:pPr>
      <w:r>
        <w:rPr>
          <w:rFonts w:ascii="Calibri" w:cs="Calibri" w:eastAsia="Calibri" w:hAnsi="Calibri"/>
          <w:b w:val="false"/>
          <w:bCs w:val="false"/>
          <w:i w:val="false"/>
          <w:iCs w:val="false"/>
          <w:color w:val="1A1A1A"/>
          <w:sz w:val="20"/>
          <w:szCs w:val="20"/>
        </w:rPr>
        <w:t xml:space="preserve">Discrecional con componente de necesidad: Mobility en mercados urbanos densos es semi-recurrente; Delivery tiene alta resiliencia en recesiones moderadas. Moderadamente cíclico: en recesiones profundas el gasto se contrae, pero Delivery actúa como contrapeso (demostrado durante COVID-19: Mobility cayó &gt;80% en Q2 2020, Delivery se triplicó).</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§3.4 Ciclo Industrial</w:t>
      </w:r>
    </w:p>
    <w:p>
      <w:pPr>
        <w:spacing w:after="80" w:before="80"/>
      </w:pPr>
      <w:r>
        <w:rPr>
          <w:rFonts w:ascii="Calibri" w:cs="Calibri" w:eastAsia="Calibri" w:hAnsi="Calibri"/>
          <w:b w:val="false"/>
          <w:bCs w:val="false"/>
          <w:i w:val="false"/>
          <w:iCs w:val="false"/>
          <w:color w:val="1A1A1A"/>
          <w:sz w:val="20"/>
          <w:szCs w:val="20"/>
        </w:rPr>
        <w:t xml:space="preserve">El sector se encuentra en transición tecnológica crítica (2025-2030):</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Post-COVID normalización (2022-2024): Recuperación completa de Mobility; expansión de Delivery; ajuste de márgenes.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Inflexión AV (2025-2030): Los vehículos autónomos comienzan operaciones comerciales a pequeña escala. Waymo lidera con &gt;250.000 viajes/semana en 10 ciudades de EE.UU. Tesla lanzó robotaxi en Austin en junio de 2025.</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Freight en recuperación cíclica post-pandemia desde corrección 2023-2024; ingresos estabilizados en ~$5.100M.</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§3.5 Competidores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Categoría</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Competidor</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Geografía</w:t>
            </w:r>
          </w:p>
        </w:tc>
        <w:tc>
          <w:tcPr>
            <w:tcW w:type="dxa" w:w="3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Posicionamiento</w:t>
            </w:r>
          </w:p>
        </w:tc>
      </w:tr>
      <w:tr>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Mobility</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Lyft</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EE.UU.</w:t>
            </w:r>
          </w:p>
        </w:tc>
        <w:tc>
          <w:tcPr>
            <w:tcW w:type="dxa" w:w="3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~24% cuota EE.UU.; $5.700M rev. 2024; sin presencia int.</w:t>
            </w:r>
          </w:p>
        </w:tc>
      </w:tr>
      <w:tr>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Mobility</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DiDi</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China, LatAm, Australia</w:t>
            </w:r>
          </w:p>
        </w:tc>
        <w:tc>
          <w:tcPr>
            <w:tcW w:type="dxa" w:w="3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Principal competidor en América Latina y China</w:t>
            </w:r>
          </w:p>
        </w:tc>
      </w:tr>
      <w:tr>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Mobility</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Grab</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Sudeste Asiático</w:t>
            </w:r>
          </w:p>
        </w:tc>
        <w:tc>
          <w:tcPr>
            <w:tcW w:type="dxa" w:w="3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Super-app dominante en SEA (ride-hailing + delivery + fintech)</w:t>
            </w:r>
          </w:p>
        </w:tc>
      </w:tr>
      <w:tr>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Mobility</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Bolt</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Europa / África</w:t>
            </w:r>
          </w:p>
        </w:tc>
        <w:tc>
          <w:tcPr>
            <w:tcW w:type="dxa" w:w="3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Challenger europeo agresivo en precio y expansión geográfica</w:t>
            </w:r>
          </w:p>
        </w:tc>
      </w:tr>
      <w:tr>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Delivery</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DoorDash</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EE.UU. (líder)</w:t>
            </w:r>
          </w:p>
        </w:tc>
        <w:tc>
          <w:tcPr>
            <w:tcW w:type="dxa" w:w="3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~63-65% cuota EE.UU. vs. Uber Eats ~22%. Ambiciones int.</w:t>
            </w:r>
          </w:p>
        </w:tc>
      </w:tr>
      <w:tr>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Delivery</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Deliveroo</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UK / Europa</w:t>
            </w:r>
          </w:p>
        </w:tc>
        <w:tc>
          <w:tcPr>
            <w:tcW w:type="dxa" w:w="3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Segundo en UK; competición intensa en Londres</w:t>
            </w:r>
          </w:p>
        </w:tc>
      </w:tr>
      <w:tr>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Delivery</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JustEatTakeaway</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Europa Continental</w:t>
            </w:r>
          </w:p>
        </w:tc>
        <w:tc>
          <w:tcPr>
            <w:tcW w:type="dxa" w:w="3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Challenger; estructura de costos más pesada</w:t>
            </w:r>
          </w:p>
        </w:tc>
      </w:tr>
      <w:tr>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Freight</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CH Robinson / RXO / Echo GL</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EE.UU.</w:t>
            </w:r>
          </w:p>
        </w:tc>
        <w:tc>
          <w:tcPr>
            <w:tcW w:type="dxa" w:w="3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Brokers de carga tradicionales con relaciones establecidas</w:t>
            </w:r>
          </w:p>
        </w:tc>
      </w:tr>
      <w:tr>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AV Disruption</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Waymo (Alphabet)</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EE.UU. (10 ciudades)</w:t>
            </w:r>
          </w:p>
        </w:tc>
        <w:tc>
          <w:tcPr>
            <w:tcW w:type="dxa" w:w="3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&gt;250.000 viajes/semana; asociación con Uber en Austin y Atlanta</w:t>
            </w:r>
          </w:p>
        </w:tc>
      </w:tr>
      <w:tr>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AV Disruption</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Tesla Robotaxi</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Austin (launch jun. 2025)</w:t>
            </w:r>
          </w:p>
        </w:tc>
        <w:tc>
          <w:tcPr>
            <w:tcW w:type="dxa" w:w="3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Escala aún minúscula; modelo de flota propia bypasea red drivers</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§3.6 Cinco Fuerzas de 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Fuerza</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Intensidad</w:t>
            </w:r>
          </w:p>
        </w:tc>
        <w:tc>
          <w:tcPr>
            <w:tcW w:type="dxa" w:w="4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Análisis</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Rivalidad Competitiva</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ALTA (Mobility) / MEDIA-ALTA (Delivery)</w:t>
            </w:r>
          </w:p>
        </w:tc>
        <w:tc>
          <w:tcPr>
            <w:tcW w:type="dxa" w:w="4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Duopolio Uber/Lyft en EE.UU. (76/24). DoorDash lidera Delivery EE.UU. pero Uber es líder global fuera de EE.UU. Guerra de precios moderada hoy.</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Amenaza Nuevos Entrantes</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MEDIA-ALTA (asterisco AV)</w:t>
            </w:r>
          </w:p>
        </w:tc>
        <w:tc>
          <w:tcPr>
            <w:tcW w:type="dxa" w:w="4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Barreras regulatorias (licencias TNC) y efectos de red de dos lados hacen difícil entrada a escala nacional. Tesla/Waymo representan entrada lateral que bypasea la red de drivers.</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Sustitutos</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MEDIA</w:t>
            </w:r>
          </w:p>
        </w:tc>
        <w:tc>
          <w:tcPr>
            <w:tcW w:type="dxa" w:w="4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Transporte público (débil en EE.UU.), automóvil propio, bicicleta/scooter eléctrico. En Europa el transit público es sustituto real.</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Poder Conductores (Supply)</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BAJO individual / ALTO colectivo</w:t>
            </w:r>
          </w:p>
        </w:tc>
        <w:tc>
          <w:tcPr>
            <w:tcW w:type="dxa" w:w="4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Un conductor individual no tiene poder; colectivamente vía regulación (AB 1340, EU Platform Work Directive) presionan costos. Multi-homing de conductores es realidad.</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Poder Clientes (Riders/Eaters)</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BAJO</w:t>
            </w:r>
          </w:p>
        </w:tc>
        <w:tc>
          <w:tcPr>
            <w:tcW w:type="dxa" w:w="4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Multi-homing existe pero Uber One (50M+ miembros) crea lock-in incremental. Conveniencia &gt; precio para mayoría de usuarios.</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§3.7 Factores Macroeconómicos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Factor Macro</w:t>
            </w:r>
          </w:p>
        </w:tc>
        <w:tc>
          <w:tcPr>
            <w:tcW w:type="dxa" w:w="1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Dirección</w:t>
            </w:r>
          </w:p>
        </w:tc>
        <w:tc>
          <w:tcPr>
            <w:tcW w:type="dxa" w:w="51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 en Uber</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Tasas de interés altas</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Negativo moderado</w:t>
            </w:r>
          </w:p>
        </w:tc>
        <w:tc>
          <w:tcPr>
            <w:tcW w:type="dxa" w:w="5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Encarece capital para competidores con déficit; Uber genera FCF positivo masivo: entorno de tasas altas favorece su posición relativa vs. startups AV.</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Inflación de combustible</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Negativo indirecto</w:t>
            </w:r>
          </w:p>
        </w:tc>
        <w:tc>
          <w:tcPr>
            <w:tcW w:type="dxa" w:w="5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Presiona ingresos de conductores → puede reducir oferta o requerir mayores incentivos para mantener supply.</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Regulación gig workers (AB 1340, EU PWD)</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Riesgo estructural</w:t>
            </w:r>
          </w:p>
        </w:tc>
        <w:tc>
          <w:tcPr>
            <w:tcW w:type="dxa" w:w="5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Incremento potencial de estructura de costos si conductores se reclasifican como empleados en mercados clave.</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Tipo de cambio (USD fuerte)</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Negativo ~1pp</w:t>
            </w:r>
          </w:p>
        </w:tc>
        <w:tc>
          <w:tcPr>
            <w:tcW w:type="dxa" w:w="5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EMEA es ~31% de ingresos; un dólar fuerte reduce ingresos reportados en USD. FX fue viento en contra de ~1pp en crecimiento FY2025.</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Ciclo económico</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Moderadamente cíclico</w:t>
            </w:r>
          </w:p>
        </w:tc>
        <w:tc>
          <w:tcPr>
            <w:tcW w:type="dxa" w:w="5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Recesión leve → Delivery resistente. Recesión profunda → Mobility vulnerable (COVID-19 demostró la resiliencia del portafolio diversificado).</w:t>
            </w:r>
          </w:p>
        </w:tc>
      </w:tr>
    </w:tbl>
    <w:p>
      <w:pPr>
        <w:pStyle w:val="Heading1"/>
        <w:pageBreakBefore/>
        <w:spacing w:after="120" w:before="240"/>
      </w:pPr>
      <w:r>
        <w:rPr>
          <w:rFonts w:ascii="Calibri" w:cs="Calibri" w:eastAsia="Calibri" w:hAnsi="Calibri"/>
          <w:b/>
          <w:bCs/>
          <w:color w:val="1B2642"/>
          <w:sz w:val="36"/>
          <w:szCs w:val="36"/>
        </w:rPr>
        <w:t xml:space="preserve">§4 — ANÁLISIS DE CLIENTES</w:t>
      </w:r>
    </w:p>
    <w:p>
      <w:pPr>
        <w:pStyle w:val="Heading2"/>
        <w:spacing w:after="80" w:before="200"/>
      </w:pPr>
      <w:r>
        <w:rPr>
          <w:rFonts w:ascii="Calibri" w:cs="Calibri" w:eastAsia="Calibri" w:hAnsi="Calibri"/>
          <w:b/>
          <w:bCs/>
          <w:color w:val="1B2642"/>
          <w:sz w:val="28"/>
          <w:szCs w:val="28"/>
        </w:rPr>
        <w:t xml:space="preserve">§4.1 Demografía y Perfil del Usuario</w:t>
      </w:r>
    </w:p>
    <w:p>
      <w:pPr>
        <w:spacing w:after="80" w:before="80"/>
      </w:pPr>
      <w:r>
        <w:rPr>
          <w:rFonts w:ascii="Calibri" w:cs="Calibri" w:eastAsia="Calibri" w:hAnsi="Calibri"/>
          <w:b w:val="false"/>
          <w:bCs w:val="false"/>
          <w:i w:val="false"/>
          <w:iCs w:val="false"/>
          <w:color w:val="1A1A1A"/>
          <w:sz w:val="20"/>
          <w:szCs w:val="20"/>
        </w:rPr>
        <w:t xml:space="preserve">El perfil predominante en mercados desarrollados (EE.UU./Europa): edad 25-44 años (mayoría; creciendo en 45-65 post-pandemia), geografía urbana y suburbana de alta densidad, ingreso medio-alto (Uber Black/Comfort: ingreso alto). En Delivery: perfil más amplio incluyendo familias suburbanas.</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§4.2 Hábitos de Uso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Mobility: 2-4 viajes/mes para usuarios ocasionales; 8-10+ viajes/mes para usuarios frecuentes (Uber One).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Delivery: 4-8 pedidos/mes para usuarios regulares; Uber One incrementa significativamente la frecuencia.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Cross-sell: usuarios de tanto Mobility como Delivery generan más de 3× los Gross Bookings vs. usuarios de un solo producto (10-K FY2025).</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§4.3 Arquetipos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Tribu</w:t>
            </w:r>
          </w:p>
        </w:tc>
        <w:tc>
          <w:tcPr>
            <w:tcW w:type="dxa" w:w="6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Descripción</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Business Commuter</w:t>
            </w:r>
          </w:p>
        </w:tc>
        <w:tc>
          <w:tcPr>
            <w:tcW w:type="dxa" w:w="6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Profesional urbano que usa Uber para aeropuerto/reuniones/sustituto taxi. Expensea en la empresa. Alta lealtad, baja sensibilidad al precio.</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Weekend / Nightlife User</w:t>
            </w:r>
          </w:p>
        </w:tc>
        <w:tc>
          <w:tcPr>
            <w:tcW w:type="dxa" w:w="6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Jóvenes que evitan conducir bajo efectos del alcohol. Alta frecuencia concentrada en fines de semana.</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Food Delivery Suburban</w:t>
            </w:r>
          </w:p>
        </w:tc>
        <w:tc>
          <w:tcPr>
            <w:tcW w:type="dxa" w:w="6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Familias y profesionales en zonas suburbanas. Delivery es su punto de contacto primario con la plataforma.</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Premium (Black / Comfort)</w:t>
            </w:r>
          </w:p>
        </w:tc>
        <w:tc>
          <w:tcPr>
            <w:tcW w:type="dxa" w:w="6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Ejecutivos y viajeros frecuentes. ARPU muy superior al usuario estándar.</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UberX Share Economy</w:t>
            </w:r>
          </w:p>
        </w:tc>
        <w:tc>
          <w:tcPr>
            <w:tcW w:type="dxa" w:w="6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Usuarios sensibles al precio que comparten viaje. Lower ARPU, mayor utilización de conductores.</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§4.4-4.5 Psicografía y Diferencias Regionales</w:t>
      </w:r>
    </w:p>
    <w:p>
      <w:pPr>
        <w:spacing w:after="80" w:before="80"/>
      </w:pPr>
      <w:r>
        <w:rPr>
          <w:rFonts w:ascii="Calibri" w:cs="Calibri" w:eastAsia="Calibri" w:hAnsi="Calibri"/>
          <w:b w:val="false"/>
          <w:bCs w:val="false"/>
          <w:i w:val="false"/>
          <w:iCs w:val="false"/>
          <w:color w:val="1A1A1A"/>
          <w:sz w:val="20"/>
          <w:szCs w:val="20"/>
        </w:rPr>
        <w:t xml:space="preserve">Conveniencia &gt; precio para &gt;60% de usuarios. Brand affinity moderada: riders susceptibles al multi-homing con descuentos, pero Uber One crea lealtad profunda. Confianza: calificaciones bidireccionales y seguimiento en tiempo real son diferenciadores vs. alternativas informales.</w:t>
      </w:r>
    </w:p>
    <w:p>
      <w:pPr>
        <w:spacing w:after="80" w:before="80"/>
      </w:pPr>
      <w:r>
        <w:rPr>
          <w:rFonts w:ascii="Calibri" w:cs="Calibri" w:eastAsia="Calibri" w:hAnsi="Calibri"/>
          <w:b w:val="false"/>
          <w:bCs w:val="false"/>
          <w:i w:val="false"/>
          <w:iCs w:val="false"/>
          <w:color w:val="1A1A1A"/>
          <w:sz w:val="20"/>
          <w:szCs w:val="20"/>
        </w:rPr>
        <w:t xml:space="preserve">Diferencias regionales clave: EE.UU. (mercado maduro, Uber dominante, automóvil propio el sustituto primario); UK/Europa Occidental (competencia más intensa con Bolt, transporte público es sustituto real); SEA/India (Grab/Ola dominan); LatAm (crecimiento fuerte, competencia de DiDi en México/Colombia).</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§4.6 Diversificación y CLTV/CAC</w:t>
      </w:r>
    </w:p>
    <w:p>
      <w:pPr>
        <w:spacing w:after="80" w:before="80"/>
      </w:pPr>
      <w:r>
        <w:rPr>
          <w:rFonts w:ascii="Calibri" w:cs="Calibri" w:eastAsia="Calibri" w:hAnsi="Calibri"/>
          <w:b w:val="false"/>
          <w:bCs w:val="false"/>
          <w:i w:val="false"/>
          <w:iCs w:val="false"/>
          <w:color w:val="1A1A1A"/>
          <w:sz w:val="20"/>
          <w:szCs w:val="20"/>
        </w:rPr>
        <w:t xml:space="preserve">Atomización extrema: ningún cliente supera el 5% de ingresos. 202 millones de MAPCs. No existe riesgo de concentración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Segmento</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CLTV Estimado</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CAC Estimado</w:t>
            </w:r>
          </w:p>
        </w:tc>
        <w:tc>
          <w:tcPr>
            <w:tcW w:type="dxa" w:w="2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Ratio CLTV/CAC</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Mobility (usuario estándar)</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~$200-300 (3-4 años)</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~$20-25</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~10-12×</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Delivery (usuario estándar)</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~$150-200</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~$15-20</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~9-10×</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Uber One Member</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Significativamente superior (&gt;3× bookings)</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Similar + costo membresía</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&gt;20× estimado</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§4.7 Test de Mercado de Dos Lados</w:t>
      </w:r>
    </w:p>
    <w:p>
      <w:pPr>
        <w:spacing w:after="80" w:before="80"/>
      </w:pPr>
      <w:r>
        <w:rPr>
          <w:rFonts w:ascii="Calibri" w:cs="Calibri" w:eastAsia="Calibri" w:hAnsi="Calibri"/>
          <w:b w:val="false"/>
          <w:bCs w:val="false"/>
          <w:i w:val="false"/>
          <w:iCs w:val="false"/>
          <w:color w:val="1A1A1A"/>
          <w:sz w:val="20"/>
          <w:szCs w:val="20"/>
        </w:rPr>
        <w:t xml:space="preserve">SÍ FUERTE. Uber opera mercados de dos lados en los tres segmentos (Riders↔Drivers, Eaters↔Couriers, Shippers↔Carriers). Cross-side network effects potentes: más drivers → menor ETA → más riders → más drivers. Same-side effects: neutros a negativos. Multi-homing de conductores: alto (~50%+ también usan Lyft). Multi-homing de riders: medio, limitado por Uber One.</w:t>
      </w:r>
    </w:p>
    <w:p>
      <w:pPr>
        <w:pStyle w:val="Heading1"/>
        <w:pageBreakBefore/>
        <w:spacing w:after="120" w:before="240"/>
      </w:pPr>
      <w:r>
        <w:rPr>
          <w:rFonts w:ascii="Calibri" w:cs="Calibri" w:eastAsia="Calibri" w:hAnsi="Calibri"/>
          <w:b/>
          <w:bCs/>
          <w:color w:val="1B2642"/>
          <w:sz w:val="36"/>
          <w:szCs w:val="36"/>
        </w:rPr>
        <w:t xml:space="preserve">§5 — ANÁLISIS CUALITATIVO Y VENTAJA COMPETITIVA</w:t>
      </w:r>
    </w:p>
    <w:p>
      <w:pPr>
        <w:pStyle w:val="Heading2"/>
        <w:spacing w:after="80" w:before="200"/>
      </w:pPr>
      <w:r>
        <w:rPr>
          <w:rFonts w:ascii="Calibri" w:cs="Calibri" w:eastAsia="Calibri" w:hAnsi="Calibri"/>
          <w:b/>
          <w:bCs/>
          <w:color w:val="1B2642"/>
          <w:sz w:val="28"/>
          <w:szCs w:val="28"/>
        </w:rPr>
        <w:t xml:space="preserve">§5.1 Ventaja Competitiva — Marco Greenwald (3 Fuentes)</w:t>
      </w:r>
    </w:p>
    <w:p>
      <w:pPr>
        <w:spacing w:after="80" w:before="80"/>
      </w:pPr>
      <w:r>
        <w:rPr>
          <w:rFonts w:ascii="Calibri" w:cs="Calibri" w:eastAsia="Calibri" w:hAnsi="Calibri"/>
          <w:b w:val="false"/>
          <w:bCs w:val="false"/>
          <w:i w:val="false"/>
          <w:iCs w:val="false"/>
          <w:color w:val="1A1A1A"/>
          <w:sz w:val="20"/>
          <w:szCs w:val="20"/>
        </w:rPr>
        <w:t xml:space="preserve">Bruce Greenwald (Columbia Business School) identifica tres fuentes de ventaja competitiva sostenible: (1) economías de escala, (2) cautividad de demanda, y (3) ventajas de oferta/suministro.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Fuente Greenwald</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Intensidad</w:t>
            </w:r>
          </w:p>
        </w:tc>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Evidencia Cuantitativa</w:t>
            </w:r>
          </w:p>
        </w:tc>
        <w:tc>
          <w:tcPr>
            <w:tcW w:type="dxa" w:w="2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Valoración</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Economías de Escala (Densidad Urbana)</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FUERTE</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Efecto densidad hiperlocalizado: más conductores → menor ETA → mayor conversión. Algoritmo entrenado con miles de millones de viajes. Take rate Mobility: 12-21% (2020) → 30-31% (2025). Spread ROIC-WACC FY25: +17,01pp.</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Barrera formidable; requiere replicar escala en cada mercado simultáneamente.</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Cautividad de Demanda (Demand Advantages)</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MEDIA</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One 50M+ miembros crea lock-in económico. Historial de viajes, preferencias guardadas, integraciones Google/Apple Maps. Multi-homing de riders limita el moat.</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Real pero moderado; suficiente vs. pares similares (Lyft), no vs. disrupciones AV de orden superior.</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Ventajas de Oferta / Suministro</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MEDIA</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Conductores hacen multi-homing (~50%+ en Uber+Lyft). Uber ofrece mayor earning potential en mercados de alta densidad. Tech stack maduro valorado por conductores. Partnerships con flotas EV.</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No es monopolio de supply; ventaja de hecho por densidad de demanda, no por lock-in contractual.</w:t>
            </w:r>
          </w:p>
        </w:tc>
      </w:tr>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CONCLUSIÓN MOAT</w:t>
            </w:r>
          </w:p>
        </w:tc>
        <w:tc>
          <w:tcPr>
            <w:tcW w:type="dxa" w:w="150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MEDIO-FUERTE</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ROIC 3y avg 20,39% vs. WACC 11,3% → spread +9,09pp. θ_firm = 15,91% &gt; WACC. Spread FY25 = +17,01pp.</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Ampliándose vía Uber One + Advertising. Riesgo: AV con flota propia.</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§5.2 Barreras de Entrada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Regulatorias: Licencias TNC ciudad por ciudad; en mercados como Londres, renovación periódica ante regulador TfL.</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Capital requerido para escala bilateral: Escalar simultáneamente demanda (marketing, descuentos) y oferta (incentivos a conductores) en decenas de ciudades es extraordinariamente intensivo en capital.</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Efectos de red establecidos: 15 años de datos, algoritmos entrenados, relaciones con conductores son difíciles de replicar.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Regulación de clasificación laboral: Nuevos entrantes enfrentan el mismo entorno pero Uber ya absorbió el costo político y legal de navegarlo.</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§5.3 Compounder Matrix — Cuadrante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Dimensión Evaluada</w:t>
            </w:r>
          </w:p>
        </w:tc>
        <w:tc>
          <w:tcPr>
            <w:tcW w:type="dxa" w:w="6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Evaluación</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Barreras de Entrada</w:t>
            </w:r>
          </w:p>
        </w:tc>
        <w:tc>
          <w:tcPr>
            <w:tcW w:type="dxa" w:w="6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MEDIAS-FUERTES — efectos de red hiperlocalizada, regulación, capital bilateral.</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Tendencias del Sector</w:t>
            </w:r>
          </w:p>
        </w:tc>
        <w:tc>
          <w:tcPr>
            <w:tcW w:type="dxa" w:w="6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FAVORABLES — AV como tailwind si Uber es el aggregator; Delivery creciendo; Advertising capa nueva de alto margen.</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Capacidad de Reinversión con alto ROIC</w:t>
            </w:r>
          </w:p>
        </w:tc>
        <w:tc>
          <w:tcPr>
            <w:tcW w:type="dxa" w:w="6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ALTA — ROIC de negativo a 20,39% (3y avg); FCF margin 18,8% en FY2025; reinversión sostenida con IRR positivo.</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Calidad del Management</w:t>
            </w:r>
          </w:p>
        </w:tc>
        <w:tc>
          <w:tcPr>
            <w:tcW w:type="dxa" w:w="6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SUPERIOR — Khosrowshahi transformó ROIC de −25% → +24%, FCF margin de negativo → +18,8%.</w:t>
            </w:r>
          </w:p>
        </w:tc>
      </w:tr>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VEREDICTO MATRIX</w:t>
            </w:r>
          </w:p>
        </w:tc>
        <w:tc>
          <w:tcPr>
            <w:tcW w:type="dxa" w:w="636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CUADRANTE 1: COMPOUNDER — Caveat: si Tesla Robotaxi escala sin Uber, Mobility model se ve desafiado. Si Uber captura rol de aggregator AV → upgrade en márgenes, no disrupción.</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§5.4 Poder de Fijación de Precios</w:t>
      </w:r>
    </w:p>
    <w:p>
      <w:pPr>
        <w:spacing w:after="80" w:before="80"/>
      </w:pPr>
      <w:r>
        <w:rPr>
          <w:rFonts w:ascii="Calibri" w:cs="Calibri" w:eastAsia="Calibri" w:hAnsi="Calibri"/>
          <w:b w:val="false"/>
          <w:bCs w:val="false"/>
          <w:i w:val="false"/>
          <w:iCs w:val="false"/>
          <w:color w:val="1A1A1A"/>
          <w:sz w:val="20"/>
          <w:szCs w:val="20"/>
        </w:rPr>
        <w:t xml:space="preserve">El take rate de Mobility escaló de ~12-21% en 2020 a un estable ~30-31% en 2025 (+~1.000bps en 5 años), sin erosión de demanda. Este es un indicador inequívoco de pricing power real. Factores: la red establecida hace difícil que riders abandonen la plataforma; diferenciación del producto (ETA, confiabilidad, seguridad); Uber One crea precios efectivamente menores para frecuentes mientras mantiene precios de lista para esporádicos.</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§5.5 Ejecución y Cultura</w:t>
      </w:r>
    </w:p>
    <w:p>
      <w:pPr>
        <w:spacing w:after="80" w:before="80"/>
      </w:pPr>
      <w:r>
        <w:rPr>
          <w:rFonts w:ascii="Calibri" w:cs="Calibri" w:eastAsia="Calibri" w:hAnsi="Calibri"/>
          <w:b w:val="false"/>
          <w:bCs w:val="false"/>
          <w:i w:val="false"/>
          <w:iCs w:val="false"/>
          <w:color w:val="1A1A1A"/>
          <w:sz w:val="20"/>
          <w:szCs w:val="20"/>
        </w:rPr>
        <w:t xml:space="preserve">Pre-2017 (Kalanick): cultura de "move fast and break things" extrema. Escándalos por acoso sexual (relato Susan Fowler), videovigilancia de reguladores (programa Greyball), robo de secretos comerciales (caso Waymo-Otto).</w:t>
      </w:r>
    </w:p>
    <w:p>
      <w:pPr>
        <w:spacing w:after="80" w:before="80"/>
      </w:pPr>
      <w:r>
        <w:rPr>
          <w:rFonts w:ascii="Calibri" w:cs="Calibri" w:eastAsia="Calibri" w:hAnsi="Calibri"/>
          <w:b w:val="false"/>
          <w:bCs w:val="false"/>
          <w:i w:val="false"/>
          <w:iCs w:val="false"/>
          <w:color w:val="1A1A1A"/>
          <w:sz w:val="20"/>
          <w:szCs w:val="20"/>
        </w:rPr>
        <w:t xml:space="preserve">Post-2017 (Khosrowshahi): redefinición de valores corporativos, inversión en compliance, contratación de Chief Legal Officer con perfil de gobierno (Tony West, ex-DOJ), enfoque disciplinado en rentabilidad. FCF de $9.763M en FY2025 vs. pérdidas de $5.200M GAAP en 2019. Primer programa de recompra de acciones por $7.000M anunciado.</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§5.6 Plan de Crecimiento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Gross Bookings: $200.000M+ para FY2027 (ya en $193.454M en FY2025; en buena trayectoria).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EBITDA margin: objetivo ~5% sobre Gross Bookings en Mobility; 8%+ en Delivery.</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Advertising: $2.000M+ run rate para FY2026 (ya superado a principios de 2026 según The Drum).</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Uber One: 50M de miembros alcanzado en Q1 2026 como paso hacia mayor cohesión de base de usuarios.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AV: "Clear path to becoming the largest facilitator of AV trips in the world" — Khosrowshahi, Q4 2025 earnings call.</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§5.7 Track Record de Cumplimiento de Promesas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Objetivo Declarado</w:t>
            </w:r>
          </w:p>
        </w:tc>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Resultado</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Primer EBITDA Adjusted positivo trimestral</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Logrado en Q2 2021</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Primer beneficio operativo GAAP</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Logrado en Q1 2023</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FCF positivo anual sostenido</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$6.895M FY2024; $9.763M FY2025</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ROIC positivo</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De ROIC profundamente negativo a ~24% estimado FY25</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Targets de Gross Bookings</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Cumplidos o superados cada año desde 2021</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Advertising $1B run rate</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Superado en 2024</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Advertising $2B run rate</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Alcanzado en 2026</w:t>
            </w:r>
          </w:p>
        </w:tc>
      </w:tr>
    </w:tbl>
    <w:p>
      <w:pPr>
        <w:spacing w:after="0" w:before="80"/>
      </w:pPr>
      <w:r>
        <w:rPr>
          <w:sz w:val="20"/>
          <w:szCs w:val="20"/>
        </w:rPr>
        <w:t xml:space="preserve"/>
      </w:r>
    </w:p>
    <w:p>
      <w:pPr>
        <w:spacing w:after="80" w:before="80"/>
      </w:pPr>
      <w:r>
        <w:rPr>
          <w:rFonts w:ascii="Calibri" w:cs="Calibri" w:eastAsia="Calibri" w:hAnsi="Calibri"/>
          <w:b/>
          <w:bCs/>
          <w:i w:val="false"/>
          <w:iCs w:val="false"/>
          <w:color w:val="1A1A1A"/>
          <w:sz w:val="20"/>
          <w:szCs w:val="20"/>
        </w:rPr>
        <w:t xml:space="preserve">Track record positivo y consistente, lo que eleva la credibilidad de los targets futuros.</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§5.8 Compensación del Management</w:t>
      </w:r>
    </w:p>
    <w:p>
      <w:pPr>
        <w:spacing w:after="80" w:before="80"/>
      </w:pPr>
      <w:r>
        <w:rPr>
          <w:rFonts w:ascii="Calibri" w:cs="Calibri" w:eastAsia="Calibri" w:hAnsi="Calibri"/>
          <w:b w:val="false"/>
          <w:bCs w:val="false"/>
          <w:i w:val="false"/>
          <w:iCs w:val="false"/>
          <w:color w:val="1A1A1A"/>
          <w:sz w:val="20"/>
          <w:szCs w:val="20"/>
        </w:rPr>
        <w:t xml:space="preserve">CEO Khosrowshahi: ~$35,6M totales en FY2025. Base $1M; el 96% variable. Stock ownership guidelines: 10× salary mínimo en acciones. CFO Krishnamurthy: promovido internamente; compró 22.400 acciones discrecionalmente en febrero de 2026 — señal positiva de conviction. Estructura de compensación ejecutiva: PRSUs ligadas a TSR relativo (vs. peers) y métricas operativas (EBITDA, FCF). Payout cap al 150% de target. Diseño sólido que alinea ejecutivos con accionistas de largo plazo.</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§5.9 Taxonomía del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Categoría Management</w:t>
            </w:r>
          </w:p>
        </w:tc>
        <w:tc>
          <w:tcPr>
            <w:tcW w:type="dxa" w:w="6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Evidencia</w:t>
            </w:r>
          </w:p>
        </w:tc>
      </w:tr>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SUPERIOR MANAGER</w:t>
            </w:r>
          </w:p>
        </w:tc>
        <w:tc>
          <w:tcPr>
            <w:tcW w:type="dxa" w:w="6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Transformó UBER de unicornio quemador crónico de caja a generador de FCF de ~$10.000M anuales.</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Criterio 1: Cambio estructural de trayectoria</w:t>
            </w:r>
          </w:p>
        </w:tc>
        <w:tc>
          <w:tcPr>
            <w:tcW w:type="dxa" w:w="6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Convirtió pérdidas GAAP de $5.200M (2019) en net income GAAP de $10.053M (FY2025).</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Criterio 2: Evidencia cuantitativa</w:t>
            </w:r>
          </w:p>
        </w:tc>
        <w:tc>
          <w:tcPr>
            <w:tcW w:type="dxa" w:w="6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ROIC: de −25% (FY2020) → +27,88% (FY2025). FCF margin: negativo → +18,8% (FY2025). GAAP profit desde FY2023.</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Criterio 3: Decisiones estratégicas correctas</w:t>
            </w:r>
          </w:p>
        </w:tc>
        <w:tc>
          <w:tcPr>
            <w:tcW w:type="dxa" w:w="6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Salida de ATG (autónomo) a Aurora; exit de China y SEA; adquisición Careem; pivot a AV como aggregator; lanzamiento advertising layer. Todas han generado valor.</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§5.10 Comunicación con Inversores</w:t>
      </w:r>
    </w:p>
    <w:p>
      <w:pPr>
        <w:spacing w:after="80" w:before="80"/>
      </w:pPr>
      <w:r>
        <w:rPr>
          <w:rFonts w:ascii="Calibri" w:cs="Calibri" w:eastAsia="Calibri" w:hAnsi="Calibri"/>
          <w:b w:val="false"/>
          <w:bCs w:val="false"/>
          <w:i w:val="false"/>
          <w:iCs w:val="false"/>
          <w:color w:val="1A1A1A"/>
          <w:sz w:val="20"/>
          <w:szCs w:val="20"/>
        </w:rPr>
        <w:t xml:space="preserve">Khosrowshahi es reconocido por comunicación clara, guías conservadoras y beats consistentes. En earnings calls 2024-2025: transparente sobre riesgos de competencia AV (no minimiza amenaza Tesla/Waymo, articula posicionamiento como aggregator neutral); consistente en targets de largo plazo; raro en actualizar guidance al alza sin evidencia sólida. Krishnamurthy como nuevo CFO proviene del equipo de IR — augura buena continuidad en comunicación financiera.</w:t>
      </w:r>
    </w:p>
    <w:p>
      <w:pPr>
        <w:pStyle w:val="Heading1"/>
        <w:pageBreakBefore/>
        <w:spacing w:after="120" w:before="240"/>
      </w:pPr>
      <w:r>
        <w:rPr>
          <w:rFonts w:ascii="Calibri" w:cs="Calibri" w:eastAsia="Calibri" w:hAnsi="Calibri"/>
          <w:b/>
          <w:bCs/>
          <w:color w:val="1B2642"/>
          <w:sz w:val="36"/>
          <w:szCs w:val="36"/>
        </w:rPr>
        <w:t xml:space="preserve">§6 — ANÁLISIS FINANCIERO</w:t>
      </w:r>
    </w:p>
    <w:p>
      <w:pPr>
        <w:pStyle w:val="Heading2"/>
        <w:spacing w:after="80" w:before="200"/>
      </w:pPr>
      <w:r>
        <w:rPr>
          <w:rFonts w:ascii="Calibri" w:cs="Calibri" w:eastAsia="Calibri" w:hAnsi="Calibri"/>
          <w:b/>
          <w:bCs/>
          <w:color w:val="1B2642"/>
          <w:sz w:val="28"/>
          <w:szCs w:val="28"/>
        </w:rPr>
        <w:t xml:space="preserve">§6.1 Estado de Resultados (IS) — FY2020-FY2025 (USD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1193"/>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FY2020</w:t>
            </w:r>
          </w:p>
        </w:tc>
        <w:tc>
          <w:tcPr>
            <w:tcW w:type="dxa" w:w="1193"/>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FY2021</w:t>
            </w:r>
          </w:p>
        </w:tc>
        <w:tc>
          <w:tcPr>
            <w:tcW w:type="dxa" w:w="1193"/>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FY2022</w:t>
            </w:r>
          </w:p>
        </w:tc>
        <w:tc>
          <w:tcPr>
            <w:tcW w:type="dxa" w:w="1193"/>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FY2023</w:t>
            </w:r>
          </w:p>
        </w:tc>
        <w:tc>
          <w:tcPr>
            <w:tcW w:type="dxa" w:w="1193"/>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w:t>
            </w:r>
          </w:p>
        </w:tc>
        <w:tc>
          <w:tcPr>
            <w:tcW w:type="dxa" w:w="119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 (LTM)</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Revenue</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$11.139M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$17.455M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$31.877M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$37.281M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$43.978M</w:t>
            </w:r>
          </w:p>
        </w:tc>
        <w:tc>
          <w:tcPr>
            <w:tcW w:type="dxa" w:w="119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$52.017M</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Crecimiento YoY</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+56,7%</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+82,6%</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+17,0%</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+18,0%</w:t>
            </w:r>
          </w:p>
        </w:tc>
        <w:tc>
          <w:tcPr>
            <w:tcW w:type="dxa" w:w="119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+18,3%</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Operating Income (GAAP)</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($4.863M)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($3.834M)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($1.832M)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$1.110M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$2.799M</w:t>
            </w:r>
          </w:p>
        </w:tc>
        <w:tc>
          <w:tcPr>
            <w:tcW w:type="dxa" w:w="119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$5.565M</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Margen Operativo</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2,98%</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6,36%</w:t>
            </w:r>
          </w:p>
        </w:tc>
        <w:tc>
          <w:tcPr>
            <w:tcW w:type="dxa" w:w="119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10,70%</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Net Income (GAAP)</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($6.754M)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($533M)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($9.245M)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$2.108M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$9.883M</w:t>
            </w:r>
          </w:p>
        </w:tc>
        <w:tc>
          <w:tcPr>
            <w:tcW w:type="dxa" w:w="119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$10.146M*</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EPS Diluido</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$0,98</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$4,49</w:t>
            </w:r>
          </w:p>
        </w:tc>
        <w:tc>
          <w:tcPr>
            <w:tcW w:type="dxa" w:w="119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$4,73*</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EBITDA Ajustado</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$665M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$4.177M</w:t>
            </w:r>
          </w:p>
        </w:tc>
        <w:tc>
          <w:tcPr>
            <w:tcW w:type="dxa" w:w="1193"/>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$6.484M</w:t>
            </w:r>
          </w:p>
        </w:tc>
        <w:tc>
          <w:tcPr>
            <w:tcW w:type="dxa" w:w="119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$8.730M</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Free Cash Flow</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$3.360M</w:t>
            </w:r>
          </w:p>
        </w:tc>
        <w:tc>
          <w:tcPr>
            <w:tcW w:type="dxa" w:w="1193"/>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$6.895M</w:t>
            </w:r>
          </w:p>
        </w:tc>
        <w:tc>
          <w:tcPr>
            <w:tcW w:type="dxa" w:w="1195"/>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$9.763M</w:t>
            </w:r>
          </w:p>
        </w:tc>
      </w:tr>
    </w:tbl>
    <w:p>
      <w:pPr>
        <w:spacing w:after="0" w:before="6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 NI LTM FY2025 distorsionado por liberación de DTA no recurrente de ~$5.800M. EPS normalizado sería materialmente menor.</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§6.2 Balance General (BS) —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Partida de Balance</w:t>
            </w:r>
          </w:p>
        </w:tc>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 (USD M)</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Caja y equivalentes</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~$7.000M+ (post-recompras Q1 2026)</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Activos totales</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~$37.000-39.000M</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Deuda a largo plazo</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~$8.900M (notas senior unsecured)</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Capital Invertido (IC) FY2025</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$18.056M (base ROIC seleccionado)</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Goodwill + Intangibles (Careem, Postmates)</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~$10.000M+ (RV = 0% en Goodwill)</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Deuda Neta</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~$4.900M (EV - Market Cap)</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Balance Check (BS Balanceado)</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PASS (todos los años FY20-25)</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§6.3 Estado de Flujo de Caja (CF) — Métricas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 de CF</w:t>
            </w:r>
          </w:p>
        </w:tc>
        <w:tc>
          <w:tcPr>
            <w:tcW w:type="dxa" w:w="16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FY2023</w:t>
            </w:r>
          </w:p>
        </w:tc>
        <w:tc>
          <w:tcPr>
            <w:tcW w:type="dxa" w:w="16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w:t>
            </w:r>
          </w:p>
        </w:tc>
        <w:tc>
          <w:tcPr>
            <w:tcW w:type="dxa" w:w="31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 (LTM)</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Operating Cash Flow</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$3.616M</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$7.005M</w:t>
            </w:r>
          </w:p>
        </w:tc>
        <w:tc>
          <w:tcPr>
            <w:tcW w:type="dxa" w:w="31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$9.981M</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CapEx (neto)</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($256M)</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($110M)</w:t>
            </w:r>
          </w:p>
        </w:tc>
        <w:tc>
          <w:tcPr>
            <w:tcW w:type="dxa" w:w="31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($218M)</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Free Cash Flow</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$3.360M</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$6.895M</w:t>
            </w:r>
          </w:p>
        </w:tc>
        <w:tc>
          <w:tcPr>
            <w:tcW w:type="dxa" w:w="31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$9.763M</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FCF Margin (%Revenue)</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9,01%</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15,68%</w:t>
            </w:r>
          </w:p>
        </w:tc>
        <w:tc>
          <w:tcPr>
            <w:tcW w:type="dxa" w:w="31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18,77%</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Recompras de Acciones</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$0</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~$1.500M (inicio)</w:t>
            </w:r>
          </w:p>
        </w:tc>
        <w:tc>
          <w:tcPr>
            <w:tcW w:type="dxa" w:w="31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~$4.000M/año sostenido (DP16)</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§6.4 Ratios vs.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UBER</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DoorDash</w:t>
            </w:r>
          </w:p>
        </w:tc>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Lyft</w:t>
            </w:r>
          </w:p>
        </w:tc>
        <w:tc>
          <w:tcPr>
            <w:tcW w:type="dxa" w:w="2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Comentario</w:t>
            </w:r>
          </w:p>
        </w:tc>
      </w:tr>
      <w:tr>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P/E GAAP LTM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~14-17×*</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~85×</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~25×</w:t>
            </w:r>
          </w:p>
        </w:tc>
        <w:tc>
          <w:tcPr>
            <w:tcW w:type="dxa" w:w="2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*Distorsionado por DTA; normalizado ~28-32×</w:t>
            </w:r>
          </w:p>
        </w:tc>
      </w:tr>
      <w:tr>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EV/EBITDA LTM</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~17-18×</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~45×</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w:t>
            </w:r>
          </w:p>
        </w:tc>
        <w:tc>
          <w:tcPr>
            <w:tcW w:type="dxa" w:w="2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premium justificado por escala + FCF + opcionalidad AV</w:t>
            </w:r>
          </w:p>
        </w:tc>
      </w:tr>
      <w:tr>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EV/Revenue LTM</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~3,0×</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w:t>
            </w:r>
          </w:p>
        </w:tc>
        <w:tc>
          <w:tcPr>
            <w:tcW w:type="dxa" w:w="2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w:r>
          </w:p>
        </w:tc>
      </w:tr>
      <w:tr>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FCF Yield</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~6,7%</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Negativo</w:t>
            </w:r>
          </w:p>
        </w:tc>
        <w:tc>
          <w:tcPr>
            <w:tcW w:type="dxa" w:w="1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Marginal</w:t>
            </w:r>
          </w:p>
        </w:tc>
        <w:tc>
          <w:tcPr>
            <w:tcW w:type="dxa" w:w="2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único con FCF yield significativo en el sector</w:t>
            </w:r>
          </w:p>
        </w:tc>
      </w:tr>
      <w:tr>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ROIC (selec.)</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20,39%</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N/A (pérdidas)</w:t>
            </w:r>
          </w:p>
        </w:tc>
        <w:tc>
          <w:tcPr>
            <w:tcW w:type="dxa" w:w="1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w:t>
            </w:r>
          </w:p>
        </w:tc>
        <w:tc>
          <w:tcPr>
            <w:tcW w:type="dxa" w:w="2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WACC estimado sector: 10-12%</w:t>
            </w:r>
          </w:p>
        </w:tc>
      </w:tr>
    </w:tbl>
    <w:p>
      <w:pPr>
        <w:spacing w:after="0" w:before="6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Nota: múltiplos estimados con base en datos disponibles a mayo de 2026. *P/E normalizado (tax rate 21%, sin DTA no recurrente) ≈ 28-32×.</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§6.5 Tabla ROIC — FY2021-FY2025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1372"/>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FY2021</w:t>
            </w:r>
          </w:p>
        </w:tc>
        <w:tc>
          <w:tcPr>
            <w:tcW w:type="dxa" w:w="1372"/>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FY2022</w:t>
            </w:r>
          </w:p>
        </w:tc>
        <w:tc>
          <w:tcPr>
            <w:tcW w:type="dxa" w:w="1372"/>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FY2023</w:t>
            </w:r>
          </w:p>
        </w:tc>
        <w:tc>
          <w:tcPr>
            <w:tcW w:type="dxa" w:w="1372"/>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w:t>
            </w:r>
          </w:p>
        </w:tc>
        <w:tc>
          <w:tcPr>
            <w:tcW w:type="dxa" w:w="1372"/>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NOPAT Ajustado (USD M)</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$1.107M</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$1.869M</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$2.806M</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$2.733M</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$5.035M</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Capital Invertido (IC) (USD M)</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$5.769M</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$12.606M</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$16.893M</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$16.397M</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$18.056M</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ROIC (%)</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19,19%</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14,83%</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16,61%</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16,67%</w:t>
            </w:r>
          </w:p>
        </w:tc>
        <w:tc>
          <w:tcPr>
            <w:tcW w:type="dxa" w:w="1372"/>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27,88%</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WACC (%)</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11,30%</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11,30%</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11,30%</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11,30%</w:t>
            </w:r>
          </w:p>
        </w:tc>
        <w:tc>
          <w:tcPr>
            <w:tcW w:type="dxa" w:w="1372"/>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11,30%</w:t>
            </w:r>
          </w:p>
        </w:tc>
      </w:tr>
      <w:tr>
        <w:tc>
          <w:tcPr>
            <w:tcW w:type="dxa" w:w="25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Spread ROIC-WACC</w:t>
            </w:r>
          </w:p>
        </w:tc>
        <w:tc>
          <w:tcPr>
            <w:tcW w:type="dxa" w:w="1372"/>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+8,31pp</w:t>
            </w:r>
          </w:p>
        </w:tc>
        <w:tc>
          <w:tcPr>
            <w:tcW w:type="dxa" w:w="1372"/>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+3,95pp</w:t>
            </w:r>
          </w:p>
        </w:tc>
        <w:tc>
          <w:tcPr>
            <w:tcW w:type="dxa" w:w="1372"/>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+5,74pp</w:t>
            </w:r>
          </w:p>
        </w:tc>
        <w:tc>
          <w:tcPr>
            <w:tcW w:type="dxa" w:w="1372"/>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+5,80pp</w:t>
            </w:r>
          </w:p>
        </w:tc>
        <w:tc>
          <w:tcPr>
            <w:tcW w:type="dxa" w:w="1372"/>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+17,01pp</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ROIC Seleccionado (media FY23-25, donde IC&gt;0): 20,39%. Confirma generación de valor económico sostenida y ampliándose. WACC = 11,3% (Rf 4,3% + β1,30 × ERP 5,5%, Kd 5,0%, D/E ~3%) — cumple IPS USD floor 10%.</w:t>
      </w:r>
    </w:p>
    <w:p>
      <w:pPr>
        <w:pStyle w:val="Heading1"/>
        <w:pageBreakBefore/>
        <w:spacing w:after="120" w:before="240"/>
      </w:pPr>
      <w:r>
        <w:rPr>
          <w:rFonts w:ascii="Calibri" w:cs="Calibri" w:eastAsia="Calibri" w:hAnsi="Calibri"/>
          <w:b/>
          <w:bCs/>
          <w:color w:val="1B2642"/>
          <w:sz w:val="36"/>
          <w:szCs w:val="36"/>
        </w:rPr>
        <w:t xml:space="preserve">§7 — VALORACIÓN GREENWALD</w:t>
      </w:r>
    </w:p>
    <w:p>
      <w:pPr>
        <w:pStyle w:val="Heading2"/>
        <w:spacing w:after="80" w:before="200"/>
      </w:pPr>
      <w:r>
        <w:rPr>
          <w:rFonts w:ascii="Calibri" w:cs="Calibri" w:eastAsia="Calibri" w:hAnsi="Calibri"/>
          <w:b/>
          <w:bCs/>
          <w:color w:val="1B2642"/>
          <w:sz w:val="28"/>
          <w:szCs w:val="28"/>
        </w:rPr>
        <w:t xml:space="preserve">§7.1 Contexto y Marco Metodológico</w:t>
      </w:r>
    </w:p>
    <w:p>
      <w:pPr>
        <w:spacing w:after="80" w:before="80"/>
      </w:pPr>
      <w:r>
        <w:rPr>
          <w:rFonts w:ascii="Calibri" w:cs="Calibri" w:eastAsia="Calibri" w:hAnsi="Calibri"/>
          <w:b w:val="false"/>
          <w:bCs w:val="false"/>
          <w:i w:val="false"/>
          <w:iCs w:val="false"/>
          <w:color w:val="1A1A1A"/>
          <w:sz w:val="20"/>
          <w:szCs w:val="20"/>
        </w:rPr>
        <w:t xml:space="preserve">Se aplica la metodología de valoración en tres pasos de Bruce Greenwald (Columbia Business School): (1) Valor de Reproducción (RV) — costo de replicar los activos; (2) Earnings Power Value (EPV) — valor capitalizado de los earnings normalizados actuales; (3) Franchise Value — premium que el mercado paga sobre EPV por expectativas de crecimiento con rentabilidad superior al costo de capital.</w:t>
      </w:r>
    </w:p>
    <w:p>
      <w:pPr>
        <w:spacing w:after="80" w:before="80"/>
      </w:pPr>
      <w:r>
        <w:rPr>
          <w:rFonts w:ascii="Calibri" w:cs="Calibri" w:eastAsia="Calibri" w:hAnsi="Calibri"/>
          <w:b w:val="false"/>
          <w:bCs w:val="false"/>
          <w:i w:val="false"/>
          <w:iCs w:val="false"/>
          <w:color w:val="1A1A1A"/>
          <w:sz w:val="20"/>
          <w:szCs w:val="20"/>
        </w:rPr>
        <w:t xml:space="preserve">Al precio actual de $70,40, ninguna métrica Greenwald soporta el precio. El mercado paga exclusivamente opcionalidad de la era AV. Este es el Caso 4 de la Escalera de Greenwald.</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§7.2 Valoración por Múltiplos vs.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Múltiplo</w:t>
            </w:r>
          </w:p>
        </w:tc>
        <w:tc>
          <w:tcPr>
            <w:tcW w:type="dxa" w:w="16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UBER LTM</w:t>
            </w:r>
          </w:p>
        </w:tc>
        <w:tc>
          <w:tcPr>
            <w:tcW w:type="dxa" w:w="16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DoorDash</w:t>
            </w:r>
          </w:p>
        </w:tc>
        <w:tc>
          <w:tcPr>
            <w:tcW w:type="dxa" w:w="16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Lyft</w:t>
            </w:r>
          </w:p>
        </w:tc>
        <w:tc>
          <w:tcPr>
            <w:tcW w:type="dxa" w:w="27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Premium / Descuento</w:t>
            </w:r>
          </w:p>
        </w:tc>
      </w:tr>
      <w:tr>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EV/Revenue</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~3,0×</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w:t>
            </w:r>
          </w:p>
        </w:tc>
        <w:tc>
          <w:tcPr>
            <w:tcW w:type="dxa" w:w="2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Premium moderado vs. Lyft; descuento vs. DoorDash</w:t>
            </w:r>
          </w:p>
        </w:tc>
      </w:tr>
      <w:tr>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EV/EBITDA</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~17-18×</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~45×</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w:t>
            </w:r>
          </w:p>
        </w:tc>
        <w:tc>
          <w:tcPr>
            <w:tcW w:type="dxa" w:w="2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Descuento sustancial vs. DoorDash; leve premium vs. Lyft</w:t>
            </w:r>
          </w:p>
        </w:tc>
      </w:tr>
      <w:tr>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P/E GAAP (normalizado)</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~28-32×</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~85×</w:t>
            </w:r>
          </w:p>
        </w:tc>
        <w:tc>
          <w:tcPr>
            <w:tcW w:type="dxa" w:w="16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~25×</w:t>
            </w:r>
          </w:p>
        </w:tc>
        <w:tc>
          <w:tcPr>
            <w:tcW w:type="dxa" w:w="2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Razonable dado crecimiento del 20%+ en Gross Bookings</w:t>
            </w:r>
          </w:p>
        </w:tc>
      </w:tr>
      <w:tr>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FCF Yield</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~6,7%</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Negativo</w:t>
            </w:r>
          </w:p>
        </w:tc>
        <w:tc>
          <w:tcPr>
            <w:tcW w:type="dxa" w:w="16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Marginal</w:t>
            </w:r>
          </w:p>
        </w:tc>
        <w:tc>
          <w:tcPr>
            <w:tcW w:type="dxa" w:w="2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único con FCF yield significativo en el sector</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§7.3 Valoración Greenwald Detallada</w:t>
      </w:r>
    </w:p>
    <w:p>
      <w:pPr>
        <w:pStyle w:val="Heading3"/>
        <w:spacing w:after="60" w:before="160"/>
      </w:pPr>
      <w:r>
        <w:rPr>
          <w:rFonts w:ascii="Calibri" w:cs="Calibri" w:eastAsia="Calibri" w:hAnsi="Calibri"/>
          <w:b/>
          <w:bCs/>
          <w:color w:val="B88B47"/>
          <w:sz w:val="24"/>
          <w:szCs w:val="24"/>
        </w:rPr>
        <w:t xml:space="preserve">§7.3.1 Valor de Reproducción (RV) — Activos Tangibles + Intangibles</w:t>
      </w:r>
    </w:p>
    <w:p>
      <w:pPr>
        <w:spacing w:after="80" w:before="80"/>
      </w:pPr>
      <w:r>
        <w:rPr>
          <w:rFonts w:ascii="Calibri" w:cs="Calibri" w:eastAsia="Calibri" w:hAnsi="Calibri"/>
          <w:b w:val="false"/>
          <w:bCs w:val="false"/>
          <w:i w:val="false"/>
          <w:iCs w:val="false"/>
          <w:color w:val="1A1A1A"/>
          <w:sz w:val="20"/>
          <w:szCs w:val="20"/>
        </w:rPr>
        <w:t xml:space="preserve">El RV estima el costo de reproducir los activos de Uber para un competidor entrante con acceso a capital. Los activos tangibles se valoran a valor contable ajustado; los intangibles se valoran según la lógica económica de las inversiones necesarias para replicarlos.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Categoría de Activo</w:t>
            </w:r>
          </w:p>
        </w:tc>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Método de Valoración RV</w:t>
            </w:r>
          </w:p>
        </w:tc>
        <w:tc>
          <w:tcPr>
            <w:tcW w:type="dxa" w:w="1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 RV (USD M)</w:t>
            </w:r>
          </w:p>
        </w:tc>
        <w:tc>
          <w:tcPr>
            <w:tcW w:type="dxa" w:w="1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DP Asociado</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Activos Fijos Netos (PP&amp;E)</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Valor contable ajustado (sin depreciación discrecional)</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~$1.400M</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DP9 (Lease)</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Capital de Trabajo Neto</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Activos corrientes menos pasivos corrientes operativos</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~($1.500M)</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CAC Capitalizado (base MAUs)</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CAC × MAUs activos (202M × $20 avg)</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~$4.040M</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DP13</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S&amp;M Amortizable (últimos 7 años × 60%)</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S&amp;M capitalizado según vida útil DP3 (4 años)</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~$3.200M</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DP1, DP3</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I+D Capitalizado</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R&amp;D capitalizado según vida útil DP4 (5 años)</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~$4.100M</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DP2, DP4</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Activos por Impuesto Diferido (DTA)</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DTA × DP14 (70% del valor contable)</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~$3.600M</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DP14</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Goodwill</w:t>
            </w:r>
          </w:p>
        </w:tc>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DP12: 0% (no reproducible por un competidor racional)</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$0</w:t>
            </w:r>
          </w:p>
        </w:tc>
        <w:tc>
          <w:tcPr>
            <w:tcW w:type="dxa" w:w="1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DP12</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Participaciones Equity (DiDi, Grab, Aurora)</w:t>
            </w:r>
          </w:p>
        </w:tc>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DP10: valor de mercado marcado a mercado</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~$1.900M</w:t>
            </w:r>
          </w:p>
        </w:tc>
        <w:tc>
          <w:tcPr>
            <w:tcW w:type="dxa" w:w="1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DP10</w:t>
            </w:r>
          </w:p>
        </w:tc>
      </w:tr>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RV TOTAL (Equity)</w:t>
            </w:r>
          </w:p>
        </w:tc>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Suma activos RV menos Deuda Neta ($4.900M)</w:t>
            </w:r>
          </w:p>
        </w:tc>
        <w:tc>
          <w:tcPr>
            <w:tcW w:type="dxa" w:w="1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~$26.750M</w:t>
            </w:r>
          </w:p>
        </w:tc>
        <w:tc>
          <w:tcPr>
            <w:tcW w:type="dxa" w:w="1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r>
      <w:tr>
        <w:tc>
          <w:tcPr>
            <w:tcW w:type="dxa" w:w="300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RV POR ACCIÓN</w:t>
            </w:r>
          </w:p>
        </w:tc>
        <w:tc>
          <w:tcPr>
            <w:tcW w:type="dxa" w:w="300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RV equity / Acciones diluidas (2.119,69M)</w:t>
            </w:r>
          </w:p>
        </w:tc>
        <w:tc>
          <w:tcPr>
            <w:tcW w:type="dxa" w:w="168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$12,64</w:t>
            </w:r>
          </w:p>
        </w:tc>
        <w:tc>
          <w:tcPr>
            <w:tcW w:type="dxa" w:w="168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r>
    </w:tbl>
    <w:p>
      <w:pPr>
        <w:spacing w:after="0" w:before="6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Mercado paga 5,6× el RV → precio embebe crecimiento + opcionalidad AV. Fuente: Columbia Model v4.3, Excel sheet IRR.</w:t>
      </w:r>
    </w:p>
    <w:p>
      <w:pPr>
        <w:spacing w:after="0" w:before="120"/>
      </w:pPr>
      <w:r>
        <w:rPr>
          <w:sz w:val="20"/>
          <w:szCs w:val="20"/>
        </w:rPr>
        <w:t xml:space="preserve"/>
      </w:r>
    </w:p>
    <w:p>
      <w:pPr>
        <w:pStyle w:val="Heading3"/>
        <w:spacing w:after="60" w:before="160"/>
      </w:pPr>
      <w:r>
        <w:rPr>
          <w:rFonts w:ascii="Calibri" w:cs="Calibri" w:eastAsia="Calibri" w:hAnsi="Calibri"/>
          <w:b/>
          <w:bCs/>
          <w:color w:val="B88B47"/>
          <w:sz w:val="24"/>
          <w:szCs w:val="24"/>
        </w:rPr>
        <w:t xml:space="preserve">§7.3.2 Earnings Power Value (EPV) — Sensibilidad</w:t>
      </w:r>
    </w:p>
    <w:p>
      <w:pPr>
        <w:spacing w:after="80" w:before="80"/>
      </w:pPr>
      <w:r>
        <w:rPr>
          <w:rFonts w:ascii="Calibri" w:cs="Calibri" w:eastAsia="Calibri" w:hAnsi="Calibri"/>
          <w:b w:val="false"/>
          <w:bCs w:val="false"/>
          <w:i w:val="false"/>
          <w:iCs w:val="false"/>
          <w:color w:val="1A1A1A"/>
          <w:sz w:val="20"/>
          <w:szCs w:val="20"/>
        </w:rPr>
        <w:t xml:space="preserve">EPV = NOPAT Normalizado / WACC. El NOPAT normalizado utiliza el margen operativo normalizado sobre revenue LTM, ajustado por DP5-DP9.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WACC / Margen NOPAT</w:t>
            </w:r>
          </w:p>
        </w:tc>
        <w:tc>
          <w:tcPr>
            <w:tcW w:type="dxa" w:w="1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Margen 7%</w:t>
            </w:r>
          </w:p>
        </w:tc>
        <w:tc>
          <w:tcPr>
            <w:tcW w:type="dxa" w:w="1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Margen 8% (base)</w:t>
            </w:r>
          </w:p>
        </w:tc>
        <w:tc>
          <w:tcPr>
            <w:tcW w:type="dxa" w:w="1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Margen 9%</w:t>
            </w:r>
          </w:p>
        </w:tc>
        <w:tc>
          <w:tcPr>
            <w:tcW w:type="dxa" w:w="1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Margen 10%</w:t>
            </w:r>
          </w:p>
        </w:tc>
        <w:tc>
          <w:tcPr>
            <w:tcW w:type="dxa" w:w="132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Margen 11%</w:t>
            </w:r>
          </w:p>
        </w:tc>
      </w:tr>
      <w:tr>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WACC 10,0%</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$36,43</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$41,64</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$46,84</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$52,05</w:t>
            </w:r>
          </w:p>
        </w:tc>
        <w:tc>
          <w:tcPr>
            <w:tcW w:type="dxa" w:w="13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$57,25</w:t>
            </w:r>
          </w:p>
        </w:tc>
      </w:tr>
      <w:tr>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WACC 11,3% (base)</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$32,24</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$18,35</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$41,46</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$46,07</w:t>
            </w:r>
          </w:p>
        </w:tc>
        <w:tc>
          <w:tcPr>
            <w:tcW w:type="dxa" w:w="13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$50,68</w:t>
            </w:r>
          </w:p>
        </w:tc>
      </w:tr>
      <w:tr>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WACC 12,0%</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$30,36</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$17,27</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$39,04</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$43,37</w:t>
            </w:r>
          </w:p>
        </w:tc>
        <w:tc>
          <w:tcPr>
            <w:tcW w:type="dxa" w:w="132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$47,71</w:t>
            </w:r>
          </w:p>
        </w:tc>
      </w:tr>
      <w:tr>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WACC 13,0%</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$28,03</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$15,95</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$36,04</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$40,04</w:t>
            </w:r>
          </w:p>
        </w:tc>
        <w:tc>
          <w:tcPr>
            <w:tcW w:type="dxa" w:w="132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$44,05</w:t>
            </w:r>
          </w:p>
        </w:tc>
      </w:tr>
    </w:tbl>
    <w:p>
      <w:pPr>
        <w:spacing w:after="0" w:before="6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EPV base case: $18,35/acción (WACC 11,3%, margen NOPAT 8%). En ningún escenario razonable el EPV alcanza el precio de $70,40 — confirma Caso 4. Fuente: Columbia Model v4.3.</w:t>
      </w:r>
    </w:p>
    <w:p>
      <w:pPr>
        <w:spacing w:after="0" w:before="120"/>
      </w:pPr>
      <w:r>
        <w:rPr>
          <w:sz w:val="20"/>
          <w:szCs w:val="20"/>
        </w:rPr>
        <w:t xml:space="preserve"/>
      </w:r>
    </w:p>
    <w:p>
      <w:pPr>
        <w:pStyle w:val="Heading3"/>
        <w:spacing w:after="60" w:before="160"/>
      </w:pPr>
      <w:r>
        <w:rPr>
          <w:rFonts w:ascii="Calibri" w:cs="Calibri" w:eastAsia="Calibri" w:hAnsi="Calibri"/>
          <w:b/>
          <w:bCs/>
          <w:color w:val="B88B47"/>
          <w:sz w:val="24"/>
          <w:szCs w:val="24"/>
        </w:rPr>
        <w:t xml:space="preserve">§7.3.3 Franchise Test</w:t>
      </w:r>
    </w:p>
    <w:p>
      <w:pPr>
        <w:spacing w:after="80" w:before="80"/>
      </w:pPr>
      <w:r>
        <w:rPr>
          <w:rFonts w:ascii="Calibri" w:cs="Calibri" w:eastAsia="Calibri" w:hAnsi="Calibri"/>
          <w:b w:val="false"/>
          <w:bCs w:val="false"/>
          <w:i w:val="false"/>
          <w:iCs w:val="false"/>
          <w:color w:val="1A1A1A"/>
          <w:sz w:val="20"/>
          <w:szCs w:val="20"/>
        </w:rPr>
        <w:t xml:space="preserve">Franchise Test = EPV/RV = $18,35 / $12,64 = 1,45×. Un ratio &gt;1 confirma que Uber posee un franchise real (genera earnings superiores al costo de capital). Sin embargo, un ratio de 1,45× es modesto, reflejo de que la ventaja competitiva es Medio-Fuerte y no es el tipo de franchise que justifica por sí solo el precio de mercado de $70,40.</w:t>
      </w:r>
    </w:p>
    <w:p>
      <w:pPr>
        <w:spacing w:after="0" w:before="80"/>
      </w:pPr>
      <w:r>
        <w:rPr>
          <w:sz w:val="20"/>
          <w:szCs w:val="20"/>
        </w:rPr>
        <w:t xml:space="preserve"/>
      </w:r>
    </w:p>
    <w:p>
      <w:pPr>
        <w:pStyle w:val="Heading3"/>
        <w:spacing w:after="60" w:before="160"/>
      </w:pPr>
      <w:r>
        <w:rPr>
          <w:rFonts w:ascii="Calibri" w:cs="Calibri" w:eastAsia="Calibri" w:hAnsi="Calibri"/>
          <w:b/>
          <w:bCs/>
          <w:color w:val="B88B47"/>
          <w:sz w:val="24"/>
          <w:szCs w:val="24"/>
        </w:rPr>
        <w:t xml:space="preserve">§7.3.4 θ_firm — Test de Creación de Valor Sostenida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Componente</w:t>
            </w:r>
          </w:p>
        </w:tc>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ROIC Seleccionado (media FY23-25)</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20,39%</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Tasa de Reinversión (Reinvestment Rate LTM)</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21,96%</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θ_firm = ROIC × (1 − Reinv. Rate)</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20,39% × (1 − 21,96%) = 15,91%</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WACC</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11,30%</w:t>
            </w:r>
          </w:p>
        </w:tc>
      </w:tr>
      <w:tr>
        <w:tc>
          <w:tcPr>
            <w:tcW w:type="dxa" w:w="468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Spread θ_firm − WACC</w:t>
            </w:r>
          </w:p>
        </w:tc>
        <w:tc>
          <w:tcPr>
            <w:tcW w:type="dxa" w:w="468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+4,61pp → Confirma moat genera valor por encima del costo de capital</w:t>
            </w:r>
          </w:p>
        </w:tc>
      </w:tr>
    </w:tbl>
    <w:p>
      <w:pPr>
        <w:spacing w:after="0" w:before="120"/>
      </w:pPr>
      <w:r>
        <w:rPr>
          <w:sz w:val="20"/>
          <w:szCs w:val="20"/>
        </w:rPr>
        <w:t xml:space="preserve"/>
      </w:r>
    </w:p>
    <w:p>
      <w:pPr>
        <w:pStyle w:val="Heading3"/>
        <w:spacing w:after="60" w:before="160"/>
      </w:pPr>
      <w:r>
        <w:rPr>
          <w:rFonts w:ascii="Calibri" w:cs="Calibri" w:eastAsia="Calibri" w:hAnsi="Calibri"/>
          <w:b/>
          <w:bCs/>
          <w:color w:val="B88B47"/>
          <w:sz w:val="24"/>
          <w:szCs w:val="24"/>
        </w:rPr>
        <w:t xml:space="preserve">§7.3.5 IRR Decomposition — Tenedor de Equity a Precio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Componente del IRR</w:t>
            </w:r>
          </w:p>
        </w:tc>
        <w:tc>
          <w:tcPr>
            <w:tcW w:type="dxa" w:w="4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Distribution Yield (Buybacks $4.000M + Intereses $440M / EV)</w:t>
            </w:r>
          </w:p>
        </w:tc>
        <w:tc>
          <w:tcPr>
            <w:tcW w:type="dxa" w:w="4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+2,87%/año</w:t>
            </w:r>
          </w:p>
        </w:tc>
      </w:tr>
      <w:tr>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Growth por Reinversión (Reinv. Rate × ROIC sel.)</w:t>
            </w:r>
          </w:p>
        </w:tc>
        <w:tc>
          <w:tcPr>
            <w:tcW w:type="dxa" w:w="4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+4,48%/año</w:t>
            </w:r>
          </w:p>
        </w:tc>
      </w:tr>
      <w:tr>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Crecimiento Orgánico (DP17: g = 2%)</w:t>
            </w:r>
          </w:p>
        </w:tc>
        <w:tc>
          <w:tcPr>
            <w:tcW w:type="dxa" w:w="4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+2,00%/año</w:t>
            </w:r>
          </w:p>
        </w:tc>
      </w:tr>
      <w:tr>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Crecimiento Total</w:t>
            </w:r>
          </w:p>
        </w:tc>
        <w:tc>
          <w:tcPr>
            <w:tcW w:type="dxa" w:w="4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+6,48%/año</w:t>
            </w:r>
          </w:p>
        </w:tc>
      </w:tr>
      <w:tr>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Impacto de Múltiplo (compresión 39,4× → 18× EV/NOPAT en 5 años)</w:t>
            </w:r>
          </w:p>
        </w:tc>
        <w:tc>
          <w:tcPr>
            <w:tcW w:type="dxa" w:w="4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−14,51%/año</w:t>
            </w:r>
          </w:p>
        </w:tc>
      </w:tr>
      <w:tr>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Enterprise Return</w:t>
            </w:r>
          </w:p>
        </w:tc>
        <w:tc>
          <w:tcPr>
            <w:tcW w:type="dxa" w:w="4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−5,17%/año</w:t>
            </w:r>
          </w:p>
        </w:tc>
      </w:tr>
      <w:tr>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Equity Return (con apalancamiento)</w:t>
            </w:r>
          </w:p>
        </w:tc>
        <w:tc>
          <w:tcPr>
            <w:tcW w:type="dxa" w:w="4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−5,81%/año</w:t>
            </w:r>
          </w:p>
        </w:tc>
      </w:tr>
      <w:tr>
        <w:tc>
          <w:tcPr>
            <w:tcW w:type="dxa" w:w="500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MoS vs. Hurdle (12% IPS)</w:t>
            </w:r>
          </w:p>
        </w:tc>
        <w:tc>
          <w:tcPr>
            <w:tcW w:type="dxa" w:w="436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−17,81pp — INSUFICIENTE</w:t>
            </w:r>
          </w:p>
        </w:tc>
      </w:tr>
    </w:tbl>
    <w:p>
      <w:pPr>
        <w:spacing w:after="0" w:before="60"/>
      </w:pPr>
      <w:r>
        <w:rPr>
          <w:sz w:val="20"/>
          <w:szCs w:val="20"/>
        </w:rPr>
        <w:t xml:space="preserve"/>
      </w:r>
    </w:p>
    <w:p>
      <w:pPr>
        <w:spacing w:after="80" w:before="80"/>
      </w:pPr>
      <w:r>
        <w:rPr>
          <w:rFonts w:ascii="Calibri" w:cs="Calibri" w:eastAsia="Calibri" w:hAnsi="Calibri"/>
          <w:b w:val="false"/>
          <w:bCs w:val="false"/>
          <w:i/>
          <w:iCs/>
          <w:color w:val="666666"/>
          <w:sz w:val="16"/>
          <w:szCs w:val="16"/>
        </w:rPr>
        <w:t xml:space="preserve">El factor dominante en la destrucción de retorno es la compresión de múltiplos desde el múltiplo implícito actual (39,4× EV/NOPAT) al múltiplo de salida normalizado (DP15: 18× EV/NOPAT). Sin expansión futura de múltiplos, el IRR es negativo para el tenedor de equity.</w:t>
      </w:r>
    </w:p>
    <w:p>
      <w:pPr>
        <w:spacing w:after="0" w:before="120"/>
      </w:pPr>
      <w:r>
        <w:rPr>
          <w:sz w:val="20"/>
          <w:szCs w:val="20"/>
        </w:rPr>
        <w:t xml:space="preserve"/>
      </w:r>
    </w:p>
    <w:p>
      <w:pPr>
        <w:pStyle w:val="Heading3"/>
        <w:spacing w:after="60" w:before="160"/>
      </w:pPr>
      <w:r>
        <w:rPr>
          <w:rFonts w:ascii="Calibri" w:cs="Calibri" w:eastAsia="Calibri" w:hAnsi="Calibri"/>
          <w:b/>
          <w:bCs/>
          <w:color w:val="B88B47"/>
          <w:sz w:val="24"/>
          <w:szCs w:val="24"/>
        </w:rPr>
        <w:t xml:space="preserve">§7.3.6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Parámetro Bear Case</w:t>
            </w:r>
          </w:p>
        </w:tc>
        <w:tc>
          <w:tcPr>
            <w:tcW w:type="dxa" w:w="468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NOPAT Normalizado Bear (margen 6% en lugar de 8%)</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$3.000M</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Exit Multiple Bear</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 EV/NOPAT</w:t>
            </w:r>
          </w:p>
        </w:tc>
      </w:tr>
      <w:tr>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EV Bear Implícito</w:t>
            </w:r>
          </w:p>
        </w:tc>
        <w:tc>
          <w:tcPr>
            <w:tcW w:type="dxa" w:w="468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12 × $3.000M = $36.000M</w:t>
            </w:r>
          </w:p>
        </w:tc>
      </w:tr>
      <w:tr>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EV Current</w:t>
            </w:r>
          </w:p>
        </w:tc>
        <w:tc>
          <w:tcPr>
            <w:tcW w:type="dxa" w:w="468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$153.504M (Overview) / $154.777M (IRR sheet)</w:t>
            </w:r>
          </w:p>
        </w:tc>
      </w:tr>
      <w:tr>
        <w:tc>
          <w:tcPr>
            <w:tcW w:type="dxa" w:w="4680"/>
            <w:tcBorders>
              <w:top w:val="single" w:color="B0B7C9" w:sz="4"/>
              <w:left w:val="single" w:color="B0B7C9" w:sz="4"/>
              <w:bottom w:val="single" w:color="B0B7C9" w:sz="4"/>
              <w:right w:val="single" w:color="B0B7C9" w:sz="4"/>
            </w:tcBorders>
            <w:shd w:fill="BB0000"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Downside Bear Case Total</w:t>
            </w:r>
          </w:p>
        </w:tc>
        <w:tc>
          <w:tcPr>
            <w:tcW w:type="dxa" w:w="4680"/>
            <w:tcBorders>
              <w:top w:val="single" w:color="B0B7C9" w:sz="4"/>
              <w:left w:val="single" w:color="B0B7C9" w:sz="4"/>
              <w:bottom w:val="single" w:color="B0B7C9" w:sz="4"/>
              <w:right w:val="single" w:color="B0B7C9" w:sz="4"/>
            </w:tcBorders>
            <w:shd w:fill="BB0000"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−77% en 5 años = −25%/año implícito (catastrophic)</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§7.4 Declaración de Escalera de Greenwald — CASO 4</w:t>
      </w:r>
    </w:p>
    <w:p>
      <w:pPr>
        <w:spacing w:after="80" w:before="80"/>
      </w:pPr>
      <w:r>
        <w:rPr>
          <w:rFonts w:ascii="Calibri" w:cs="Calibri" w:eastAsia="Calibri" w:hAnsi="Calibri"/>
          <w:b/>
          <w:bCs/>
          <w:i w:val="false"/>
          <w:iCs w:val="false"/>
          <w:color w:val="1B2642"/>
          <w:sz w:val="22"/>
          <w:szCs w:val="22"/>
        </w:rPr>
        <w:t xml:space="preserve">DECLARACIÓN OBLIGATORIA: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Escalera Greenwald</w:t>
            </w:r>
          </w:p>
        </w:tc>
        <w:tc>
          <w:tcPr>
            <w:tcW w:type="dxa" w:w="343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Condición</w:t>
            </w:r>
          </w:p>
        </w:tc>
        <w:tc>
          <w:tcPr>
            <w:tcW w:type="dxa" w:w="343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Resultado para UBER</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Caso 1: RV &gt; Precio</w:t>
            </w:r>
          </w:p>
        </w:tc>
        <w:tc>
          <w:tcPr>
            <w:tcW w:type="dxa" w:w="343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Activos cuestan menos que reproducirlos — compra evidente</w:t>
            </w:r>
          </w:p>
        </w:tc>
        <w:tc>
          <w:tcPr>
            <w:tcW w:type="dxa" w:w="343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NO — RV $12,64 &lt;&lt; Precio $70,40</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Caso 2: EPV &gt; Precio &gt; RV</w:t>
            </w:r>
          </w:p>
        </w:tc>
        <w:tc>
          <w:tcPr>
            <w:tcW w:type="dxa" w:w="343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Empresa gana más que el costo de capital pero activos en descuento</w:t>
            </w:r>
          </w:p>
        </w:tc>
        <w:tc>
          <w:tcPr>
            <w:tcW w:type="dxa" w:w="343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NO — EPV $18,35 &lt;&lt; Precio $70,40</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Caso 3: FV Razonable &gt; Precio</w:t>
            </w:r>
          </w:p>
        </w:tc>
        <w:tc>
          <w:tcPr>
            <w:tcW w:type="dxa" w:w="343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Franchise Value con crecimiento razonable justifica precio</w:t>
            </w:r>
          </w:p>
        </w:tc>
        <w:tc>
          <w:tcPr>
            <w:tcW w:type="dxa" w:w="343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NO — Ningún FV razonable alcanza $70,40</w:t>
            </w:r>
          </w:p>
        </w:tc>
      </w:tr>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CASO 4 (Uber)</w:t>
            </w:r>
          </w:p>
        </w:tc>
        <w:tc>
          <w:tcPr>
            <w:tcW w:type="dxa" w:w="343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Ni RV, ni EPV, ni FV razonable supera el precio — mercado paga EXCLUSIVAMENTE opcionalidad AV (crecimiento no lineal, escenario de aggregator)</w:t>
            </w:r>
          </w:p>
        </w:tc>
        <w:tc>
          <w:tcPr>
            <w:tcW w:type="dxa" w:w="3430"/>
            <w:tcBorders>
              <w:top w:val="single" w:color="B0B7C9" w:sz="4"/>
              <w:left w:val="single" w:color="B0B7C9" w:sz="4"/>
              <w:bottom w:val="single" w:color="B0B7C9" w:sz="4"/>
              <w:right w:val="single" w:color="B0B7C9" w:sz="4"/>
            </w:tcBorders>
            <w:shd w:fill="B88B47"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IRR = −5,81%/año. MoS = −17,81pp vs. hurdle 12%. EL MERCADO PAGA OPCIONALIDAD AV — no hay margen de seguridad convencional.</w:t>
            </w:r>
          </w:p>
        </w:tc>
      </w:tr>
    </w:tbl>
    <w:p>
      <w:pPr>
        <w:pStyle w:val="Heading1"/>
        <w:pageBreakBefore/>
        <w:spacing w:after="120" w:before="240"/>
      </w:pPr>
      <w:r>
        <w:rPr>
          <w:rFonts w:ascii="Calibri" w:cs="Calibri" w:eastAsia="Calibri" w:hAnsi="Calibri"/>
          <w:b/>
          <w:bCs/>
          <w:color w:val="1B2642"/>
          <w:sz w:val="36"/>
          <w:szCs w:val="36"/>
        </w:rPr>
        <w:t xml:space="preserve">§8 — CATALIZADORES</w:t>
      </w:r>
    </w:p>
    <w:p>
      <w:pPr>
        <w:pStyle w:val="Heading2"/>
        <w:spacing w:after="80" w:before="200"/>
      </w:pPr>
      <w:r>
        <w:rPr>
          <w:rFonts w:ascii="Calibri" w:cs="Calibri" w:eastAsia="Calibri" w:hAnsi="Calibri"/>
          <w:b/>
          <w:bCs/>
          <w:color w:val="1B2642"/>
          <w:sz w:val="28"/>
          <w:szCs w:val="28"/>
        </w:rPr>
        <w:t xml:space="preserve">§8.1 Catalizadores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Catalizador</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Potencial de Impacto</w:t>
            </w:r>
          </w:p>
        </w:tc>
        <w:tc>
          <w:tcPr>
            <w:tcW w:type="dxa" w:w="14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Plazo Estimado</w:t>
            </w:r>
          </w:p>
        </w:tc>
        <w:tc>
          <w:tcPr>
            <w:tcW w:type="dxa" w:w="31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Descripción</w:t>
            </w:r>
          </w:p>
        </w:tc>
      </w:tr>
      <w:tr>
        <w:tc>
          <w:tcPr>
            <w:tcW w:type="dxa" w:w="2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Uber One 50M → 100M+</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ALTO</w:t>
            </w:r>
          </w:p>
        </w:tc>
        <w:tc>
          <w:tcPr>
            <w:tcW w:type="dxa" w:w="1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12-24 meses</w:t>
            </w:r>
          </w:p>
        </w:tc>
        <w:tc>
          <w:tcPr>
            <w:tcW w:type="dxa" w:w="3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Cada miembro genera 3× Gross Bookings vs. no-miembro. Trayectoria hacia 70-100M en 2027-2028.</w:t>
            </w:r>
          </w:p>
        </w:tc>
      </w:tr>
      <w:tr>
        <w:tc>
          <w:tcPr>
            <w:tcW w:type="dxa" w:w="2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Advertising $2B → $4-5B</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ALTO (&gt;90% margen bruto)</w:t>
            </w:r>
          </w:p>
        </w:tc>
        <w:tc>
          <w:tcPr>
            <w:tcW w:type="dxa" w:w="1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18-36 meses</w:t>
            </w:r>
          </w:p>
        </w:tc>
        <w:tc>
          <w:tcPr>
            <w:tcW w:type="dxa" w:w="3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Negocio escalable sin costo marginal de conductores. Inventario publicitario crece con MAPCs.</w:t>
            </w:r>
          </w:p>
        </w:tc>
      </w:tr>
      <w:tr>
        <w:tc>
          <w:tcPr>
            <w:tcW w:type="dxa" w:w="2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Waymo + 18 partnerships AV</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TRANSFORMACIONAL (10+ años)</w:t>
            </w:r>
          </w:p>
        </w:tc>
        <w:tc>
          <w:tcPr>
            <w:tcW w:type="dxa" w:w="1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24-48 meses</w:t>
            </w:r>
          </w:p>
        </w:tc>
        <w:tc>
          <w:tcPr>
            <w:tcW w:type="dxa" w:w="3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Si escala a 100.000+ vehículos y Uber es canal de distribución preferente: sin pago a conductores, take rate más alto, margen mayor.</w:t>
            </w:r>
          </w:p>
        </w:tc>
      </w:tr>
      <w:tr>
        <w:tc>
          <w:tcPr>
            <w:tcW w:type="dxa" w:w="2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Recuperación cíclica Freight</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MODERADO</w:t>
            </w:r>
          </w:p>
        </w:tc>
        <w:tc>
          <w:tcPr>
            <w:tcW w:type="dxa" w:w="1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12-18 meses</w:t>
            </w:r>
          </w:p>
        </w:tc>
        <w:tc>
          <w:tcPr>
            <w:tcW w:type="dxa" w:w="31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Freight en recuperación post-corrección 2023-2024. Break-even o EBITDA positivo añade directamente al FCF.</w:t>
            </w:r>
          </w:p>
        </w:tc>
      </w:tr>
      <w:tr>
        <w:tc>
          <w:tcPr>
            <w:tcW w:type="dxa" w:w="2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EMEA momentum (+31% FY2025)</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MODERADO-ALTO</w:t>
            </w:r>
          </w:p>
        </w:tc>
        <w:tc>
          <w:tcPr>
            <w:tcW w:type="dxa" w:w="1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Continuo</w:t>
            </w:r>
          </w:p>
        </w:tc>
        <w:tc>
          <w:tcPr>
            <w:tcW w:type="dxa" w:w="31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UK ($10.609M) es el segundo mercado individual. Expansión en Alemania, Francia e Italia con Delivery.</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§8.2 Catalizadores de Mercado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Re-rating si AV se confirma como tailwind: Una narrativa creíble de que Uber es el "aggregator winner" de la era AV (análogo a Amazon en nube) justificaría expansión de múltiplo significativa.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S&amp;P 500 tailwind: La inclusión en enero de 2024 genera demanda estructural de fondos pasivos (~$300M+ de compras indexadas estimadas).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Programa de recompras de acciones: Con FCF de ~$10.000M, la recompra activa ($3.011M solo en Q1 2026) crea soporte al precio y reduce el share count.</w:t>
      </w:r>
    </w:p>
    <w:p>
      <w:pPr>
        <w:pStyle w:val="Heading1"/>
        <w:pageBreakBefore/>
        <w:spacing w:after="120" w:before="240"/>
      </w:pPr>
      <w:r>
        <w:rPr>
          <w:rFonts w:ascii="Calibri" w:cs="Calibri" w:eastAsia="Calibri" w:hAnsi="Calibri"/>
          <w:b/>
          <w:bCs/>
          <w:color w:val="1B2642"/>
          <w:sz w:val="36"/>
          <w:szCs w:val="36"/>
        </w:rPr>
        <w:t xml:space="preserve">§9 — ANÁLISIS DE RIESGOS</w:t>
      </w:r>
    </w:p>
    <w:p>
      <w:pPr>
        <w:pStyle w:val="Heading2"/>
        <w:spacing w:after="80" w:before="200"/>
      </w:pPr>
      <w:r>
        <w:rPr>
          <w:rFonts w:ascii="Calibri" w:cs="Calibri" w:eastAsia="Calibri" w:hAnsi="Calibri"/>
          <w:b/>
          <w:bCs/>
          <w:color w:val="1B2642"/>
          <w:sz w:val="28"/>
          <w:szCs w:val="28"/>
        </w:rPr>
        <w:t xml:space="preserve">§9.1 Riesgos Clasificados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Riesgo</w:t>
            </w:r>
          </w:p>
        </w:tc>
        <w:tc>
          <w:tcPr>
            <w:tcW w:type="dxa" w:w="1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Tipo</w:t>
            </w:r>
          </w:p>
        </w:tc>
        <w:tc>
          <w:tcPr>
            <w:tcW w:type="dxa" w:w="1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Probabilidad</w:t>
            </w:r>
          </w:p>
        </w:tc>
        <w:tc>
          <w:tcPr>
            <w:tcW w:type="dxa" w:w="1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w:t>
            </w:r>
          </w:p>
        </w:tc>
        <w:tc>
          <w:tcPr>
            <w:tcW w:type="dxa" w:w="27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Mitigante / Comentario</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Tesla Robotaxi escala a millones de viajes/mes (sin Uber)</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Estratégico</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BAJA (5 años)</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MUY ALTO</w:t>
            </w:r>
          </w:p>
        </w:tc>
        <w:tc>
          <w:tcPr>
            <w:tcW w:type="dxa" w:w="2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Escala actual minúscula (~20 vehículos, jun 2025). Horizonte 5-10 años. Uber busca ser aggregator AV.</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Waymo escala sin partnership con Uber</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Estratégico</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MEDIA</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ALTO</w:t>
            </w:r>
          </w:p>
        </w:tc>
        <w:tc>
          <w:tcPr>
            <w:tcW w:type="dxa" w:w="2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En San Francisco/LA ya opera vía app propia. En Austin/Atlanta vía Uber. Dirección incierta.</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DoorDash gana share en Delivery internacional</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Competitivo</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MEDIA-BAJA</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MODERADO</w:t>
            </w:r>
          </w:p>
        </w:tc>
        <w:tc>
          <w:tcPr>
            <w:tcW w:type="dxa" w:w="2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DoorDash domina EE.UU. pero Uber lidera globalmente fuera de EE.UU.</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DTA Release no recurrente — EPS artificialmente altos</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Financiero</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CERTEZA</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MODERADO</w:t>
            </w:r>
          </w:p>
        </w:tc>
        <w:tc>
          <w:tcPr>
            <w:tcW w:type="dxa" w:w="2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Riesgo ya materializado y visible; inversores informados lo ajustan. NI normalizado más bajo.</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Regulación gig workers (AB 1340 + EU Platform Work Directive)</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Regulatorio</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ALTA (EU PWD antes dic-2026)</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ALTO (potencial)</w:t>
            </w:r>
          </w:p>
        </w:tc>
        <w:tc>
          <w:tcPr>
            <w:tcW w:type="dxa" w:w="2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Presunción de relación laboral rebatible (UE). Ámsterdam enero 2026: conductores = contratistas. Costo desconocido si se implementa plenamente.</w:t>
            </w:r>
          </w:p>
        </w:tc>
      </w:tr>
      <w:tr>
        <w:tc>
          <w:tcPr>
            <w:tcW w:type="dxa" w:w="3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Tipo de cambio (USD fuerte) — Impacto EMEA</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Macro</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VARIABLE</w:t>
            </w:r>
          </w:p>
        </w:tc>
        <w:tc>
          <w:tcPr>
            <w:tcW w:type="dxa" w:w="1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MODERADO</w:t>
            </w:r>
          </w:p>
        </w:tc>
        <w:tc>
          <w:tcPr>
            <w:tcW w:type="dxa" w:w="2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~1pp de viento en contra en FY2025. EMEA ~31% de ingresos.</w:t>
            </w:r>
          </w:p>
        </w:tc>
      </w:tr>
      <w:tr>
        <w:tc>
          <w:tcPr>
            <w:tcW w:type="dxa" w:w="3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Antitrust (posición 76% ridesharing EE.UU.)</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Regulatorio</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BAJA</w:t>
            </w:r>
          </w:p>
        </w:tc>
        <w:tc>
          <w:tcPr>
            <w:tcW w:type="dxa" w:w="1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MODERADO</w:t>
            </w:r>
          </w:p>
        </w:tc>
        <w:tc>
          <w:tcPr>
            <w:tcW w:type="dxa" w:w="2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Regulación antimonopolio podría imponer restricciones de pricing o interoperabilidad.</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§9.2 Mapa de Riesgos (Probabilidad ×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
            </w:r>
          </w:p>
        </w:tc>
        <w:tc>
          <w:tcPr>
            <w:tcW w:type="dxa" w:w="196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 BAJO</w:t>
            </w:r>
          </w:p>
        </w:tc>
        <w:tc>
          <w:tcPr>
            <w:tcW w:type="dxa" w:w="196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 MODERADO</w:t>
            </w:r>
          </w:p>
        </w:tc>
        <w:tc>
          <w:tcPr>
            <w:tcW w:type="dxa" w:w="196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 ALTO</w:t>
            </w:r>
          </w:p>
        </w:tc>
        <w:tc>
          <w:tcPr>
            <w:tcW w:type="dxa" w:w="1965"/>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IMPACTO MUY ALTO</w:t>
            </w:r>
          </w:p>
        </w:tc>
      </w:tr>
      <w:tr>
        <w:tc>
          <w:tcPr>
            <w:tcW w:type="dxa" w:w="15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PROB. ALTA</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Tipo de cambio USD</w:t>
            </w:r>
          </w:p>
        </w:tc>
        <w:tc>
          <w:tcPr>
            <w:tcW w:type="dxa" w:w="1965"/>
            <w:tcBorders>
              <w:top w:val="single" w:color="B0B7C9" w:sz="4"/>
              <w:left w:val="single" w:color="B0B7C9" w:sz="4"/>
              <w:bottom w:val="single" w:color="B0B7C9" w:sz="4"/>
              <w:right w:val="single" w:color="B0B7C9" w:sz="4"/>
            </w:tcBorders>
            <w:shd w:fill="FFCCCC"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EU Platform Work Directive</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r>
      <w:tr>
        <w:tc>
          <w:tcPr>
            <w:tcW w:type="dxa" w:w="15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PROB. MEDIA</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DoorDash expansión int.</w:t>
            </w:r>
          </w:p>
        </w:tc>
        <w:tc>
          <w:tcPr>
            <w:tcW w:type="dxa" w:w="1965"/>
            <w:tcBorders>
              <w:top w:val="single" w:color="B0B7C9" w:sz="4"/>
              <w:left w:val="single" w:color="B0B7C9" w:sz="4"/>
              <w:bottom w:val="single" w:color="B0B7C9" w:sz="4"/>
              <w:right w:val="single" w:color="B0B7C9" w:sz="4"/>
            </w:tcBorders>
            <w:shd w:fill="FFE5CC"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Waymo sin partnership Uber</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r>
      <w:tr>
        <w:tc>
          <w:tcPr>
            <w:tcW w:type="dxa" w:w="1500"/>
            <w:tcBorders>
              <w:top w:val="single" w:color="B0B7C9" w:sz="4"/>
              <w:left w:val="single" w:color="B0B7C9" w:sz="4"/>
              <w:bottom w:val="single" w:color="B0B7C9" w:sz="4"/>
              <w:right w:val="single" w:color="B0B7C9" w:sz="4"/>
            </w:tcBorders>
            <w:shd w:fill="D6DBE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PROB. BAJA</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Antitrust EE.UU.</w:t>
            </w:r>
          </w:p>
        </w:tc>
        <w:tc>
          <w:tcPr>
            <w:tcW w:type="dxa" w:w="1965"/>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c>
          <w:tcPr>
            <w:tcW w:type="dxa" w:w="1965"/>
            <w:tcBorders>
              <w:top w:val="single" w:color="B0B7C9" w:sz="4"/>
              <w:left w:val="single" w:color="B0B7C9" w:sz="4"/>
              <w:bottom w:val="single" w:color="B0B7C9" w:sz="4"/>
              <w:right w:val="single" w:color="B0B7C9" w:sz="4"/>
            </w:tcBorders>
            <w:shd w:fill="FFCCCC"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Tesla Robotaxi escala masiva</w:t>
            </w:r>
          </w:p>
        </w:tc>
      </w:tr>
    </w:tbl>
    <w:p>
      <w:pPr>
        <w:pStyle w:val="Heading1"/>
        <w:pageBreakBefore/>
        <w:spacing w:after="120" w:before="240"/>
      </w:pPr>
      <w:r>
        <w:rPr>
          <w:rFonts w:ascii="Calibri" w:cs="Calibri" w:eastAsia="Calibri" w:hAnsi="Calibri"/>
          <w:b/>
          <w:bCs/>
          <w:color w:val="1B2642"/>
          <w:sz w:val="36"/>
          <w:szCs w:val="36"/>
        </w:rPr>
        <w:t xml:space="preserve">§10 — CRITERIOS DE VENTA</w:t>
      </w:r>
    </w:p>
    <w:p>
      <w:pPr>
        <w:spacing w:after="80" w:before="80"/>
      </w:pPr>
      <w:r>
        <w:rPr>
          <w:rFonts w:ascii="Calibri" w:cs="Calibri" w:eastAsia="Calibri" w:hAnsi="Calibri"/>
          <w:b w:val="false"/>
          <w:bCs w:val="false"/>
          <w:i w:val="false"/>
          <w:iCs w:val="false"/>
          <w:color w:val="1A1A1A"/>
          <w:sz w:val="20"/>
          <w:szCs w:val="20"/>
        </w:rPr>
        <w:t xml:space="preserve">Los siguientes eventos o condiciones sostenidas justificarían una revisión fundamental de la tesis y potencialmente la desinversión: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Criterio</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Umbral de Alerta</w:t>
            </w:r>
          </w:p>
        </w:tc>
        <w:tc>
          <w:tcPr>
            <w:tcW w:type="dxa" w:w="2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Señal de Revisión Urgente</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Rationale Estratégico</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ROIC deterioro estructural</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ROIC &lt;15% sostenido ≥2 años consecutivos</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ROIC &lt;12% en un único año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Indica erosión del moat y capital mal asignado. El spread ROIC-WACC positivo es la tesis central.</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Take rate compression en Mobility</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Compresión &gt;200bps en take rate Mobility sobre trailing 12M</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Compresión &gt;400bps en cualquier trimestre</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Señal de pérdida de pricing power vs. competidores. Take rate actual ~30-31%.</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Uber One churn excesivo</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Tasa de abandono de membresía &gt;20% anual</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Desaceleración de crecimiento de miembros &lt;5% YoY sostenida</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Programa Uber One es el principal driver de lock-in y cross-sell. Churn alto desmonta la tesis de CLTV elevado.</w:t>
            </w:r>
          </w:p>
        </w:tc>
      </w:tr>
      <w:tr>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Escala AV competidor sin partnership con Uber</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Tesla o Waymo &gt;5M viajes/mes en EE.UU. sin acuerdo con Uber</w:t>
            </w:r>
          </w:p>
        </w:tc>
        <w:tc>
          <w:tcPr>
            <w:tcW w:type="dxa" w:w="2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&gt;1M viajes/mes sin partnership en mercados core de Uber</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Umbral a partir del cual el modelo de Mobility enfrenta presión de cuota real y sostenida. Actualmente minúsculo.</w:t>
            </w:r>
          </w:p>
        </w:tc>
      </w:tr>
      <w:tr>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Reclasificación laboral masiva conductores</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Sentencia firme que reclasifique conductores como empleados en EE.UU. o EU en &gt;30% del revenue</w:t>
            </w:r>
          </w:p>
        </w:tc>
        <w:tc>
          <w:tcPr>
            <w:tcW w:type="dxa" w:w="2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Sentencia firme en California o mercado EU principal</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Impacto estructural en costos que podría eliminar la mayor parte del EBITDA de Mobility.</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§10.1 Criterios de Revisión Positiva (Upgrade de Tesis)</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Evidencia sostenida de que Uber captura rol de aggregator neutral en la era AV con &gt;10 partnerships activos generando revenue.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Take rate de Mobility supera sostenidamente el 32%+ sin pérdida de cuota de mercado en EE.UU.</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Uber Advertising alcanza $5B+ de revenue anual con márgenes consistentes &gt;85% bruto.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Uber One supera los 100M de miembros activos con churn &lt;10% anual.</w:t>
      </w:r>
    </w:p>
    <w:p>
      <w:pPr>
        <w:pStyle w:val="Heading1"/>
        <w:pageBreakBefore/>
        <w:spacing w:after="120" w:before="240"/>
      </w:pPr>
      <w:r>
        <w:rPr>
          <w:rFonts w:ascii="Calibri" w:cs="Calibri" w:eastAsia="Calibri" w:hAnsi="Calibri"/>
          <w:b/>
          <w:bCs/>
          <w:color w:val="1B2642"/>
          <w:sz w:val="36"/>
          <w:szCs w:val="36"/>
        </w:rPr>
        <w:t xml:space="preserve">§11 — BASE CASE CONSENSUADO</w:t>
      </w:r>
    </w:p>
    <w:p>
      <w:pPr>
        <w:spacing w:after="80" w:before="80"/>
      </w:pPr>
      <w:r>
        <w:rPr>
          <w:rFonts w:ascii="Calibri" w:cs="Calibri" w:eastAsia="Calibri" w:hAnsi="Calibri"/>
          <w:b/>
          <w:bCs/>
          <w:i w:val="false"/>
          <w:iCs w:val="false"/>
          <w:color w:val="880000"/>
          <w:sz w:val="20"/>
          <w:szCs w:val="20"/>
        </w:rPr>
        <w:t xml:space="preserve">NOTA IMPORTANTE: Este documento es un Brief de base case consensuado. NO contiene veredicto de inversión ni recomendación de compra/venta/mantener. Las decisiones de inversión corresponden exclusivamente al Comité de Inversiones de DCE Holdings en el proceso CI formal.</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§11.1 Descripción del Base Case</w:t>
      </w:r>
    </w:p>
    <w:p>
      <w:pPr>
        <w:spacing w:after="80" w:before="80"/>
      </w:pPr>
      <w:r>
        <w:rPr>
          <w:rFonts w:ascii="Calibri" w:cs="Calibri" w:eastAsia="Calibri" w:hAnsi="Calibri"/>
          <w:b w:val="false"/>
          <w:bCs w:val="false"/>
          <w:i w:val="false"/>
          <w:iCs w:val="false"/>
          <w:color w:val="1A1A1A"/>
          <w:sz w:val="20"/>
          <w:szCs w:val="20"/>
        </w:rPr>
        <w:t xml:space="preserve">Uber Technologies es un compounder (Cuadrante 1) con ventaja competitiva Medio-Fuerte, gestión Superior y ROIC superior al WACC en todos los años desde FY2023. El negocio genera FCF de casi $10.000M anuales con margen del 18,8% y crecimiento de revenue del ~18-20% YoY.</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§11.2 Tesis de Valoración</w:t>
      </w:r>
    </w:p>
    <w:p>
      <w:pPr>
        <w:spacing w:after="80" w:before="80"/>
      </w:pPr>
      <w:r>
        <w:rPr>
          <w:rFonts w:ascii="Calibri" w:cs="Calibri" w:eastAsia="Calibri" w:hAnsi="Calibri"/>
          <w:b w:val="false"/>
          <w:bCs w:val="false"/>
          <w:i w:val="false"/>
          <w:iCs w:val="false"/>
          <w:color w:val="1A1A1A"/>
          <w:sz w:val="20"/>
          <w:szCs w:val="20"/>
        </w:rPr>
        <w:t xml:space="preserve">Al precio actual de $70,40, el mercado no ofrece margen de seguridad bajo ninguna métrica Greenwald (RV $12,64, EPV $18,35, FV razonable insuficiente). El IRR implícito para el tenedor de equity es de −5,81%/año, con un MoS de −17,81pp vs. el hurdle del 12% del IPS de DCE Holdings.</w:t>
      </w:r>
    </w:p>
    <w:p>
      <w:pPr>
        <w:spacing w:after="80" w:before="80"/>
      </w:pPr>
      <w:r>
        <w:rPr>
          <w:rFonts w:ascii="Calibri" w:cs="Calibri" w:eastAsia="Calibri" w:hAnsi="Calibri"/>
          <w:b w:val="false"/>
          <w:bCs w:val="false"/>
          <w:i w:val="false"/>
          <w:iCs w:val="false"/>
          <w:color w:val="1A1A1A"/>
          <w:sz w:val="20"/>
          <w:szCs w:val="20"/>
        </w:rPr>
        <w:t xml:space="preserve">ESCALERA CASO 4: El precio actual embebe opcionalidad de la era AV (escenario de aggregator de flotas autónomas). Si Uber captura ese rol, el upside potencial es transformacional. Si no lo captura, el downside es severo (Bear case: −25%/año en 5 años).</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§11.3 Incertidumbres Clave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Velocidad y modelo de negocio de la era AV: ¿Uber como aggregator o competidor?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Trayectoria regulatoria de clasificación de conductores (EU Platform Work Directive, AB 1340).</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Sostenibilidad del FCF sin liberaciones de DTA (ajuste tax rate a 21% normalizado).</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Expansión de múltiplos necesaria para que el IRR sea positivo desde el precio actual.</w:t>
      </w:r>
    </w:p>
    <w:p>
      <w:pPr>
        <w:pStyle w:val="Heading1"/>
        <w:pageBreakBefore/>
        <w:spacing w:after="120" w:before="240"/>
      </w:pPr>
      <w:r>
        <w:rPr>
          <w:rFonts w:ascii="Calibri" w:cs="Calibri" w:eastAsia="Calibri" w:hAnsi="Calibri"/>
          <w:b/>
          <w:bCs/>
          <w:color w:val="1B2642"/>
          <w:sz w:val="36"/>
          <w:szCs w:val="36"/>
        </w:rPr>
        <w:t xml:space="preserve">§12 — MÉTRICAS DE MONITOREO</w:t>
      </w:r>
    </w:p>
    <w:p>
      <w:pPr>
        <w:pStyle w:val="Heading2"/>
        <w:spacing w:after="80" w:before="200"/>
      </w:pPr>
      <w:r>
        <w:rPr>
          <w:rFonts w:ascii="Calibri" w:cs="Calibri" w:eastAsia="Calibri" w:hAnsi="Calibri"/>
          <w:b/>
          <w:bCs/>
          <w:color w:val="1B2642"/>
          <w:sz w:val="28"/>
          <w:szCs w:val="28"/>
        </w:rPr>
        <w:t xml:space="preserve">§12.1 KPIs Prioritarios para Seguimiento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KPI</w:t>
            </w:r>
          </w:p>
        </w:tc>
        <w:tc>
          <w:tcPr>
            <w:tcW w:type="dxa" w:w="13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FY2024</w:t>
            </w:r>
          </w:p>
        </w:tc>
        <w:tc>
          <w:tcPr>
            <w:tcW w:type="dxa" w:w="13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FY2025</w:t>
            </w:r>
          </w:p>
        </w:tc>
        <w:tc>
          <w:tcPr>
            <w:tcW w:type="dxa" w:w="9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Tendencia</w:t>
            </w:r>
          </w:p>
        </w:tc>
        <w:tc>
          <w:tcPr>
            <w:tcW w:type="dxa" w:w="21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Threshold de Alerta</w:t>
            </w:r>
          </w:p>
        </w:tc>
        <w:tc>
          <w:tcPr>
            <w:tcW w:type="dxa" w:w="15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Fuente de Reporte</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MAPCs (millones)</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171M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202M (+18%)</w:t>
            </w:r>
          </w:p>
        </w:tc>
        <w:tc>
          <w:tcPr>
            <w:tcW w:type="dxa" w:w="9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FUERTE</w:t>
            </w:r>
          </w:p>
        </w:tc>
        <w:tc>
          <w:tcPr>
            <w:tcW w:type="dxa" w:w="21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Alerta: &lt;10% YoY sostenido</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Earnings release</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Trips (miles de millones)</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11.273M</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13.567M (+20%)</w:t>
            </w:r>
          </w:p>
        </w:tc>
        <w:tc>
          <w:tcPr>
            <w:tcW w:type="dxa" w:w="9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 FUERTE</w:t>
            </w:r>
          </w:p>
        </w:tc>
        <w:tc>
          <w:tcPr>
            <w:tcW w:type="dxa" w:w="21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Alerta: &lt;10% YoY sostenido</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Earnings release</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Gross Bookings (total)</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$162.773M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$193.454M (+19%)</w:t>
            </w:r>
          </w:p>
        </w:tc>
        <w:tc>
          <w:tcPr>
            <w:tcW w:type="dxa" w:w="9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t>
            </w:r>
          </w:p>
        </w:tc>
        <w:tc>
          <w:tcPr>
            <w:tcW w:type="dxa" w:w="21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Alerta: &lt;10% YoY</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Earnings release</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Take Rate Mobility</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~29-30%</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~30-31%</w:t>
            </w:r>
          </w:p>
        </w:tc>
        <w:tc>
          <w:tcPr>
            <w:tcW w:type="dxa" w:w="9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 estable</w:t>
            </w:r>
          </w:p>
        </w:tc>
        <w:tc>
          <w:tcPr>
            <w:tcW w:type="dxa" w:w="21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ALERTA CRÍTICA: &lt;28% sostenido</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StockAnalysis / 10-K</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Take Rate Delivery</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~18,3%</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~18-19%</w:t>
            </w:r>
          </w:p>
        </w:tc>
        <w:tc>
          <w:tcPr>
            <w:tcW w:type="dxa" w:w="9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estable</w:t>
            </w:r>
          </w:p>
        </w:tc>
        <w:tc>
          <w:tcPr>
            <w:tcW w:type="dxa" w:w="21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Alerta: &lt;16% sostenido</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StockAnalysis / 10-K</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Uber One Members</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~30M (est.)</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46M (dic-25); 50M+ (may-26)</w:t>
            </w:r>
          </w:p>
        </w:tc>
        <w:tc>
          <w:tcPr>
            <w:tcW w:type="dxa" w:w="9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 FUERTE</w:t>
            </w:r>
          </w:p>
        </w:tc>
        <w:tc>
          <w:tcPr>
            <w:tcW w:type="dxa" w:w="21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Alerta: churn &gt;20%/año</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Earnings / press releases</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Advertising Revenue (run rate)</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~$1.500M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~$2.000M+</w:t>
            </w:r>
          </w:p>
        </w:tc>
        <w:tc>
          <w:tcPr>
            <w:tcW w:type="dxa" w:w="9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FUERTE</w:t>
            </w:r>
          </w:p>
        </w:tc>
        <w:tc>
          <w:tcPr>
            <w:tcW w:type="dxa" w:w="21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Alerta: desaceleración &lt;$1.800M</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Earnings calls / press</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Adjusted EBITDA</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$6.484M</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$8.730M (+35%)</w:t>
            </w:r>
          </w:p>
        </w:tc>
        <w:tc>
          <w:tcPr>
            <w:tcW w:type="dxa" w:w="9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21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Alerta: margen/GB &lt;4% sostenido</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Earnings release</w:t>
            </w:r>
          </w:p>
        </w:tc>
      </w:tr>
      <w:tr>
        <w:tc>
          <w:tcPr>
            <w:tcW w:type="dxa" w:w="2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Free Cash Flow</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$6.895M</w:t>
            </w:r>
          </w:p>
        </w:tc>
        <w:tc>
          <w:tcPr>
            <w:tcW w:type="dxa" w:w="1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$9.763M (+42%)</w:t>
            </w:r>
          </w:p>
        </w:tc>
        <w:tc>
          <w:tcPr>
            <w:tcW w:type="dxa" w:w="9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 FUERTE</w:t>
            </w:r>
          </w:p>
        </w:tc>
        <w:tc>
          <w:tcPr>
            <w:tcW w:type="dxa" w:w="21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Alerta: FCF &lt;$7.000M o margen &lt;14%</w:t>
            </w:r>
          </w:p>
        </w:tc>
        <w:tc>
          <w:tcPr>
            <w:tcW w:type="dxa" w:w="15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Earnings release</w:t>
            </w:r>
          </w:p>
        </w:tc>
      </w:tr>
      <w:tr>
        <w:tc>
          <w:tcPr>
            <w:tcW w:type="dxa" w:w="2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EBITDA Margin % de GB</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~3,98%</w:t>
            </w:r>
          </w:p>
        </w:tc>
        <w:tc>
          <w:tcPr>
            <w:tcW w:type="dxa" w:w="1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~4,51%</w:t>
            </w:r>
          </w:p>
        </w:tc>
        <w:tc>
          <w:tcPr>
            <w:tcW w:type="dxa" w:w="9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 (obj. 5%+)</w:t>
            </w:r>
          </w:p>
        </w:tc>
        <w:tc>
          <w:tcPr>
            <w:tcW w:type="dxa" w:w="21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Alerta: &lt;3,5% sostenido</w:t>
            </w:r>
          </w:p>
        </w:tc>
        <w:tc>
          <w:tcPr>
            <w:tcW w:type="dxa" w:w="15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Cálculo propio</w:t>
            </w:r>
          </w:p>
        </w:tc>
      </w:tr>
    </w:tbl>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§12.2 Señales de Alerta Temprana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Desaceleración de MAPCs por debajo del 10% YoY sostenida — indica pérdida de momentum de plataforma.</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Compresión de take rate de Mobility por debajo del 28% — señal de pérdida de pricing power.</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Pérdida de cuota de mercado en EE.UU. ridesharing (reporte trimestral Bloomberg Second Measure).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Escala de Tesla Robotaxi o Waymo en mercados core de Uber superando 1M viajes/mes sin partnership.</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Desarrollos regulatorios adversos (sentencia firme California AB 1340, EU Platform Work Directive implementación en mercados clave).</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ROIC por debajo del 15% en cualquier año completo — señal de erosión de moat.</w:t>
      </w:r>
    </w:p>
    <w:p>
      <w:pPr>
        <w:pStyle w:val="ListParagraph"/>
        <w:numPr>
          <w:ilvl w:val="0"/>
          <w:numId w:val="2"/>
        </w:numPr>
        <w:spacing w:after="40" w:before="40"/>
      </w:pPr>
      <w:r>
        <w:rPr>
          <w:rFonts w:ascii="Calibri" w:cs="Calibri" w:eastAsia="Calibri" w:hAnsi="Calibri"/>
          <w:b w:val="false"/>
          <w:bCs w:val="false"/>
          <w:color w:val="1A1A1A"/>
          <w:sz w:val="20"/>
          <w:szCs w:val="20"/>
        </w:rPr>
        <w:t xml:space="preserve">Reducción de programa de recompras por debajo de $2.000M/año sin explicación estratégica clara.</w:t>
      </w:r>
    </w:p>
    <w:p>
      <w:pPr>
        <w:pStyle w:val="Heading1"/>
        <w:pageBreakBefore/>
        <w:spacing w:after="120" w:before="240"/>
      </w:pPr>
      <w:r>
        <w:rPr>
          <w:rFonts w:ascii="Calibri" w:cs="Calibri" w:eastAsia="Calibri" w:hAnsi="Calibri"/>
          <w:b/>
          <w:bCs/>
          <w:color w:val="1B2642"/>
          <w:sz w:val="36"/>
          <w:szCs w:val="36"/>
        </w:rPr>
        <w:t xml:space="preserve">§13 — BIBLIOGRAFÍA</w:t>
      </w:r>
    </w:p>
    <w:p>
      <w:pPr>
        <w:spacing w:after="80" w:before="80"/>
      </w:pPr>
      <w:r>
        <w:rPr>
          <w:rFonts w:ascii="Calibri" w:cs="Calibri" w:eastAsia="Calibri" w:hAnsi="Calibri"/>
          <w:b w:val="false"/>
          <w:bCs w:val="false"/>
          <w:i w:val="false"/>
          <w:iCs w:val="false"/>
          <w:color w:val="1A1A1A"/>
          <w:sz w:val="20"/>
          <w:szCs w:val="20"/>
        </w:rPr>
        <w:t xml:space="preserve">Todas las fuentes citadas a continuación fueron consultadas durante la preparación de este Brief (mayo de 2026). Las URLs son accesibles públicamente a la fecha de análisis.</w:t>
      </w:r>
    </w:p>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§13.1 Fuentes Primarias (SEC / Regulatorias)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Uber Technologies, Inc. — 10-K FY2025 (presentado ante la SEC, ejercicio 31-dic-2025)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https://www.sec.gov/Archives/edgar/data/1543151/000154315126000015/uber-20251231.htm</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Technologies — Form 8-K CFO Transition (30 de enero de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https://www.sec.gov/Archives/edgar/data/1543151/000154315126000011/uber-20260130.htm</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Uber Technologies — DEF 14A Proxy Statement (Compensación ejecutiva FY2024)</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https://www.sec.gov/Archives/edgar/data/1543151/000130817925000210/uber013353-def14a.htm</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§13.2 Earnings / Investor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Uber — Q4 &amp; FY2025 Earnings Press Release (4 de febrero de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https://investor.uber.com/news-events/news/press-release-details/2026/Uber-Announces-Results-for-Fourth-Quarter-and-Full-Year-2025/</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Uber — Q3 2025 Earnings (4 de noviembre de 2025)</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https://investor.uber.com/news-events/news/press-release-details/2025/Uber-Announces-Results-for-Third-Quarter-2025/default.aspx</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13</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Alpha Spread — UBER Q4-2025 Earnings Call (4 de febrero de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https://www.alphaspread.com/security/nyse/uber/investor-relations/earnings-call/q4-2025</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14</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Yahoo Finance — Uber Q4 &amp; FY2025 Results</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https://finance.yahoo.com/news/uber-announces-results-fourth-quarter-115500979.html</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§13.3 Historia y Contexto Corporativo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6</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Uber Newsroom — Uber's Founding Story</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https://www.uber.com/us/en/newsroom/ubers-founding/</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7</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Wikipedia — Uber (company)</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https://en.wikipedia.org/wiki/Uber</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8</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EBSCO Research Starters — Uber (company)</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https://www.ebsco.com/research-starters/business-and-management/uber-company</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9</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Operating by John Brewton — The $20 Billion Swing: How Uber Turned Around (abril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https://www.operatingbyjohnbrewton.com/p/operating-stories-the-20-billion</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§13.4 Datos Financieros y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Stock Analysis on Net — Uber Reportable Segments (datos 2021-2025)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https://www.stock-analysis-on.net/NYSE/Company/Uber-Technologies-Inc/Ratios/Reportable-Segments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StockAnalysis.com — Uber Take Rate by Segment</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https://stockanalysis.com/stocks/uber/metrics/take-rate-by-segment/</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§13.5 Sector, TAM y Mercados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AutoInsurance.com — 2026 Rideshare Statistics (mayo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https://www.autoinsurance.com/research/rideshare-statistics/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16</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Allied Market Research — Ride Sharing Market Worth $205.83B by 2030</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https://www.alliedmarketresearch.com/press-release/ride-sharing-market.html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Business of Apps — Lyft Revenue and Usage Statistics 2025 (febrero 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https://www.businessofapps.com/data/lyft-statistics/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19</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Increv — Lyft statistics 2025: market share</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https://increv.co/academy/lyft-users/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Business of Apps — Food Delivery App Report 2025 (noviembre 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https://www.businessofapps.com/data/food-delivery-app-report/</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§13.6 Vehículos Autónomos (AV)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21</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Waymo — Waymo and Uber expand partnership to Austin and Atlanta (septiembre 2024)</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https://waymo.com/blog/2024/09/waymo-and-uber-expand-partnership</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22</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Fortune — Waymo robotaxis begin carrying passengers in Atlanta (junio 2025)</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https://fortune.com/2025/06/24/uber-waymo-robotaxi-tesla-musk-atlanta/</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23</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TechCrunch — Waymo robotaxis now operating in 10 US cities (febrero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https://techcrunch.com/2026/02/24/waymo-robotaxis-are-now-operating-in-10-us-cities/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24</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9to5Google — Waymo: Where it's available, upcoming cities (abril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https://9to5google.com/2026/04/22/waymo-new-cities-features/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25</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Wikipedia — Tesla Robotaxi</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https://en.wikipedia.org/wiki/Tesla_Robotaxi</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26</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Roic.ai / Wedbush — Tesla's Robotaxi Launch Poses Long-Term Threat to Uber (mayo 2025)</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https://www.roic.ai/news/teslas-robotaxi-launch-poses-long-term-threat-to-uber-says-wedbush-05-29-2025</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§13.7 Uber One, Advertising 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28</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Yahoo Finance / 247WallSt — Uber One Crosses 50 Million Members (mayo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https://finance.yahoo.com/markets/stocks/articles/uber-one-crosses-50-million-144305761.html</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29</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The Drum — After hitting $2bn revenue, what's next for Uber Advertising? (mayo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https://www.thedrum.com/news/still-early-in-our-journey-after-hitting-2bn-revenue-what-s-next-for-uber-advertising</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31</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Quiver Quant — Uber CEO &amp; Director 2025 Pay Revealed (marzo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https://www.quiverquant.com/news/Uber+Technologies,+Inc+($UBER)+CEO+&amp;+Director+2025+Pay+Revealed</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32</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Fortune — Uber has appointed a new CFO—its third in three years (febrero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https://fortune.com/2026/02/05/uber-appointed-new-cfo-third-in-three-years/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34</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BusinessQuant — Uber Technologies Institutional Ownership (Q4 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https://businessquant.com/stocks/uber/institutional-ownership/</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35</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MarketBeat — Uber Technologies Institutional Ownership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https://www.marketbeat.com/stocks/NYSE/UBER/institutional-ownership/</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38</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Motley Fool — Bill Ackman Loading Up on Uber Technologies Stock (junio 2025)</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https://www.fool.com/investing/2025/06/03/billionaire-bill-ackman-is-loading-up-on-uber-tech/</w:t>
            </w:r>
          </w:p>
        </w:tc>
      </w:tr>
    </w:tbl>
    <w:p>
      <w:pPr>
        <w:spacing w:after="0" w:before="8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§13.8 Regulación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5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Referencia</w:t>
            </w:r>
          </w:p>
        </w:tc>
        <w:tc>
          <w:tcPr>
            <w:tcW w:type="dxa" w:w="4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URL</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40</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CalMatters — Uber drivers sue over deactivations, challenge Prop 22 (abril 2026)</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https://calmatters.org/economy/2026/04/uber-proposition22-lawsuit/</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41</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Los Angeleno — AB5 in LA (2026 Update): AB 1340 Union rights (marzo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https://losangeleno.com/business/ab5-affect-lyft-uber-drivers/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42</w:t>
            </w:r>
          </w:p>
        </w:tc>
        <w:tc>
          <w:tcPr>
            <w:tcW w:type="dxa" w:w="5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Ballotpedia — California Proposition 22, App-Based Drivers as Contractors</w:t>
            </w:r>
          </w:p>
        </w:tc>
        <w:tc>
          <w:tcPr>
            <w:tcW w:type="dxa" w:w="4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https://ballotpedia.org/California_Proposition_22,_App-Based_Drivers_as_Contractors_and_Labor_Policies_Initiative_(2020)</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43</w:t>
            </w:r>
          </w:p>
        </w:tc>
        <w:tc>
          <w:tcPr>
            <w:tcW w:type="dxa" w:w="5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Linklaters — EU Platform Work Directive: Recent developments (marzo 2026)</w:t>
            </w:r>
          </w:p>
        </w:tc>
        <w:tc>
          <w:tcPr>
            <w:tcW w:type="dxa" w:w="4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https://www.linklaters.com/insights/blogs/employmentlinks/2026/march/the-eu-platform-work-directive-recent-developments-and-practical-implications</w:t>
            </w:r>
          </w:p>
        </w:tc>
      </w:tr>
    </w:tbl>
    <w:p>
      <w:pPr>
        <w:pStyle w:val="Heading1"/>
        <w:pageBreakBefore/>
        <w:spacing w:after="120" w:before="240"/>
      </w:pPr>
      <w:r>
        <w:rPr>
          <w:rFonts w:ascii="Calibri" w:cs="Calibri" w:eastAsia="Calibri" w:hAnsi="Calibri"/>
          <w:b/>
          <w:bCs/>
          <w:color w:val="1B2642"/>
          <w:sz w:val="36"/>
          <w:szCs w:val="36"/>
        </w:rPr>
        <w:t xml:space="preserve">§14 — AUDIT GATE — PHASE 4 v4.3</w:t>
      </w:r>
    </w:p>
    <w:p>
      <w:pPr>
        <w:spacing w:after="120" w:before="120"/>
        <w:jc w:val="center"/>
      </w:pPr>
      <w:r>
        <w:rPr>
          <w:rFonts w:ascii="Calibri" w:cs="Calibri" w:eastAsia="Calibri" w:hAnsi="Calibri"/>
          <w:b/>
          <w:bCs/>
          <w:color w:val="1A7A42"/>
          <w:sz w:val="52"/>
          <w:szCs w:val="52"/>
        </w:rPr>
        <w:t xml:space="preserve">VEREDICTO FINAL: PASS — 71/71</w:t>
      </w:r>
    </w:p>
    <w:p>
      <w:pPr>
        <w:pStyle w:val="Heading2"/>
        <w:spacing w:after="80" w:before="200"/>
      </w:pPr>
      <w:r>
        <w:rPr>
          <w:rFonts w:ascii="Calibri" w:cs="Calibri" w:eastAsia="Calibri" w:hAnsi="Calibri"/>
          <w:b/>
          <w:bCs/>
          <w:color w:val="1B2642"/>
          <w:sz w:val="28"/>
          <w:szCs w:val="28"/>
        </w:rPr>
        <w:t xml:space="preserve">§14.1 Metadata del Audit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Campo</w:t>
            </w:r>
          </w:p>
        </w:tc>
        <w:tc>
          <w:tcPr>
            <w:tcW w:type="dxa" w:w="5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Veredicto</w:t>
            </w:r>
          </w:p>
        </w:tc>
        <w:tc>
          <w:tcPr>
            <w:tcW w:type="dxa" w:w="5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 71/71 checks, 0 fallos, 0 advertencias</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Timestamp Audit (UTC)</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2026-05-30T11:26:30.254070+00:00</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Excel SHA256</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d59b42eb9741acd533c84186a422afeeb702c48c8c4bbffe8024a23b1a9a990e</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SHA256 Match</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MATCH ✓ — Integridad del Excel verificada</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Caracteres extraídos del Brief</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45.732 caracteres</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Total Checks</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71</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Checks PASS</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71 (100%)</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Checks WARN</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0</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Checks FAIL</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0</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Analista</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DCE Investment Team</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Revisado por (CIO)</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Luis</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Firma Institucional</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DCE Holdings</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Fecha de Valoración</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30 de mayo de 2026</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Precio de Referencia</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$70,40 (UBER / NYSE)</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Clasificación Brief</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PIPELINE — No en portfolio.json (en análisis)</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§14.2 Grupo 1 — Reconciliación Numérica (15 Métricas)</w:t>
      </w:r>
    </w:p>
    <w:p>
      <w:pPr>
        <w:spacing w:after="80" w:before="80"/>
      </w:pPr>
      <w:r>
        <w:rPr>
          <w:rFonts w:ascii="Calibri" w:cs="Calibri" w:eastAsia="Calibri" w:hAnsi="Calibri"/>
          <w:b w:val="false"/>
          <w:bCs w:val="false"/>
          <w:i w:val="false"/>
          <w:iCs w:val="false"/>
          <w:color w:val="1A1A1A"/>
          <w:sz w:val="20"/>
          <w:szCs w:val="20"/>
        </w:rPr>
        <w:t xml:space="preserve">Tolerancia: ±0,5% relativo / ±$0,5M absoluto. Excel SHA256 verificado. Valores del Columbia Model v4.3.0.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w:t>
            </w:r>
          </w:p>
        </w:tc>
        <w:tc>
          <w:tcPr>
            <w:tcW w:type="dxa" w:w="33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Métrica</w:t>
            </w:r>
          </w:p>
        </w:tc>
        <w:tc>
          <w:tcPr>
            <w:tcW w:type="dxa" w:w="2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 Excel</w:t>
            </w:r>
          </w:p>
        </w:tc>
        <w:tc>
          <w:tcPr>
            <w:tcW w:type="dxa" w:w="18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En Brief</w:t>
            </w:r>
          </w:p>
        </w:tc>
        <w:tc>
          <w:tcPr>
            <w:tcW w:type="dxa" w:w="19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Estado</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Revenue LTM ($52,017M)</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52017</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OpInc LTM ($5,565M)</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5565</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NI LTM ($10,146M)</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10146</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EPS Dil LTM ($4.73)</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4.73</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FCF LTM ($9,763M)</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9763</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6</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Market Cap ($149,226M)</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149226</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7</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EV Overview ($153,504M)</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153504</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8</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ROIC Selected (20.39%)</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20.39</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9</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WACC (11.3%)</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11.3</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10</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RV/share ($12.64)</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12.64</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11</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EPV/share ($18.35)</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18.35</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12</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Franchise Test (1.45x)</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1.45</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13</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Implied IRR (-5.81%)</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-5.81</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14</w:t>
            </w:r>
          </w:p>
        </w:tc>
        <w:tc>
          <w:tcPr>
            <w:tcW w:type="dxa" w:w="33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Bear Case downside (-25%/year)</w:t>
            </w:r>
          </w:p>
        </w:tc>
        <w:tc>
          <w:tcPr>
            <w:tcW w:type="dxa" w:w="2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-25</w:t>
            </w:r>
          </w:p>
        </w:tc>
        <w:tc>
          <w:tcPr>
            <w:tcW w:type="dxa" w:w="18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3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15</w:t>
            </w:r>
          </w:p>
        </w:tc>
        <w:tc>
          <w:tcPr>
            <w:tcW w:type="dxa" w:w="33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Current Price ($70.40)</w:t>
            </w:r>
          </w:p>
        </w:tc>
        <w:tc>
          <w:tcPr>
            <w:tcW w:type="dxa" w:w="2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70.4</w:t>
            </w:r>
          </w:p>
        </w:tc>
        <w:tc>
          <w:tcPr>
            <w:tcW w:type="dxa" w:w="18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SÍ ✓</w:t>
            </w:r>
          </w:p>
        </w:tc>
        <w:tc>
          <w:tcPr>
            <w:tcW w:type="dxa" w:w="190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§14.3 Grupo 2 — 17 Decision Points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DP</w:t>
            </w:r>
          </w:p>
        </w:tc>
        <w:tc>
          <w:tcPr>
            <w:tcW w:type="dxa" w:w="34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Keywords Requeridos</w:t>
            </w:r>
          </w:p>
        </w:tc>
        <w:tc>
          <w:tcPr>
            <w:tcW w:type="dxa" w:w="3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Keywords Encontrados en Brief</w:t>
            </w:r>
          </w:p>
        </w:tc>
        <w:tc>
          <w:tcPr>
            <w:tcW w:type="dxa" w:w="1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Estado</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S&amp;M Proxy; Sales and Marketing; DP1</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DP1</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DP2</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R&amp;D Cap; capitalizar; DP2</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R&amp;D Cap; DP2</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DP3</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S&amp;M Useful Life; 4 años; DP3</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4 años; DP3</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DP4</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R&amp;D Useful Life; 5 años; DP4</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5 años; DP4</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DP5</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SBC; stock-based compensation; OpEx; DP5</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DP5</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DP6</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Window; FY2022; DP6</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FY2022</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DP7</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Norm items; Legal; settlement; Equity gains; DP7</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Legal</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DP8</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Tax Norm; 21%; DP8</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21%</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DP9</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ASC 842; Lease; capitalizado; DP9</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Lease; capitalizado; DP9</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DP10</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Non-op; Cash; Equity stake; DP10</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Cash; DP10</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DP11</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WACC; 11,3%; 11.3%; DP11</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WACC; 11,3%</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DP12</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Goodwill; 0%; DP12</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Goodwill; 0%; DP12</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DP13</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CAC; MAUs; Intangibles; DP13</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CAC; MAUs; Intangibles; DP13</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DP14</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DTA; 70%; DP14</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DTA; 70%; DP14</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DP15</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Exit Multiple; 18x; 18×; EV/NOPAT; DP15</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Exit Multiple; 18×; EV/NOPAT; DP15</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DP16</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Buybacks; 4.000M; $4.000M; DP16</w:t>
            </w:r>
          </w:p>
        </w:tc>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Buybacks; 4.000M; $4.000M; DP16</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DP17</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Org Growth; 2%; DP17</w:t>
            </w:r>
          </w:p>
        </w:tc>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2%; DP17</w:t>
            </w:r>
          </w:p>
        </w:tc>
        <w:tc>
          <w:tcPr>
            <w:tcW w:type="dxa" w:w="1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§14.4 Grupo 3 — Secciones §0-§14 y Sub-secciones Obligatorias (24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Sección / Sub-sección Requerida</w:t>
            </w:r>
          </w:p>
        </w:tc>
        <w:tc>
          <w:tcPr>
            <w:tcW w:type="dxa" w:w="2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Keywords Confirmados</w:t>
            </w:r>
          </w:p>
        </w:tc>
        <w:tc>
          <w:tcPr>
            <w:tcW w:type="dxa" w:w="1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Estado</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§0 — Resumen Ejecutivo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§0, RESUMEN EJECUTIVO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§1 — Índice / TOC</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§1, ÍNDICE</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§2 — Descripción del Negocio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§2, DESCRIPCIÓN DEL NEGOCIO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§3 — Sector</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§3, SECTOR</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§4 — Clientes</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§4, CLIENTES</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§5 — Análisis Cualitativo</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§5, CUALITATIVO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§6 — Análisis Financiero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§6, FINANCIERO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§7 — Valoración</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§7, VALORACIÓN</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§8 — Catalizadores</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§8, CATALIZADORES</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§9 — Riesgos</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§9, RIESGOS</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§10 — Criterios de Venta</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§10, CRITERIOS DE VENTA</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§11 — Base Case</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§11, BASE CASE</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§12 — Métricas de Monitoreo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§12, MONITOREO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§13 — Bibliografía</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§13, BIBLIOGRAFÍA</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§14 — Audit Gate</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§14, AUDIT GATE</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§0.2 Mapa de Valoración Greenwald</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0.2, Mapa de Valoraci</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§2.9 Accionariado</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2.9, Accionariado</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§5.1 Greenwald 3 fuentes</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5.1, Greenwald</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§5.3 Compounder Matrix</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5.3, Compounder</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§5.9 Taxonomía Management</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5.9, Taxonom</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§7.3.1 RV step-by-step</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7.3.1, Valor de Reproducci</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§7.3.4 θ_firm</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7.3.4, θ_firm</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§7.4 Declaración Escalera Caso 4</w:t>
            </w:r>
          </w:p>
        </w:tc>
        <w:tc>
          <w:tcPr>
            <w:tcW w:type="dxa" w:w="2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7.4, CASO 4</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5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§12 KPIs con threshold alerta</w:t>
            </w:r>
          </w:p>
        </w:tc>
        <w:tc>
          <w:tcPr>
            <w:tcW w:type="dxa" w:w="2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Threshold, ALERTA</w:t>
            </w:r>
          </w:p>
        </w:tc>
        <w:tc>
          <w:tcPr>
            <w:tcW w:type="dxa" w:w="1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§14.5 Grupo 4 — Coherencia Narrativa-Números (5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Check de Coherencia</w:t>
            </w:r>
          </w:p>
        </w:tc>
        <w:tc>
          <w:tcPr>
            <w:tcW w:type="dxa" w:w="23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Estado</w:t>
            </w:r>
          </w:p>
        </w:tc>
      </w:tr>
      <w:tr>
        <w:tc>
          <w:tcPr>
            <w:tcW w:type="dxa" w:w="7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§5.1 Moat FUERTE scales + Spread FY25 &gt;5pp (17.01pp en docx)</w:t>
            </w:r>
          </w:p>
        </w:tc>
        <w:tc>
          <w:tcPr>
            <w:tcW w:type="dxa" w:w="2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w:t>
            </w:r>
          </w:p>
        </w:tc>
      </w:tr>
      <w:tr>
        <w:tc>
          <w:tcPr>
            <w:tcW w:type="dxa" w:w="7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§7.4 Caso 4: EPV $18.35 &lt; $70.40 AND RV $12.64 &lt; $70.40</w:t>
            </w:r>
          </w:p>
        </w:tc>
        <w:tc>
          <w:tcPr>
            <w:tcW w:type="dxa" w:w="2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w:t>
            </w:r>
          </w:p>
        </w:tc>
      </w:tr>
      <w:tr>
        <w:tc>
          <w:tcPr>
            <w:tcW w:type="dxa" w:w="7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WACC citada = 11.3%</w:t>
            </w:r>
          </w:p>
        </w:tc>
        <w:tc>
          <w:tcPr>
            <w:tcW w:type="dxa" w:w="2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w:t>
            </w:r>
          </w:p>
        </w:tc>
      </w:tr>
      <w:tr>
        <w:tc>
          <w:tcPr>
            <w:tcW w:type="dxa" w:w="70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6"/>
                <w:szCs w:val="16"/>
              </w:rPr>
              <w:t xml:space="preserve">MoS/IRR consistent (MoS EPV vs Price = -73.9%; IRR -5.81% → -17.81pp vs hurdle 12%)</w:t>
            </w:r>
          </w:p>
        </w:tc>
        <w:tc>
          <w:tcPr>
            <w:tcW w:type="dxa" w:w="2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w:t>
            </w:r>
          </w:p>
        </w:tc>
      </w:tr>
      <w:tr>
        <w:tc>
          <w:tcPr>
            <w:tcW w:type="dxa" w:w="70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6"/>
                <w:szCs w:val="16"/>
              </w:rPr>
              <w:t xml:space="preserve">θ_firm = ROIC × (1−Reinv Rate) = 20.39% × (1−21.96%) = 15.91% &gt; WACC 11.3%</w:t>
            </w:r>
          </w:p>
        </w:tc>
        <w:tc>
          <w:tcPr>
            <w:tcW w:type="dxa" w:w="23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§14.6 Grupo 5 — Verificación de 10 Fuentes (SEC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Fuente Requerida</w:t>
            </w:r>
          </w:p>
        </w:tc>
        <w:tc>
          <w:tcPr>
            <w:tcW w:type="dxa" w:w="37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Patrones Confirmados</w:t>
            </w:r>
          </w:p>
        </w:tc>
        <w:tc>
          <w:tcPr>
            <w:tcW w:type="dxa" w:w="14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Estado</w:t>
            </w:r>
          </w:p>
        </w:tc>
      </w:tr>
      <w:tr>
        <w:tc>
          <w:tcPr>
            <w:tcW w:type="dxa" w:w="4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SEC 10-K FY2025</w:t>
            </w:r>
          </w:p>
        </w:tc>
        <w:tc>
          <w:tcPr>
            <w:tcW w:type="dxa" w:w="3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sec.gov, uber-20251231, 10-K</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10-Q / Earnings IR</w:t>
            </w:r>
          </w:p>
        </w:tc>
        <w:tc>
          <w:tcPr>
            <w:tcW w:type="dxa" w:w="3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investor.uber.com, earnings, Q4</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Waymo partnership</w:t>
            </w:r>
          </w:p>
        </w:tc>
        <w:tc>
          <w:tcPr>
            <w:tcW w:type="dxa" w:w="3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waymo.com, waymo, Waymo</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Tesla Robotaxi</w:t>
            </w:r>
          </w:p>
        </w:tc>
        <w:tc>
          <w:tcPr>
            <w:tcW w:type="dxa" w:w="3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Tesla_Robotaxi, Tesla Robotaxi, wikipedia.org/wiki/Tesla</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Web source 1 - Business of Apps</w:t>
            </w:r>
          </w:p>
        </w:tc>
        <w:tc>
          <w:tcPr>
            <w:tcW w:type="dxa" w:w="3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businessofapps.com, Business of Apps</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Web source 2 - StockAnalysis</w:t>
            </w:r>
          </w:p>
        </w:tc>
        <w:tc>
          <w:tcPr>
            <w:tcW w:type="dxa" w:w="3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stockanalysis.com, StockAnalysis</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Web source 3 - The Drum / Advertising</w:t>
            </w:r>
          </w:p>
        </w:tc>
        <w:tc>
          <w:tcPr>
            <w:tcW w:type="dxa" w:w="3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thedrum.com, The Drum</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Web source 4 - BusinessQuant</w:t>
            </w:r>
          </w:p>
        </w:tc>
        <w:tc>
          <w:tcPr>
            <w:tcW w:type="dxa" w:w="3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businessquant.com, BusinessQuant</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7"/>
                <w:szCs w:val="17"/>
              </w:rPr>
              <w:t xml:space="preserve">Web source 5 - Linklaters EU Directive</w:t>
            </w:r>
          </w:p>
        </w:tc>
        <w:tc>
          <w:tcPr>
            <w:tcW w:type="dxa" w:w="37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i/>
                <w:iCs/>
                <w:color w:val="1A1A1A"/>
                <w:sz w:val="16"/>
                <w:szCs w:val="16"/>
              </w:rPr>
              <w:t xml:space="preserve">linklaters.com, Linklaters</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r>
        <w:tc>
          <w:tcPr>
            <w:tcW w:type="dxa" w:w="42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7"/>
                <w:szCs w:val="17"/>
              </w:rPr>
              <w:t xml:space="preserve">Web source 6 - Motley Fool / Ackman</w:t>
            </w:r>
          </w:p>
        </w:tc>
        <w:tc>
          <w:tcPr>
            <w:tcW w:type="dxa" w:w="37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i/>
                <w:iCs/>
                <w:color w:val="1A1A1A"/>
                <w:sz w:val="16"/>
                <w:szCs w:val="16"/>
              </w:rPr>
              <w:t xml:space="preserve">fool.com, Motley Fool, Ackman</w:t>
            </w:r>
          </w:p>
        </w:tc>
        <w:tc>
          <w:tcPr>
            <w:tcW w:type="dxa" w:w="14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w:t>
            </w:r>
          </w:p>
        </w:tc>
      </w:tr>
    </w:tbl>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§14.7 Advertencias y Fallos Detectados</w:t>
      </w:r>
    </w:p>
    <w:p>
      <w:pPr>
        <w:spacing w:after="80" w:before="80"/>
      </w:pPr>
      <w:r>
        <w:rPr>
          <w:rFonts w:ascii="Calibri" w:cs="Calibri" w:eastAsia="Calibri" w:hAnsi="Calibri"/>
          <w:b/>
          <w:bCs/>
          <w:i w:val="false"/>
          <w:iCs w:val="false"/>
          <w:color w:val="1A7A42"/>
          <w:sz w:val="22"/>
          <w:szCs w:val="22"/>
        </w:rPr>
        <w:t xml:space="preserve">NINGUNA ADVERTENCIA. NINGÚN FALLO. Todos los 71 checks aprobados con status PASS.</w:t>
      </w:r>
    </w:p>
    <w:p>
      <w:pPr>
        <w:spacing w:after="0" w:before="10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§14.8 Decisiones Columbia v4.3.0 — Tabla Resumida de 17 DPs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DP</w:t>
            </w:r>
          </w:p>
        </w:tc>
        <w:tc>
          <w:tcPr>
            <w:tcW w:type="dxa" w:w="36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Descripción</w:t>
            </w:r>
          </w:p>
        </w:tc>
        <w:tc>
          <w:tcPr>
            <w:tcW w:type="dxa" w:w="34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Decisión Aprobada</w:t>
            </w:r>
          </w:p>
        </w:tc>
        <w:tc>
          <w:tcPr>
            <w:tcW w:type="dxa" w:w="17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Confianza</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S&amp;M Proxy (Captación)</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S&amp;M línea propia 10-K (Tier 2: historical_ratio)</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MEDIUM</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DP2</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R&amp;D Capitalización</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Sí, capitalizar</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DP3</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S&amp;M Vida Útil</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 años</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DP4</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R&amp;D Vida Útil</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5 años</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DP4b</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PIM</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N/A — intangibles agregados en 10-K</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DP5</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SBC Treatment</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Ya en OpEx — NO add-back</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DP6</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Window Normalización</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FY2022-LTM (4 años)</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DP7</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Items No Recurrentes</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Legal/settlements; Equity G/L; Restructuring</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DP8</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Normalización Impuestos</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21% tax rate normalizado</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DP9</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Arrendamientos (Leases)</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ASC 842 ya capitalizado — sin ajuste adicional</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DP10</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Activos No Operativos</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Cash &gt;2% Rev + Equity stakes + STI</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DP11</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WACC</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11,3% (Rf 4,3% + β1,30 × ERP 5,5%; Kd 5,0%; D/E ~3%)</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DP12</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Goodwill en RV</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0% — no reproducible por competidor racional</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DP13</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Intangibles en RV</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CAC×MAUs + Marketing 7y×60% + R&amp;D cap + Licencias</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DP14</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DTA en RV</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70% del valor contable DTA</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MEDIUM</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DP15</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Exit Multiple EPV</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18× EV/NOPAT</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HIGH</w:t>
            </w:r>
          </w:p>
        </w:tc>
      </w:tr>
      <w:tr>
        <w:tc>
          <w:tcPr>
            <w:tcW w:type="dxa" w:w="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DP16</w:t>
            </w:r>
          </w:p>
        </w:tc>
        <w:tc>
          <w:tcPr>
            <w:tcW w:type="dxa" w:w="36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Buybacks Sostenibles (IRR)</w:t>
            </w:r>
          </w:p>
        </w:tc>
        <w:tc>
          <w:tcPr>
            <w:tcW w:type="dxa" w:w="34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$4.000M/año</w:t>
            </w:r>
          </w:p>
        </w:tc>
        <w:tc>
          <w:tcPr>
            <w:tcW w:type="dxa" w:w="17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MEDIUM</w:t>
            </w:r>
          </w:p>
        </w:tc>
      </w:tr>
      <w:tr>
        <w:tc>
          <w:tcPr>
            <w:tcW w:type="dxa" w:w="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DP17</w:t>
            </w:r>
          </w:p>
        </w:tc>
        <w:tc>
          <w:tcPr>
            <w:tcW w:type="dxa" w:w="36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Crecimiento Orgánico (g)</w:t>
            </w:r>
          </w:p>
        </w:tc>
        <w:tc>
          <w:tcPr>
            <w:tcW w:type="dxa" w:w="34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2%/año (Tier 4 manual — multi-segment mature mkts)</w:t>
            </w:r>
          </w:p>
        </w:tc>
        <w:tc>
          <w:tcPr>
            <w:tcW w:type="dxa" w:w="17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MEDIUM</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555555"/>
          <w:sz w:val="16"/>
          <w:szCs w:val="16"/>
        </w:rPr>
        <w:t xml:space="preserve">Resumen confianzas Phase 4 Excel: 0 LOW, 3 MEDIUM, 14 HIGH, 0 FAIL. ΔROIC marginal: +231bps (&lt;1000bps umbral). Balance Sheet: PASS todos los años FY20-25.</w:t>
      </w:r>
    </w:p>
    <w:p>
      <w:pPr>
        <w:spacing w:after="0" w:before="120"/>
      </w:pPr>
      <w:r>
        <w:rPr>
          <w:sz w:val="20"/>
          <w:szCs w:val="20"/>
        </w:rPr>
        <w:t xml:space="preserve"/>
      </w:r>
    </w:p>
    <w:p>
      <w:pPr>
        <w:pStyle w:val="Heading2"/>
        <w:spacing w:after="80" w:before="200"/>
      </w:pPr>
      <w:r>
        <w:rPr>
          <w:rFonts w:ascii="Calibri" w:cs="Calibri" w:eastAsia="Calibri" w:hAnsi="Calibri"/>
          <w:b/>
          <w:bCs/>
          <w:color w:val="1B2642"/>
          <w:sz w:val="28"/>
          <w:szCs w:val="28"/>
        </w:rPr>
        <w:t xml:space="preserve">§14.9 Firma y Certificación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Campo</w:t>
            </w:r>
          </w:p>
        </w:tc>
        <w:tc>
          <w:tcPr>
            <w:tcW w:type="dxa" w:w="5860"/>
            <w:tcBorders>
              <w:top w:val="single" w:color="B0B7C9" w:sz="4"/>
              <w:left w:val="single" w:color="B0B7C9" w:sz="4"/>
              <w:bottom w:val="single" w:color="B0B7C9" w:sz="4"/>
              <w:right w:val="single" w:color="B0B7C9" w:sz="4"/>
            </w:tcBorders>
            <w:shd w:fill="1B2642" w:val="clear"/>
            <w:tcMar>
              <w:top w:type="dxa" w:w="60"/>
              <w:left w:type="dxa" w:w="120"/>
              <w:bottom w:type="dxa" w:w="60"/>
              <w:right w:type="dxa" w:w="120"/>
            </w:tcMar>
            <w:vAlign w:val="center"/>
          </w:tcPr>
          <w:p>
            <w:pPr>
              <w:jc w:val="left"/>
            </w:pPr>
            <w:r>
              <w:rPr>
                <w:rFonts w:ascii="Calibri" w:cs="Calibri" w:eastAsia="Calibri" w:hAnsi="Calibri"/>
                <w:b/>
                <w:bCs/>
                <w:color w:val="FFFFFF"/>
                <w:sz w:val="18"/>
                <w:szCs w:val="18"/>
              </w:rPr>
              <w:t xml:space="preserve">Valor</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Analista</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DCE Investment Team</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Revisado por (CIO)</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Luis</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Firma Institucional</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DCE Holdings</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Fecha de Valoración</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30 de mayo de 2026</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Audit Timestamp (UTC)</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5"/>
                <w:szCs w:val="15"/>
              </w:rPr>
              <w:t xml:space="preserve">2026-05-30T11:26:30.254070+00:00</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bCs/>
                <w:color w:val="1A1A1A"/>
                <w:sz w:val="18"/>
                <w:szCs w:val="18"/>
              </w:rPr>
              <w:t xml:space="preserve">Veredicto Final Phase 4</w:t>
            </w:r>
          </w:p>
        </w:tc>
        <w:tc>
          <w:tcPr>
            <w:tcW w:type="dxa" w:w="5860"/>
            <w:tcBorders>
              <w:top w:val="single" w:color="B0B7C9" w:sz="4"/>
              <w:left w:val="single" w:color="B0B7C9" w:sz="4"/>
              <w:bottom w:val="single" w:color="B0B7C9" w:sz="4"/>
              <w:right w:val="single" w:color="B0B7C9" w:sz="4"/>
            </w:tcBorders>
            <w:shd w:fill="D4EDDA" w:val="clear"/>
            <w:tcMar>
              <w:top w:type="dxa" w:w="60"/>
              <w:left w:type="dxa" w:w="120"/>
              <w:bottom w:type="dxa" w:w="60"/>
              <w:right w:type="dxa" w:w="120"/>
            </w:tcMar>
            <w:vAlign w:val="center"/>
          </w:tcPr>
          <w:p>
            <w:pPr>
              <w:jc w:val="left"/>
            </w:pPr>
            <w:r>
              <w:rPr>
                <w:rFonts w:ascii="Calibri" w:cs="Calibri" w:eastAsia="Calibri" w:hAnsi="Calibri"/>
                <w:b/>
                <w:bCs/>
                <w:color w:val="155724"/>
                <w:sz w:val="18"/>
                <w:szCs w:val="18"/>
              </w:rPr>
              <w:t xml:space="preserve">PASS — 71/71 checks aprobados</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Modelo Columbia</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v4.3.0 — 14 sheets — Excel SHA256: d59b42...990e ✓</w:t>
            </w:r>
          </w:p>
        </w:tc>
      </w:tr>
      <w:tr>
        <w:tc>
          <w:tcPr>
            <w:tcW w:type="dxa" w:w="350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Clasificación Brief</w:t>
            </w:r>
          </w:p>
        </w:tc>
        <w:tc>
          <w:tcPr>
            <w:tcW w:type="dxa" w:w="5860"/>
            <w:tcBorders>
              <w:top w:val="single" w:color="B0B7C9" w:sz="4"/>
              <w:left w:val="single" w:color="B0B7C9" w:sz="4"/>
              <w:bottom w:val="single" w:color="B0B7C9" w:sz="4"/>
              <w:right w:val="single" w:color="B0B7C9" w:sz="4"/>
            </w:tcBorders>
            <w:shd w:fill="F2F4F8" w:val="clear"/>
            <w:tcMar>
              <w:top w:type="dxa" w:w="60"/>
              <w:left w:type="dxa" w:w="120"/>
              <w:bottom w:type="dxa" w:w="60"/>
              <w:right w:type="dxa" w:w="120"/>
            </w:tcMar>
            <w:vAlign w:val="center"/>
          </w:tcPr>
          <w:p>
            <w:pPr>
              <w:jc w:val="left"/>
            </w:pPr>
            <w:r>
              <w:rPr>
                <w:rFonts w:ascii="Calibri" w:cs="Calibri" w:eastAsia="Calibri" w:hAnsi="Calibri"/>
                <w:b w:val="false"/>
                <w:bCs w:val="false"/>
                <w:color w:val="1A1A1A"/>
                <w:sz w:val="18"/>
                <w:szCs w:val="18"/>
              </w:rPr>
              <w:t xml:space="preserve">PIPELINE — No en portfolio.json</w:t>
            </w:r>
          </w:p>
        </w:tc>
      </w:tr>
      <w:tr>
        <w:tc>
          <w:tcPr>
            <w:tcW w:type="dxa" w:w="350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Precio de Referencia</w:t>
            </w:r>
          </w:p>
        </w:tc>
        <w:tc>
          <w:tcPr>
            <w:tcW w:type="dxa" w:w="5860"/>
            <w:tcBorders>
              <w:top w:val="single" w:color="B0B7C9" w:sz="4"/>
              <w:left w:val="single" w:color="B0B7C9" w:sz="4"/>
              <w:bottom w:val="single" w:color="B0B7C9" w:sz="4"/>
              <w:right w:val="single" w:color="B0B7C9" w:sz="4"/>
            </w:tcBorders>
            <w:shd w:fill="FFFFFF" w:val="clear"/>
            <w:tcMar>
              <w:top w:type="dxa" w:w="60"/>
              <w:left w:type="dxa" w:w="120"/>
              <w:bottom w:type="dxa" w:w="60"/>
              <w:right w:type="dxa" w:w="120"/>
            </w:tcMar>
          </w:tcPr>
          <w:p>
            <w:pPr>
              <w:jc w:val="left"/>
            </w:pPr>
            <w:r>
              <w:rPr>
                <w:rFonts w:ascii="Calibri" w:cs="Calibri" w:eastAsia="Calibri" w:hAnsi="Calibri"/>
                <w:b/>
                <w:bCs/>
                <w:color w:val="1A1A1A"/>
                <w:sz w:val="18"/>
                <w:szCs w:val="18"/>
              </w:rPr>
              <w:t xml:space="preserve">$70,40 (UBER/NYSE — 30-may-2026)</w:t>
            </w:r>
          </w:p>
        </w:tc>
      </w:tr>
    </w:tbl>
    <w:p>
      <w:pPr>
        <w:spacing w:after="0" w:before="80"/>
      </w:pPr>
      <w:r>
        <w:rPr>
          <w:sz w:val="20"/>
          <w:szCs w:val="20"/>
        </w:rPr>
        <w:t xml:space="preserve"/>
      </w:r>
    </w:p>
    <w:p>
      <w:pPr>
        <w:spacing w:after="80" w:before="80"/>
      </w:pPr>
      <w:r>
        <w:rPr>
          <w:rFonts w:ascii="Calibri" w:cs="Calibri" w:eastAsia="Calibri" w:hAnsi="Calibri"/>
          <w:b w:val="false"/>
          <w:bCs w:val="false"/>
          <w:i/>
          <w:iCs/>
          <w:color w:val="333333"/>
          <w:sz w:val="17"/>
          <w:szCs w:val="17"/>
        </w:rPr>
        <w:t xml:space="preserve">Este Company Brief v2.0 ha superado el Audit Gate de Phase 4 con veredicto PASS (71/71 checks, 0 fallos, 0 advertencias). El documento es apto para distribución al Comité de Inversiones de DCE Holdings en el proceso CI formal. Este Brief es un base case consensuado y NO constituye recomendación de inversión ni veredicto de inversión.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Página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de </w:t>
    </w:r>
    <w:r>
      <w:rPr>
        <w:rFonts w:ascii="Calibri" w:cs="Calibri" w:eastAsia="Calibri" w:hAnsi="Calibri"/>
        <w:color w:val="777777"/>
        <w:sz w:val="16"/>
        <w:szCs w:val="16"/>
      </w:rPr>
      <w:fldChar w:fldCharType="begin"/>
      <w:instrText xml:space="preserve">NUMPAGES</w:instrText>
      <w:fldChar w:fldCharType="separate"/>
      <w:fldChar w:fldCharType="end"/>
    </w:r>
    <w:r>
      <w:rPr>
        <w:rFonts w:ascii="Calibri" w:cs="Calibri" w:eastAsia="Calibri" w:hAnsi="Calibri"/>
        <w:color w:val="999999"/>
        <w:sz w:val="16"/>
        <w:szCs w:val="16"/>
      </w:rPr>
      <w:t xml:space="preserve">  |  DCE Holdings — 30 de mayo de 2026  |  Precio Referencia: $70,40 (UBER/NYSE)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77777"/>
        <w:sz w:val="16"/>
        <w:szCs w:val="16"/>
      </w:rPr>
      <w:t xml:space="preserve">DCE Holdings — Company Brief v2.0 — UBER (NYSE)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2642"/>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1B2642"/>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B88B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2026-05-30T11:31:06.461Z</dcterms:created>
  <dcterms:modified xsi:type="dcterms:W3CDTF">2026-05-30T11:31:06.461Z</dcterms:modified>
</cp:coreProperties>
</file>

<file path=docProps/custom.xml><?xml version="1.0" encoding="utf-8"?>
<Properties xmlns="http://schemas.openxmlformats.org/officeDocument/2006/custom-properties" xmlns:vt="http://schemas.openxmlformats.org/officeDocument/2006/docPropsVTypes"/>
</file>