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color w:val="1B2642"/>
          <w:sz w:val="44"/>
        </w:rPr>
        <w:t>DCE HOLDINGS</w:t>
      </w:r>
    </w:p>
    <w:p>
      <w:pPr>
        <w:jc w:val="center"/>
      </w:pPr>
      <w:r>
        <w:rPr>
          <w:rFonts w:ascii="Helvetica" w:hAnsi="Helvetica"/>
          <w:b/>
          <w:color w:val="1B2642"/>
          <w:sz w:val="30"/>
        </w:rPr>
        <w:t>OPERATING ARCHITECTURE</w:t>
      </w:r>
    </w:p>
    <w:p>
      <w:pPr>
        <w:jc w:val="center"/>
      </w:pPr>
      <w:r>
        <w:rPr>
          <w:rFonts w:ascii="Helvetica" w:hAnsi="Helvetica"/>
          <w:b w:val="0"/>
          <w:color w:val="B88B47"/>
          <w:sz w:val="24"/>
        </w:rPr>
        <w:t>Equipo de Inversión 2026-2031</w:t>
      </w:r>
    </w:p>
    <w:p>
      <w:pPr>
        <w:jc w:val="center"/>
      </w:pPr>
      <w:r>
        <w:rPr>
          <w:rFonts w:ascii="Helvetica" w:hAnsi="Helvetica"/>
          <w:b w:val="0"/>
          <w:color w:val="1B2642"/>
          <w:sz w:val="20"/>
        </w:rPr>
        <w:t>Documento de Arquitectura — Mayo 2026</w:t>
      </w:r>
    </w:p>
    <w:p>
      <w:pPr>
        <w:spacing w:before="280" w:after="120"/>
      </w:pPr>
      <w:r>
        <w:rPr>
          <w:rFonts w:ascii="Helvetica" w:hAnsi="Helvetica"/>
          <w:b/>
          <w:color w:val="1B2642"/>
          <w:sz w:val="28"/>
        </w:rPr>
        <w:t>1.  Propósito de este documento</w:t>
      </w:r>
    </w:p>
    <w:p>
      <w:pPr>
        <w:spacing w:after="80" w:line="300" w:lineRule="auto"/>
      </w:pPr>
      <w:r>
        <w:rPr>
          <w:rFonts w:ascii="Helvetica" w:hAnsi="Helvetica"/>
          <w:sz w:val="21"/>
        </w:rPr>
        <w:t>Este documento no es un manual operativo ni un hiring brief. Es el documento de arquitectura que articula el modelo de operación del equipo de inversión de DCE Holdings durante el periodo fundacional 2026-2031. Captura la división de labor entre CIO y analistas, las dinámicas del proceso, los principios de diseño que sostienen el sistema y la trayectoria evolutiva del equipo hacia la formación de un Comité de Inversiones interno en 2031.</w:t>
      </w:r>
    </w:p>
    <w:p>
      <w:pPr>
        <w:spacing w:after="80" w:line="300" w:lineRule="auto"/>
      </w:pPr>
      <w:r>
        <w:rPr>
          <w:rFonts w:ascii="Helvetica" w:hAnsi="Helvetica"/>
          <w:sz w:val="21"/>
        </w:rPr>
        <w:t>Sirve como base intelectual para tres documentos derivados que se producirán a continuación: (a) el Hiring Brief v4.0 que reemplaza el v3.3 calibrado para senior, (b) la actualización del Operations Manual a v3.7 que incorpora el proceso adversarial al sistema de gobernanza vigente, y (c) un CIO Charter interno que documenta el rol del CIO con la misma disciplina con la que se documenta el rol del analista.</w:t>
      </w:r>
    </w:p>
    <w:p>
      <w:pPr>
        <w:spacing w:before="280" w:after="120"/>
      </w:pPr>
      <w:r>
        <w:rPr>
          <w:rFonts w:ascii="Helvetica" w:hAnsi="Helvetica"/>
          <w:b/>
          <w:color w:val="1B2642"/>
          <w:sz w:val="28"/>
        </w:rPr>
        <w:t>2.  Principios de diseño</w:t>
      </w:r>
    </w:p>
    <w:p>
      <w:pPr>
        <w:spacing w:before="160" w:after="60"/>
      </w:pPr>
      <w:r>
        <w:rPr>
          <w:rFonts w:ascii="Helvetica" w:hAnsi="Helvetica"/>
          <w:b/>
          <w:color w:val="B88B47"/>
          <w:sz w:val="23"/>
        </w:rPr>
        <w:t>2.1  El sistema operativo es el senior técnico</w:t>
      </w:r>
    </w:p>
    <w:p>
      <w:pPr>
        <w:spacing w:after="80" w:line="300" w:lineRule="auto"/>
      </w:pPr>
      <w:r>
        <w:rPr>
          <w:rFonts w:ascii="Helvetica" w:hAnsi="Helvetica"/>
          <w:sz w:val="21"/>
        </w:rPr>
        <w:t>DCE Holdings opera un stack de skills institucionales que automatiza el research mecánico: columbia-valuation produce el modelo de 14 hojas, columbia-update-incremental rolea los periodos LTM, dce-thesis-breaker genera el stress test cuantitativo, dce-munger-digital produce la evaluación conductual de la tesis, dce-decision-tree orquesta el pipeline completo de research, dce-reunderwriting-submit cierra los re-underwritings trimestrales, fintel-api alimenta el flujo de superinvestores, y valuation-report consolida el informe de inversión en Word. Este sistema reemplaza la necesidad de contratar a un analista senior con 10 años de experiencia técnica: el sistema hace el trabajo de modelaje, formato y documentación que un senior produciría manualmente.</w:t>
      </w:r>
    </w:p>
    <w:p>
      <w:pPr>
        <w:spacing w:after="80" w:line="300" w:lineRule="auto"/>
      </w:pPr>
      <w:r>
        <w:rPr>
          <w:rFonts w:ascii="Helvetica" w:hAnsi="Helvetica"/>
          <w:sz w:val="21"/>
        </w:rPr>
        <w:t>La consecuencia operativa es que el rol del humano no es producir research desde cero. Es interpretar lo que el sistema produce, identificar lo que el sistema no captura y defender o atacar tesis con criterio. El sistema entrega los inputs cuantitativos; el humano aporta el criterio interpretativo.</w:t>
      </w:r>
    </w:p>
    <w:p>
      <w:pPr>
        <w:spacing w:before="160" w:after="60"/>
      </w:pPr>
      <w:r>
        <w:rPr>
          <w:rFonts w:ascii="Helvetica" w:hAnsi="Helvetica"/>
          <w:b/>
          <w:color w:val="B88B47"/>
          <w:sz w:val="23"/>
        </w:rPr>
        <w:t>2.2  Proceso adversarial como mecanismo de calidad</w:t>
      </w:r>
    </w:p>
    <w:p>
      <w:pPr>
        <w:spacing w:after="80" w:line="300" w:lineRule="auto"/>
      </w:pPr>
      <w:r>
        <w:rPr>
          <w:rFonts w:ascii="Helvetica" w:hAnsi="Helvetica"/>
          <w:sz w:val="21"/>
        </w:rPr>
        <w:t>Las buenas decisiones de inversión no surgen de un solo analista construyendo una tesis y un decisor validándola. Surgen de un proceso donde el caso a favor y el caso en contra de cada idea se construyen con rigor independiente y se confrontan abiertamente frente a un árbitro. Buffett tiene a Munger. Klarman tiene a su equipo. Druckenmiller tuvo años con Soros. Los grandes inversores que operan con disciplina tienen, formal o informalmente, un mecanismo adversarial. DCE Holdings institucionaliza ese mecanismo como principio de diseño, no como práctica accidental.</w:t>
      </w:r>
    </w:p>
    <w:p>
      <w:pPr>
        <w:spacing w:after="80" w:line="300" w:lineRule="auto"/>
      </w:pPr>
      <w:r>
        <w:rPr>
          <w:rFonts w:ascii="Helvetica" w:hAnsi="Helvetica"/>
          <w:sz w:val="21"/>
        </w:rPr>
        <w:t>El proceso adversarial requiere dos analistas operando en paralelo. Un solo analista no puede ser su propio adversario sin sesgar el resultado; un senior reportando solo al CIO reproduce la asimetría de información que el adversarial busca corregir. La estructura de dos analistas no es una decisión presupuestaria ni de aprendizaje — es una decisión metodológica sobre cómo se producen decisiones de inversión calibradas.</w:t>
      </w:r>
    </w:p>
    <w:p>
      <w:pPr>
        <w:spacing w:before="160" w:after="60"/>
      </w:pPr>
      <w:r>
        <w:rPr>
          <w:rFonts w:ascii="Helvetica" w:hAnsi="Helvetica"/>
          <w:b/>
          <w:color w:val="B88B47"/>
          <w:sz w:val="23"/>
        </w:rPr>
        <w:t>2.3  Solidez financiera como prerrequisito; pitch como oficio formativo</w:t>
      </w:r>
    </w:p>
    <w:p>
      <w:pPr>
        <w:spacing w:after="80" w:line="300" w:lineRule="auto"/>
      </w:pPr>
      <w:r>
        <w:rPr>
          <w:rFonts w:ascii="Helvetica" w:hAnsi="Helvetica"/>
          <w:sz w:val="21"/>
        </w:rPr>
        <w:t>El sistema adversarial funciona solo si ambos lados se construyen sobre base financiera sólida. Un analista con habilidad argumentativa fuerte pero base financiera débil produce documentos persuasivos con apariencia de rigor — el modo de falla más peligroso del proceso institucional. Por eso la jerarquía de requisitos es asimétrica: solidez financiera, motivación intrínseca por la inversión, CFA Nivel I aprobado e inglés técnico son prerrequisitos no negociables de entrada. La habilidad de pitch, la disciplina argumentativa y la capacidad de defender bajo presión se forman en el rol, durante la cadencia quincenal de pitches adversariales.</w:t>
      </w:r>
    </w:p>
    <w:p>
      <w:pPr>
        <w:spacing w:after="80" w:line="300" w:lineRule="auto"/>
      </w:pPr>
      <w:r>
        <w:rPr>
          <w:rFonts w:ascii="Helvetica" w:hAnsi="Helvetica"/>
          <w:sz w:val="21"/>
        </w:rPr>
        <w:t>Esa asimetría es estructural, no semántica: la solidez financiera no se complementa con cadencia (requiere años de inmersión genuina), pero la habilidad de pitch sí se entrena con repetición guiada (26 pitches anuales con feedback inmediato y comparativo).</w:t>
      </w:r>
    </w:p>
    <w:p>
      <w:pPr>
        <w:spacing w:before="160" w:after="60"/>
      </w:pPr>
      <w:r>
        <w:rPr>
          <w:rFonts w:ascii="Helvetica" w:hAnsi="Helvetica"/>
          <w:b/>
          <w:color w:val="B88B47"/>
          <w:sz w:val="23"/>
        </w:rPr>
        <w:t>2.4  CIO como árbitro, no como validador</w:t>
      </w:r>
    </w:p>
    <w:p>
      <w:pPr>
        <w:spacing w:after="80" w:line="300" w:lineRule="auto"/>
      </w:pPr>
      <w:r>
        <w:rPr>
          <w:rFonts w:ascii="Helvetica" w:hAnsi="Helvetica"/>
          <w:sz w:val="21"/>
        </w:rPr>
        <w:t>En un modelo tradicional, el CIO recibe un memo de un analista y lo valida o lo rechaza. Esto produce una dinámica donde el analista construye su memo anticipando lo que el CIO quiere oír, y el CIO termina decidiendo con información ya sesgada hacia un lado. En el modelo adversarial de DCE Holdings, el CIO recibe dos memos construidos en aislamiento sobre lados opuestos de la misma empresa, y decide como árbitro tras escuchar el debate cruzado.</w:t>
      </w:r>
    </w:p>
    <w:p>
      <w:pPr>
        <w:spacing w:after="80" w:line="300" w:lineRule="auto"/>
      </w:pPr>
      <w:r>
        <w:rPr>
          <w:rFonts w:ascii="Helvetica" w:hAnsi="Helvetica"/>
          <w:sz w:val="21"/>
        </w:rPr>
        <w:t>Esta diferencia es crítica porque cambia lo que el CIO necesita saber. No necesita conocer la empresa mejor que los analistas — necesita escuchar dos versiones rigurosas de su futuro probable y ponderar honestamente cuál pesa más. El CIO se vuelve experto en evaluar la calidad del argumento, no en producirlo. Esa es exactamente la habilidad que la trayectoria empresarial de diez años previa entrena de forma natural.</w:t>
      </w:r>
    </w:p>
    <w:p>
      <w:pPr>
        <w:spacing w:before="160" w:after="60"/>
      </w:pPr>
      <w:r>
        <w:rPr>
          <w:rFonts w:ascii="Helvetica" w:hAnsi="Helvetica"/>
          <w:b/>
          <w:color w:val="B88B47"/>
          <w:sz w:val="23"/>
        </w:rPr>
        <w:t>2.5  Pipeline abierto como propiedad del proceso</w:t>
      </w:r>
    </w:p>
    <w:p>
      <w:pPr>
        <w:spacing w:after="80" w:line="300" w:lineRule="auto"/>
      </w:pPr>
      <w:r>
        <w:rPr>
          <w:rFonts w:ascii="Helvetica" w:hAnsi="Helvetica"/>
          <w:sz w:val="21"/>
        </w:rPr>
        <w:t>El pipeline de ideas no es propiedad jerárquica del CIO. Cualquier miembro del equipo — CIO o analistas — puede proponer ideas al pipeline mediante un formato mínimo estandarizado de una página: ticker, sector, capitalización, tesis embrionaria, fuente de descubrimiento, razón de admisión. Las propuestas se aceptan automáticamente si cumplen el formato. El CIO no aprueba ni rechaza ideas individuales — solo decide qué dos propuestas pasan al ciclo de descubrimiento quincenal.</w:t>
      </w:r>
    </w:p>
    <w:p>
      <w:pPr>
        <w:spacing w:after="80" w:line="300" w:lineRule="auto"/>
      </w:pPr>
      <w:r>
        <w:rPr>
          <w:rFonts w:ascii="Helvetica" w:hAnsi="Helvetica"/>
          <w:sz w:val="21"/>
        </w:rPr>
        <w:t>Esto crea un mecanismo natural de premio intelectual: los analistas que leen ampliamente fuera de sus deep dives — cartas de fondos, 13Fs de superinvestores, sector reports — alimentan el pipeline y eventualmente ven sus ideas convertidas en posiciones del holding. La curiosidad lateral se convierte en input productivo del sistema, sin necesidad de incentivos variables atados a productividad de ideas.</w:t>
      </w:r>
    </w:p>
    <w:p>
      <w:pPr>
        <w:spacing w:before="160" w:after="60"/>
      </w:pPr>
      <w:r>
        <w:rPr>
          <w:rFonts w:ascii="Helvetica" w:hAnsi="Helvetica"/>
          <w:b/>
          <w:color w:val="B88B47"/>
          <w:sz w:val="23"/>
        </w:rPr>
        <w:t>2.6  Cinco años fundacionales: aprendizaje sobre retorno</w:t>
      </w:r>
    </w:p>
    <w:p>
      <w:pPr>
        <w:spacing w:after="80" w:line="300" w:lineRule="auto"/>
      </w:pPr>
      <w:r>
        <w:rPr>
          <w:rFonts w:ascii="Helvetica" w:hAnsi="Helvetica"/>
          <w:sz w:val="21"/>
        </w:rPr>
        <w:t>El horizonte 2026-2031 está deliberadamente calibrado hacia la construcción de capacidad institucional, no hacia la maximización de retorno absoluto. Métricas correctas del periodo fundacional: número de tesis defendidas y atacadas, failure modes documentados y verificados ex-post, sectores estudiados a profundidad, modelos mentales internalizados, calidad del Decision Journal acumulado.</w:t>
      </w:r>
    </w:p>
    <w:p>
      <w:pPr>
        <w:spacing w:after="80" w:line="300" w:lineRule="auto"/>
      </w:pPr>
      <w:r>
        <w:rPr>
          <w:rFonts w:ascii="Helvetica" w:hAnsi="Helvetica"/>
          <w:sz w:val="21"/>
        </w:rPr>
        <w:t>Métricas incorrectas del periodo fundacional, no porque no importen sino porque dominan demasiado tarde: IRR del portafolio, alpha sobre benchmark, Sharpe ratio. Estas se vuelven dominantes a partir del año 6, cuando el sistema institucional esté maduro y el comité interno opere con voto pleno.</w:t>
      </w:r>
    </w:p>
    <w:p>
      <w:pPr>
        <w:spacing w:before="120" w:after="120"/>
        <w:ind w:left="576" w:right="576"/>
      </w:pPr>
      <w:r>
        <w:rPr>
          <w:rFonts w:ascii="Helvetica" w:hAnsi="Helvetica"/>
          <w:i/>
          <w:color w:val="1B2642"/>
          <w:sz w:val="21"/>
        </w:rPr>
        <w:t>"En estos primeros cinco años fundacionales, más que el retorno, lo importante es hacer varias bets y muchos análisis para crecer. Me da igual si el retorno fue 9% o 18% si aprendimos mucho." — CIO, Mayo 2026.</w:t>
      </w:r>
    </w:p>
    <w:p>
      <w:pPr>
        <w:spacing w:before="280" w:after="120"/>
      </w:pPr>
      <w:r>
        <w:rPr>
          <w:rFonts w:ascii="Helvetica" w:hAnsi="Helvetica"/>
          <w:b/>
          <w:color w:val="1B2642"/>
          <w:sz w:val="28"/>
        </w:rPr>
        <w:t>3.  Estructura del equipo</w:t>
      </w:r>
    </w:p>
    <w:p>
      <w:pPr>
        <w:spacing w:before="160" w:after="60"/>
      </w:pPr>
      <w:r>
        <w:rPr>
          <w:rFonts w:ascii="Helvetica" w:hAnsi="Helvetica"/>
          <w:b/>
          <w:color w:val="B88B47"/>
          <w:sz w:val="23"/>
        </w:rPr>
        <w:t>3.1  Composición 2026-2028</w:t>
      </w:r>
    </w:p>
    <w:p>
      <w:pPr>
        <w:spacing w:after="80" w:line="300" w:lineRule="auto"/>
      </w:pPr>
      <w:r>
        <w:rPr>
          <w:rFonts w:ascii="Helvetica" w:hAnsi="Helvetica"/>
          <w:sz w:val="21"/>
        </w:rPr>
        <w:t>Equipo de tres personas: CIO + dos Investment Analysts juniors. Los analistas se contratan en simultáneo, no en cadencia escalonada, porque el proceso adversarial requiere dos partes desde el día uno. Contratar uno primero y otro seis meses después destruiría exactamente el mecanismo que justifica el modelo.</w:t>
      </w:r>
    </w:p>
    <w:p>
      <w:pPr>
        <w:spacing w:after="80" w:line="300" w:lineRule="auto"/>
      </w:pPr>
      <w:r>
        <w:rPr>
          <w:rFonts w:ascii="Helvetica" w:hAnsi="Helvetica"/>
          <w:sz w:val="21"/>
        </w:rPr>
        <w:t>Perfil del analista: 2-4 años de experiencia, CFA Nivel I aprobado (L2 preferente), base financiera sólida demostrable, motivación intrínseca por value y quality investing. Sede: Ciudad de Guatemala con flexibilidad remota — el CIO opera desde múltiples geografías y la dinámica del equipo es predominantemente asincrónica entre pitches.</w:t>
      </w:r>
    </w:p>
    <w:p>
      <w:pPr>
        <w:spacing w:after="80" w:line="300" w:lineRule="auto"/>
      </w:pPr>
      <w:r>
        <w:rPr>
          <w:rFonts w:ascii="Helvetica" w:hAnsi="Helvetica"/>
          <w:sz w:val="21"/>
        </w:rPr>
        <w:t>Compensación: USD 2,000/mes base + variable simbólico anual atado a calidad técnica del proceso (frecuencia de errores detectados aguas abajo, completitud de entregables, cumplimiento de cadencia). El variable no se ata a rendimiento del portafolio durante el periodo fundacional, porque crearía incentivos mal alineados con la métrica real del periodo (aprendizaje institucional acumulado, no IRR).</w:t>
      </w:r>
    </w:p>
    <w:p>
      <w:pPr>
        <w:spacing w:before="160" w:after="60"/>
      </w:pPr>
      <w:r>
        <w:rPr>
          <w:rFonts w:ascii="Helvetica" w:hAnsi="Helvetica"/>
          <w:b/>
          <w:color w:val="B88B47"/>
          <w:sz w:val="23"/>
        </w:rPr>
        <w:t>3.2  Evolución 2028-2031</w:t>
      </w:r>
    </w:p>
    <w:p>
      <w:pPr>
        <w:spacing w:after="80" w:line="300" w:lineRule="auto"/>
      </w:pPr>
      <w:r>
        <w:rPr>
          <w:rFonts w:ascii="Helvetica" w:hAnsi="Helvetica"/>
          <w:sz w:val="21"/>
        </w:rPr>
        <w:t>A partir del año 3, los analistas que demuestran calibración técnica y disciplina argumentativa evolucionan a Senior Analyst con autonomía creciente, especialización sectorial reconocida y voto consultivo en las decisiones de portafolio. La evaluación es auditable: 5 años de pitches, memos firmados y decisiones documentadas en el Decision Journal proveen evidencia objetiva sobre calidad de proceso.</w:t>
      </w:r>
    </w:p>
    <w:p>
      <w:pPr>
        <w:spacing w:after="80" w:line="300" w:lineRule="auto"/>
      </w:pPr>
      <w:r>
        <w:rPr>
          <w:rFonts w:ascii="Helvetica" w:hAnsi="Helvetica"/>
          <w:sz w:val="21"/>
        </w:rPr>
        <w:t>En 2031, el equipo evoluciona a un Comité de Inversiones interno compuesto por: el CIO en rol de Chairman/Principal con voto final y responsabilidad fiduciaria, dos Portfolio Managers (los analistas formados en el sistema, ahora con voto pleno) y opcionalmente un miembro externo no ejecutivo para perspectiva exógena y desempate. Esto se activa simultáneamente con dos condiciones: AUM superior a USD 10M y calibración interna completada con evidencia documental.</w:t>
      </w:r>
    </w:p>
    <w:p>
      <w:pPr>
        <w:spacing w:after="80" w:line="300" w:lineRule="auto"/>
      </w:pPr>
      <w:r>
        <w:rPr>
          <w:rFonts w:ascii="Helvetica" w:hAnsi="Helvetica"/>
          <w:sz w:val="21"/>
        </w:rPr>
        <w:t>Trayectoria del CIO: durante 2026-2031, transición progresiva de CIO operativo (productor de research) a Chairman / Principal (árbitro de proceso y custodio de capital allocation a nivel holding). En 2031, el CIO no produce research de día a día — preside el comité, mantiene la pluma sobre la asignación de capital entre el portafolio público y las empresas operativas, y opera como senior reviewer del sistema institucional.</w:t>
      </w:r>
    </w:p>
    <w:p>
      <w:pPr>
        <w:spacing w:before="280" w:after="120"/>
      </w:pPr>
      <w:r>
        <w:rPr>
          <w:rFonts w:ascii="Helvetica" w:hAnsi="Helvetica"/>
          <w:b/>
          <w:color w:val="1B2642"/>
          <w:sz w:val="28"/>
        </w:rPr>
        <w:t>4.  Cadencia operativa del research</w:t>
      </w:r>
    </w:p>
    <w:p>
      <w:pPr>
        <w:spacing w:before="160" w:after="60"/>
      </w:pPr>
      <w:r>
        <w:rPr>
          <w:rFonts w:ascii="Helvetica" w:hAnsi="Helvetica"/>
          <w:b/>
          <w:color w:val="B88B47"/>
          <w:sz w:val="23"/>
        </w:rPr>
        <w:t>4.1  Ciclo quincenal — doble filtro</w:t>
      </w:r>
    </w:p>
    <w:p>
      <w:pPr>
        <w:spacing w:after="80" w:line="300" w:lineRule="auto"/>
      </w:pPr>
      <w:r>
        <w:rPr>
          <w:rFonts w:ascii="Helvetica" w:hAnsi="Helvetica"/>
          <w:sz w:val="21"/>
        </w:rPr>
        <w:t>Cada quincena, el equipo ejecuta un ciclo completo de investigación sobre dos empresas distintas, de las cuales solo una pasa al ciclo profundo de análisis adversarial. Esto institucionaliza el filtro de calidad: el equipo explora 52 empresas al año a profundidad de descubrimiento, pero solo 26 consumen el ciclo costoso de bull/bear cuantificado.</w:t>
      </w:r>
    </w:p>
    <w:p>
      <w:pPr>
        <w:spacing w:before="160" w:after="60"/>
      </w:pPr>
      <w:r>
        <w:rPr>
          <w:rFonts w:ascii="Helvetica" w:hAnsi="Helvetica"/>
          <w:b/>
          <w:color w:val="B88B47"/>
          <w:sz w:val="23"/>
        </w:rPr>
        <w:t>4.2  Semana 1 — Descubrimiento paralelo independiente</w:t>
      </w:r>
    </w:p>
    <w:p>
      <w:pPr>
        <w:pStyle w:val="ListBullet"/>
        <w:spacing w:line="288" w:lineRule="auto"/>
      </w:pPr>
      <w:r>
        <w:rPr>
          <w:rFonts w:ascii="Helvetica" w:hAnsi="Helvetica"/>
          <w:sz w:val="21"/>
        </w:rPr>
        <w:t>Lunes-Viernes: Analista A produce un Company Brief de ~10 páginas sobre una empresa del pipeline (qué hace, a quién le vende, cómo gana dinero, quién compite, historia financiera, management, sector). En paralelo, Analista B hace lo mismo sobre otra empresa distinta. Ambos trabajan en aislamiento sin compartir avances.</w:t>
      </w:r>
    </w:p>
    <w:p>
      <w:pPr>
        <w:pStyle w:val="ListBullet"/>
        <w:spacing w:line="288" w:lineRule="auto"/>
      </w:pPr>
      <w:r>
        <w:rPr>
          <w:rFonts w:ascii="Helvetica" w:hAnsi="Helvetica"/>
          <w:sz w:val="21"/>
        </w:rPr>
        <w:t>Cada uno construye el Columbia Model parcial de su empresa con supuestos base consensuables. El sistema de skills automatiza el grueso del modelado; el analista firma los supuestos y la interpretación.</w:t>
      </w:r>
    </w:p>
    <w:p>
      <w:pPr>
        <w:pStyle w:val="ListBullet"/>
        <w:spacing w:line="288" w:lineRule="auto"/>
      </w:pPr>
      <w:r>
        <w:rPr>
          <w:rFonts w:ascii="Helvetica" w:hAnsi="Helvetica"/>
          <w:sz w:val="21"/>
        </w:rPr>
        <w:t>Martes de Semana 1 — Pitch de descubrimiento: A presenta al CIO durante 25-30 minutos. B presenta al CIO durante 25-30 minutos. El CIO formula preguntas exploratorias, no adversariales. Al final, el CIO decide cuál de las dos empresas pasa al ciclo de escenarios y documenta la razón en el Decision Journal (1-2 párrafos). La empresa no elegida se archiva en watchlist con su Company Brief firmado — sigue siendo activo institucional del holding.</w:t>
      </w:r>
    </w:p>
    <w:p>
      <w:pPr>
        <w:spacing w:before="160" w:after="60"/>
      </w:pPr>
      <w:r>
        <w:rPr>
          <w:rFonts w:ascii="Helvetica" w:hAnsi="Helvetica"/>
          <w:b/>
          <w:color w:val="B88B47"/>
          <w:sz w:val="23"/>
        </w:rPr>
        <w:t>4.3  Semana 2 — Interpretación adversarial sobre la empresa elegida</w:t>
      </w:r>
    </w:p>
    <w:p>
      <w:pPr>
        <w:pStyle w:val="ListBullet"/>
        <w:spacing w:line="288" w:lineRule="auto"/>
      </w:pPr>
      <w:r>
        <w:rPr>
          <w:rFonts w:ascii="Helvetica" w:hAnsi="Helvetica"/>
          <w:sz w:val="21"/>
        </w:rPr>
        <w:t>El analista que descubrió la empresa ganadora toma automáticamente el lado Bull. Es psicológicamente honesto: ya la defendió positivamente en Semana 1.</w:t>
      </w:r>
    </w:p>
    <w:p>
      <w:pPr>
        <w:pStyle w:val="ListBullet"/>
        <w:spacing w:line="288" w:lineRule="auto"/>
      </w:pPr>
      <w:r>
        <w:rPr>
          <w:rFonts w:ascii="Helvetica" w:hAnsi="Helvetica"/>
          <w:sz w:val="21"/>
        </w:rPr>
        <w:t>El otro analista toma el lado Bear. Su motivación es honesta y productiva: demostrar al CIO que la decisión de elegir la otra empresa sobre la suya pudo haber sido subóptima.</w:t>
      </w:r>
    </w:p>
    <w:p>
      <w:pPr>
        <w:pStyle w:val="ListBullet"/>
        <w:spacing w:line="288" w:lineRule="auto"/>
      </w:pPr>
      <w:r>
        <w:rPr>
          <w:rFonts w:ascii="Helvetica" w:hAnsi="Helvetica"/>
          <w:sz w:val="21"/>
        </w:rPr>
        <w:t>Lunes-Viernes: cada uno produce su memo en aislamiento sin compartir borradores. El Bull Memo cuantifica el escenario de upside (qué tiene que pasar para que la empresa valga 2-3x en 5-7 años, con sensitivity table). El Bear Memo cuantifica los failure modes y el escenario realista de retorno mediocre (no de quiebra), con sensitivity table desde el otro lado.</w:t>
      </w:r>
    </w:p>
    <w:p>
      <w:pPr>
        <w:pStyle w:val="ListBullet"/>
        <w:spacing w:line="288" w:lineRule="auto"/>
      </w:pPr>
      <w:r>
        <w:rPr>
          <w:rFonts w:ascii="Helvetica" w:hAnsi="Helvetica"/>
          <w:sz w:val="21"/>
        </w:rPr>
        <w:t>Martes de Semana 2 — Pitch adversarial: Bull presenta 30 min, Bear presenta 30 min, debate cruzado 30 min. El CIO decide BUY / FOLLOW / PASS con razones articuladas frente a ambos analistas, y la decisión queda registrada en el Decision Journal junto con los dos memos archivados como anexos.</w:t>
      </w:r>
    </w:p>
    <w:p>
      <w:pPr>
        <w:spacing w:before="160" w:after="60"/>
      </w:pPr>
      <w:r>
        <w:rPr>
          <w:rFonts w:ascii="Helvetica" w:hAnsi="Helvetica"/>
          <w:b/>
          <w:color w:val="B88B47"/>
          <w:sz w:val="23"/>
        </w:rPr>
        <w:t>4.4  Rotación natural de roles</w:t>
      </w:r>
    </w:p>
    <w:p>
      <w:pPr>
        <w:spacing w:after="80" w:line="300" w:lineRule="auto"/>
      </w:pPr>
      <w:r>
        <w:rPr>
          <w:rFonts w:ascii="Helvetica" w:hAnsi="Helvetica"/>
          <w:sz w:val="21"/>
        </w:rPr>
        <w:t>Los roles Bull y Bear no se asignan por sorteo ni por calendario fijo. Emergen del proceso: el descubridor de la empresa elegida es naturalmente Bull, el otro analista es Bear. Si el CIO equilibra sus elecciones, cada analista termina aproximadamente la mitad del año en cada lado. Esa rotación no se impone artificialmente — sale por construcción del proceso.</w:t>
      </w:r>
    </w:p>
    <w:p>
      <w:pPr>
        <w:spacing w:before="160" w:after="60"/>
      </w:pPr>
      <w:r>
        <w:rPr>
          <w:rFonts w:ascii="Helvetica" w:hAnsi="Helvetica"/>
          <w:b/>
          <w:color w:val="B88B47"/>
          <w:sz w:val="23"/>
        </w:rPr>
        <w:t>4.5  Outputs anuales del ciclo de research</w:t>
      </w:r>
    </w:p>
    <w:p>
      <w:pPr>
        <w:pStyle w:val="ListBullet"/>
        <w:spacing w:line="288" w:lineRule="auto"/>
      </w:pPr>
      <w:r>
        <w:rPr>
          <w:rFonts w:ascii="Helvetica" w:hAnsi="Helvetica"/>
          <w:sz w:val="21"/>
        </w:rPr>
        <w:t>52 Company Briefs descubiertos al año (26 por analista, firmados individualmente)</w:t>
      </w:r>
    </w:p>
    <w:p>
      <w:pPr>
        <w:pStyle w:val="ListBullet"/>
        <w:spacing w:line="288" w:lineRule="auto"/>
      </w:pPr>
      <w:r>
        <w:rPr>
          <w:rFonts w:ascii="Helvetica" w:hAnsi="Helvetica"/>
          <w:sz w:val="21"/>
        </w:rPr>
        <w:t>26 Bull Memos al año (13 por analista, alternando)</w:t>
      </w:r>
    </w:p>
    <w:p>
      <w:pPr>
        <w:pStyle w:val="ListBullet"/>
        <w:spacing w:line="288" w:lineRule="auto"/>
      </w:pPr>
      <w:r>
        <w:rPr>
          <w:rFonts w:ascii="Helvetica" w:hAnsi="Helvetica"/>
          <w:sz w:val="21"/>
        </w:rPr>
        <w:t>26 Bear Memos al año (13 por analista, alternando)</w:t>
      </w:r>
    </w:p>
    <w:p>
      <w:pPr>
        <w:pStyle w:val="ListBullet"/>
        <w:spacing w:line="288" w:lineRule="auto"/>
      </w:pPr>
      <w:r>
        <w:rPr>
          <w:rFonts w:ascii="Helvetica" w:hAnsi="Helvetica"/>
          <w:sz w:val="21"/>
        </w:rPr>
        <w:t>26 decisiones documentadas con razonamiento del CIO en el Decision Journal</w:t>
      </w:r>
    </w:p>
    <w:p>
      <w:pPr>
        <w:pStyle w:val="ListBullet"/>
        <w:spacing w:line="288" w:lineRule="auto"/>
      </w:pPr>
      <w:r>
        <w:rPr>
          <w:rFonts w:ascii="Helvetica" w:hAnsi="Helvetica"/>
          <w:sz w:val="21"/>
        </w:rPr>
        <w:t>~26 empresas archivadas en watchlist con Company Brief consensuado, disponibles para re-evaluación futura</w:t>
      </w:r>
    </w:p>
    <w:p>
      <w:pPr>
        <w:spacing w:before="280" w:after="120"/>
      </w:pPr>
      <w:r>
        <w:rPr>
          <w:rFonts w:ascii="Helvetica" w:hAnsi="Helvetica"/>
          <w:b/>
          <w:color w:val="1B2642"/>
          <w:sz w:val="28"/>
        </w:rPr>
        <w:t>5.  Monitoreo del portafolio activo</w:t>
      </w:r>
    </w:p>
    <w:p>
      <w:pPr>
        <w:spacing w:before="160" w:after="60"/>
      </w:pPr>
      <w:r>
        <w:rPr>
          <w:rFonts w:ascii="Helvetica" w:hAnsi="Helvetica"/>
          <w:b/>
          <w:color w:val="B88B47"/>
          <w:sz w:val="23"/>
        </w:rPr>
        <w:t>5.1  Distribución de cobertura</w:t>
      </w:r>
    </w:p>
    <w:p>
      <w:pPr>
        <w:spacing w:after="80" w:line="300" w:lineRule="auto"/>
      </w:pPr>
      <w:r>
        <w:rPr>
          <w:rFonts w:ascii="Helvetica" w:hAnsi="Helvetica"/>
          <w:sz w:val="21"/>
        </w:rPr>
        <w:t>Cada analista es owner asignado de aproximadamente la mitad de las posiciones activas del portafolio. Si el holding mantiene 8-10 posiciones, A cubre 4-5 y B cubre 4-5. La asignación se reequilibra anualmente para evitar especialización rígida, pero dentro del año hay claridad de responsabilidad técnica.</w:t>
      </w:r>
    </w:p>
    <w:p>
      <w:pPr>
        <w:spacing w:before="160" w:after="60"/>
      </w:pPr>
      <w:r>
        <w:rPr>
          <w:rFonts w:ascii="Helvetica" w:hAnsi="Helvetica"/>
          <w:b/>
          <w:color w:val="B88B47"/>
          <w:sz w:val="23"/>
        </w:rPr>
        <w:t>5.2  Cadencia mensual — Monitoring Brief</w:t>
      </w:r>
    </w:p>
    <w:p>
      <w:pPr>
        <w:spacing w:after="80" w:line="300" w:lineRule="auto"/>
      </w:pPr>
      <w:r>
        <w:rPr>
          <w:rFonts w:ascii="Helvetica" w:hAnsi="Helvetica"/>
          <w:sz w:val="21"/>
        </w:rPr>
        <w:t>Cada mes, el analista owner produce un Monitoring Brief de ~2-3 páginas por posición bajo su cobertura. Es un health check sintético, no un re-underwriting completo. Contenido obligatorio: estado de KPIs Tier 1 contra umbrales del Pre-Mortem (semáforos verde/amarillo/rojo), hechos materiales del mes (earnings, guidance, M&amp;A, cambios de management, regulatorio), movimientos relevantes de superinvestores en la posición vía Fintel, trayectoria del precio versus trayectoria del valor intrínseco estimado, y un flag final de atención: nada material, requiere revisión del CIO, o trigger de failure mode que requiere acción.</w:t>
      </w:r>
    </w:p>
    <w:p>
      <w:pPr>
        <w:spacing w:before="160" w:after="60"/>
      </w:pPr>
      <w:r>
        <w:rPr>
          <w:rFonts w:ascii="Helvetica" w:hAnsi="Helvetica"/>
          <w:b/>
          <w:color w:val="B88B47"/>
          <w:sz w:val="23"/>
        </w:rPr>
        <w:t>5.3  Cadencia trimestral — Quarterly Re-Underwriting</w:t>
      </w:r>
    </w:p>
    <w:p>
      <w:pPr>
        <w:spacing w:after="80" w:line="300" w:lineRule="auto"/>
      </w:pPr>
      <w:r>
        <w:rPr>
          <w:rFonts w:ascii="Helvetica" w:hAnsi="Helvetica"/>
          <w:sz w:val="21"/>
        </w:rPr>
        <w:t>Cuando la empresa publica su 10-Q o 10-K, el analista owner produce el Quarterly Re-Underwriting completo vía la skill dce-reunderwriting-submit. Es el documento institucional formal de recalibración trimestral, firmado técnicamente por el analista. La decisión final sobre la tesis (intact, recalibrated, evolved, broken) y cualquier acción derivada (mantener, recalibrar position size, SELL) sigue siendo responsabilidad indelegable del CIO.</w:t>
      </w:r>
    </w:p>
    <w:p>
      <w:pPr>
        <w:spacing w:before="160" w:after="60"/>
      </w:pPr>
      <w:r>
        <w:rPr>
          <w:rFonts w:ascii="Helvetica" w:hAnsi="Helvetica"/>
          <w:b/>
          <w:color w:val="B88B47"/>
          <w:sz w:val="23"/>
        </w:rPr>
        <w:t>5.4  Second Reader cruzado</w:t>
      </w:r>
    </w:p>
    <w:p>
      <w:pPr>
        <w:spacing w:after="80" w:line="300" w:lineRule="auto"/>
      </w:pPr>
      <w:r>
        <w:rPr>
          <w:rFonts w:ascii="Helvetica" w:hAnsi="Helvetica"/>
          <w:sz w:val="21"/>
        </w:rPr>
        <w:t>Cada Monitoring Brief y cada Quarterly Re-Underwriting es revisado por el analista no-owner antes de llegar al CIO. El Second Reader añade observaciones críticas como anexo (Second Reader Notes) si detecta algo que el owner pasó por alto. Esto reproduce el espíritu adversarial dentro del monitoreo y previene blindspots sistemáticos. La carga adicional es ligera (~30 minutos por documento) pero el valor institucional es significativo.</w:t>
      </w:r>
    </w:p>
    <w:p>
      <w:pPr>
        <w:spacing w:before="160" w:after="60"/>
      </w:pPr>
      <w:r>
        <w:rPr>
          <w:rFonts w:ascii="Helvetica" w:hAnsi="Helvetica"/>
          <w:b/>
          <w:color w:val="B88B47"/>
          <w:sz w:val="23"/>
        </w:rPr>
        <w:t>5.5  Outputs anuales del monitoreo</w:t>
      </w:r>
    </w:p>
    <w:p>
      <w:pPr>
        <w:pStyle w:val="ListBullet"/>
        <w:spacing w:line="288" w:lineRule="auto"/>
      </w:pPr>
      <w:r>
        <w:rPr>
          <w:rFonts w:ascii="Helvetica" w:hAnsi="Helvetica"/>
          <w:sz w:val="21"/>
        </w:rPr>
        <w:t>~96-120 Monitoring Briefs al año (12 meses × 8-10 posiciones, firmados por owner, revisados por second reader)</w:t>
      </w:r>
    </w:p>
    <w:p>
      <w:pPr>
        <w:pStyle w:val="ListBullet"/>
        <w:spacing w:line="288" w:lineRule="auto"/>
      </w:pPr>
      <w:r>
        <w:rPr>
          <w:rFonts w:ascii="Helvetica" w:hAnsi="Helvetica"/>
          <w:sz w:val="21"/>
        </w:rPr>
        <w:t>~32-40 Quarterly Re-Underwritings al año (4 trimestres × 8-10 posiciones)</w:t>
      </w:r>
    </w:p>
    <w:p>
      <w:pPr>
        <w:pStyle w:val="ListBullet"/>
        <w:spacing w:line="288" w:lineRule="auto"/>
      </w:pPr>
      <w:r>
        <w:rPr>
          <w:rFonts w:ascii="Helvetica" w:hAnsi="Helvetica"/>
          <w:sz w:val="21"/>
        </w:rPr>
        <w:t>Decisiones de tesis intact / recalibrated / evolved / broken firmadas por el CIO con insumos técnicos rigurosos</w:t>
      </w:r>
    </w:p>
    <w:p>
      <w:pPr>
        <w:spacing w:before="280" w:after="120"/>
      </w:pPr>
      <w:r>
        <w:rPr>
          <w:rFonts w:ascii="Helvetica" w:hAnsi="Helvetica"/>
          <w:b/>
          <w:color w:val="1B2642"/>
          <w:sz w:val="28"/>
        </w:rPr>
        <w:t>6.  División de labor CIO ↔ Analistas</w:t>
      </w:r>
    </w:p>
    <w:p>
      <w:pPr>
        <w:spacing w:before="160" w:after="60"/>
      </w:pPr>
      <w:r>
        <w:rPr>
          <w:rFonts w:ascii="Helvetica" w:hAnsi="Helvetica"/>
          <w:b/>
          <w:color w:val="B88B47"/>
          <w:sz w:val="23"/>
        </w:rPr>
        <w:t>6.1  Responsabilidades del CIO durante la quincena</w:t>
      </w:r>
    </w:p>
    <w:p>
      <w:pPr>
        <w:pStyle w:val="ListBullet"/>
        <w:spacing w:line="288" w:lineRule="auto"/>
      </w:pPr>
      <w:r>
        <w:rPr>
          <w:rFonts w:ascii="Helvetica" w:hAnsi="Helvetica"/>
          <w:sz w:val="21"/>
        </w:rPr>
        <w:t>Curaduría del pipeline upstream: lectura de cartas trimestrales de fondos admirados, revisión de 13Fs de superinvestores vía Fintel, lectura panorámica que conecta el pipeline con el portafolio activo. Aproximadamente 10-15% del tiempo semanal.</w:t>
      </w:r>
    </w:p>
    <w:p>
      <w:pPr>
        <w:pStyle w:val="ListBullet"/>
        <w:spacing w:line="288" w:lineRule="auto"/>
      </w:pPr>
      <w:r>
        <w:rPr>
          <w:rFonts w:ascii="Helvetica" w:hAnsi="Helvetica"/>
          <w:sz w:val="21"/>
        </w:rPr>
        <w:t>Lectura crítica de los Monitoring Briefs y Quarterly Re-Underwritings producidos por los analistas. Decisión final sobre evolución de la tesis y cualquier acción de portafolio. Aproximadamente 10-15% del tiempo semanal.</w:t>
      </w:r>
    </w:p>
    <w:p>
      <w:pPr>
        <w:pStyle w:val="ListBullet"/>
        <w:spacing w:line="288" w:lineRule="auto"/>
      </w:pPr>
      <w:r>
        <w:rPr>
          <w:rFonts w:ascii="Helvetica" w:hAnsi="Helvetica"/>
          <w:sz w:val="21"/>
        </w:rPr>
        <w:t>Preparación del arbitraje del martes: revisión superficial de las empresas en cuestión, formulación de preguntas adversariales estructuradas, presencia plena durante el pitch sin distracciones. Aproximadamente 15-20% del tiempo semanal.</w:t>
      </w:r>
    </w:p>
    <w:p>
      <w:pPr>
        <w:pStyle w:val="ListBullet"/>
        <w:spacing w:line="288" w:lineRule="auto"/>
      </w:pPr>
      <w:r>
        <w:rPr>
          <w:rFonts w:ascii="Helvetica" w:hAnsi="Helvetica"/>
          <w:sz w:val="21"/>
        </w:rPr>
        <w:t>Decisiones de capital allocation a nivel holding: asignación entre portafolio público, empresas operativas, real estate, deuda privada. Decisión sobre nuevas posiciones (BUY) y liquidaciones (SELL) basadas en los insumos del equipo. Aproximadamente 15-20% del tiempo semanal.</w:t>
      </w:r>
    </w:p>
    <w:p>
      <w:pPr>
        <w:pStyle w:val="ListBullet"/>
        <w:spacing w:line="288" w:lineRule="auto"/>
      </w:pPr>
      <w:r>
        <w:rPr>
          <w:rFonts w:ascii="Helvetica" w:hAnsi="Helvetica"/>
          <w:sz w:val="21"/>
        </w:rPr>
        <w:t>Trabajo de principal del holding: gobernanza familiar, viajes a empresas operativas en Guatemala y Perú, valoraciones puntuales no cubiertas por el ciclo quincenal, gestión de relaciones institucionales. Aproximadamente 35-40% del tiempo semanal.</w:t>
      </w:r>
    </w:p>
    <w:p>
      <w:pPr>
        <w:spacing w:before="160" w:after="60"/>
      </w:pPr>
      <w:r>
        <w:rPr>
          <w:rFonts w:ascii="Helvetica" w:hAnsi="Helvetica"/>
          <w:b/>
          <w:color w:val="B88B47"/>
          <w:sz w:val="23"/>
        </w:rPr>
        <w:t>6.2  Lo que el CIO explícitamente NO hace</w:t>
      </w:r>
    </w:p>
    <w:p>
      <w:pPr>
        <w:pStyle w:val="ListBullet"/>
        <w:spacing w:line="288" w:lineRule="auto"/>
      </w:pPr>
      <w:r>
        <w:rPr>
          <w:rFonts w:ascii="Helvetica" w:hAnsi="Helvetica"/>
          <w:sz w:val="21"/>
        </w:rPr>
        <w:t>No lee borradores intermedios de los memos antes del pitch. Los recibe en el momento.</w:t>
      </w:r>
    </w:p>
    <w:p>
      <w:pPr>
        <w:pStyle w:val="ListBullet"/>
        <w:spacing w:line="288" w:lineRule="auto"/>
      </w:pPr>
      <w:r>
        <w:rPr>
          <w:rFonts w:ascii="Helvetica" w:hAnsi="Helvetica"/>
          <w:sz w:val="21"/>
        </w:rPr>
        <w:t>No resuelve dudas técnicas de los analistas sobre las empresas en investigación durante la quincena. Las dudas se trabajan internamente o se defienden el martes.</w:t>
      </w:r>
    </w:p>
    <w:p>
      <w:pPr>
        <w:pStyle w:val="ListBullet"/>
        <w:spacing w:line="288" w:lineRule="auto"/>
      </w:pPr>
      <w:r>
        <w:rPr>
          <w:rFonts w:ascii="Helvetica" w:hAnsi="Helvetica"/>
          <w:sz w:val="21"/>
        </w:rPr>
        <w:t>No interviene en los modelos: las skills hacen el trabajo mecánico, los analistas firman la interpretación.</w:t>
      </w:r>
    </w:p>
    <w:p>
      <w:pPr>
        <w:pStyle w:val="ListBullet"/>
        <w:spacing w:line="288" w:lineRule="auto"/>
      </w:pPr>
      <w:r>
        <w:rPr>
          <w:rFonts w:ascii="Helvetica" w:hAnsi="Helvetica"/>
          <w:sz w:val="21"/>
        </w:rPr>
        <w:t>No produce research desde cero sobre nuevas empresas del pipeline en paralelo con los analistas. Esa es la tarea de ellos.</w:t>
      </w:r>
    </w:p>
    <w:p>
      <w:pPr>
        <w:pStyle w:val="ListBullet"/>
        <w:spacing w:line="288" w:lineRule="auto"/>
      </w:pPr>
      <w:r>
        <w:rPr>
          <w:rFonts w:ascii="Helvetica" w:hAnsi="Helvetica"/>
          <w:sz w:val="21"/>
        </w:rPr>
        <w:t>No microgestiona la cadencia interna semanal de los analistas. El martes del pitch es el único punto de control formal.</w:t>
      </w:r>
    </w:p>
    <w:p>
      <w:pPr>
        <w:spacing w:before="160" w:after="60"/>
      </w:pPr>
      <w:r>
        <w:rPr>
          <w:rFonts w:ascii="Helvetica" w:hAnsi="Helvetica"/>
          <w:b/>
          <w:color w:val="B88B47"/>
          <w:sz w:val="23"/>
        </w:rPr>
        <w:t>6.3  Responsabilidades de los analistas</w:t>
      </w:r>
    </w:p>
    <w:p>
      <w:pPr>
        <w:pStyle w:val="ListBullet"/>
        <w:spacing w:line="288" w:lineRule="auto"/>
      </w:pPr>
      <w:r>
        <w:rPr>
          <w:rFonts w:ascii="Helvetica" w:hAnsi="Helvetica"/>
          <w:sz w:val="21"/>
        </w:rPr>
        <w:t>Producción del ciclo de research quincenal: Company Brief de descubrimiento en Semana 1, Bull o Bear Memo en Semana 2 según corresponda. Pitch del martes con preparación rigurosa y capacidad de defender bajo Q&amp;A.</w:t>
      </w:r>
    </w:p>
    <w:p>
      <w:pPr>
        <w:pStyle w:val="ListBullet"/>
        <w:spacing w:line="288" w:lineRule="auto"/>
      </w:pPr>
      <w:r>
        <w:rPr>
          <w:rFonts w:ascii="Helvetica" w:hAnsi="Helvetica"/>
          <w:sz w:val="21"/>
        </w:rPr>
        <w:t>Monitoreo continuo de las posiciones bajo cobertura: Monitoring Brief mensual, Quarterly Re-Underwriting trimestral, Second Reader sobre los documentos del otro analista.</w:t>
      </w:r>
    </w:p>
    <w:p>
      <w:pPr>
        <w:pStyle w:val="ListBullet"/>
        <w:spacing w:line="288" w:lineRule="auto"/>
      </w:pPr>
      <w:r>
        <w:rPr>
          <w:rFonts w:ascii="Helvetica" w:hAnsi="Helvetica"/>
          <w:sz w:val="21"/>
        </w:rPr>
        <w:t>Alimentación del pipeline de ideas: lectura continua fuera de los deep dives (cartas de fondos, 13Fs, sector reports), propuesta de nuevas ideas con formato mínimo estandarizado.</w:t>
      </w:r>
    </w:p>
    <w:p>
      <w:pPr>
        <w:pStyle w:val="ListBullet"/>
        <w:spacing w:line="288" w:lineRule="auto"/>
      </w:pPr>
      <w:r>
        <w:rPr>
          <w:rFonts w:ascii="Helvetica" w:hAnsi="Helvetica"/>
          <w:sz w:val="21"/>
        </w:rPr>
        <w:t>Disciplina documental estricta: naming conventions del Data Room, version control, archivado correcto, citas y fuentes precisas en todo entregable firmado.</w:t>
      </w:r>
    </w:p>
    <w:p>
      <w:pPr>
        <w:pStyle w:val="ListBullet"/>
        <w:spacing w:line="288" w:lineRule="auto"/>
      </w:pPr>
      <w:r>
        <w:rPr>
          <w:rFonts w:ascii="Helvetica" w:hAnsi="Helvetica"/>
          <w:sz w:val="21"/>
        </w:rPr>
        <w:t>Firma con responsabilidad técnica integral: cualquier divergencia material detectada aguas abajo en sus entregables (errores numéricos, cuadres incorrectos, citas equivocadas) se imputa al analista que firmó.</w:t>
      </w:r>
    </w:p>
    <w:p>
      <w:pPr>
        <w:spacing w:before="160" w:after="60"/>
      </w:pPr>
      <w:r>
        <w:rPr>
          <w:rFonts w:ascii="Helvetica" w:hAnsi="Helvetica"/>
          <w:b/>
          <w:color w:val="B88B47"/>
          <w:sz w:val="23"/>
        </w:rPr>
        <w:t>6.4  Lo que los analistas NO hacen</w:t>
      </w:r>
    </w:p>
    <w:p>
      <w:pPr>
        <w:pStyle w:val="ListBullet"/>
        <w:spacing w:line="288" w:lineRule="auto"/>
      </w:pPr>
      <w:r>
        <w:rPr>
          <w:rFonts w:ascii="Helvetica" w:hAnsi="Helvetica"/>
          <w:sz w:val="21"/>
        </w:rPr>
        <w:t>No deciden BUY / PASS / SELL. Producen los insumos rigurosos; el CIO firma la decisión.</w:t>
      </w:r>
    </w:p>
    <w:p>
      <w:pPr>
        <w:pStyle w:val="ListBullet"/>
        <w:spacing w:line="288" w:lineRule="auto"/>
      </w:pPr>
      <w:r>
        <w:rPr>
          <w:rFonts w:ascii="Helvetica" w:hAnsi="Helvetica"/>
          <w:sz w:val="21"/>
        </w:rPr>
        <w:t>No determinan unilateralmente cuándo una tesis está rota. Pueden recomendarlo en el Re-Underwriting; el CIO firma la conclusión.</w:t>
      </w:r>
    </w:p>
    <w:p>
      <w:pPr>
        <w:pStyle w:val="ListBullet"/>
        <w:spacing w:line="288" w:lineRule="auto"/>
      </w:pPr>
      <w:r>
        <w:rPr>
          <w:rFonts w:ascii="Helvetica" w:hAnsi="Helvetica"/>
          <w:sz w:val="21"/>
        </w:rPr>
        <w:t>No representan al holding ante terceros (corredores, gestores externos, prensa). La voz del holding sigue siendo el CIO durante el periodo fundacional.</w:t>
      </w:r>
    </w:p>
    <w:p>
      <w:pPr>
        <w:pStyle w:val="ListBullet"/>
        <w:spacing w:line="288" w:lineRule="auto"/>
      </w:pPr>
      <w:r>
        <w:rPr>
          <w:rFonts w:ascii="Helvetica" w:hAnsi="Helvetica"/>
          <w:sz w:val="21"/>
        </w:rPr>
        <w:t>No tienen autoridad sobre capital allocation cross-asset (público vs operativas vs real estate). Esa decisión queda en el CIO durante 2026-2031.</w:t>
      </w:r>
    </w:p>
    <w:p>
      <w:pPr>
        <w:spacing w:before="280" w:after="120"/>
      </w:pPr>
      <w:r>
        <w:rPr>
          <w:rFonts w:ascii="Helvetica" w:hAnsi="Helvetica"/>
          <w:b/>
          <w:color w:val="1B2642"/>
          <w:sz w:val="28"/>
        </w:rPr>
        <w:t>7.  Mecanismos psicológicos del sistema</w:t>
      </w:r>
    </w:p>
    <w:p>
      <w:pPr>
        <w:spacing w:before="160" w:after="60"/>
      </w:pPr>
      <w:r>
        <w:rPr>
          <w:rFonts w:ascii="Helvetica" w:hAnsi="Helvetica"/>
          <w:b/>
          <w:color w:val="B88B47"/>
          <w:sz w:val="23"/>
        </w:rPr>
        <w:t>7.1  Presión horizontal entre pares</w:t>
      </w:r>
    </w:p>
    <w:p>
      <w:pPr>
        <w:spacing w:after="80" w:line="300" w:lineRule="auto"/>
      </w:pPr>
      <w:r>
        <w:rPr>
          <w:rFonts w:ascii="Helvetica" w:hAnsi="Helvetica"/>
          <w:sz w:val="21"/>
        </w:rPr>
        <w:t>En un modelo de un solo analista reportando al CIO, la presión de preparación es vertical y asimétrica: el CIO es el único juez. Si el CIO tiene una semana ocupada, la calidad del trabajo baja silenciosamente. La calidad se vuelve función del ancho de banda del jefe.</w:t>
      </w:r>
    </w:p>
    <w:p>
      <w:pPr>
        <w:spacing w:after="80" w:line="300" w:lineRule="auto"/>
      </w:pPr>
      <w:r>
        <w:rPr>
          <w:rFonts w:ascii="Helvetica" w:hAnsi="Helvetica"/>
          <w:sz w:val="21"/>
        </w:rPr>
        <w:t>En el modelo de dos analistas con pitch adversarial, la presión se vuelve horizontal y simétrica. Si el Analyst A llega flojo el martes, no es solo que el CIO lo note — es que el Analyst B, que se preparó tres fines de semana, lo va a confrontar con datos frente al CIO. Cada analista tiene dos jueces, no uno: el CIO más su par. El par es el más temido porque está calibrado al mismo nivel técnico y no puede ser engañado con jerga. La preparación se vuelve función del orgullo profesional, no de la supervisión.</w:t>
      </w:r>
    </w:p>
    <w:p>
      <w:pPr>
        <w:spacing w:before="160" w:after="60"/>
      </w:pPr>
      <w:r>
        <w:rPr>
          <w:rFonts w:ascii="Helvetica" w:hAnsi="Helvetica"/>
          <w:b/>
          <w:color w:val="B88B47"/>
          <w:sz w:val="23"/>
        </w:rPr>
        <w:t>7.2  Asimetría reveladora para el CIO</w:t>
      </w:r>
    </w:p>
    <w:p>
      <w:pPr>
        <w:spacing w:after="80" w:line="300" w:lineRule="auto"/>
      </w:pPr>
      <w:r>
        <w:rPr>
          <w:rFonts w:ascii="Helvetica" w:hAnsi="Helvetica"/>
          <w:sz w:val="21"/>
        </w:rPr>
        <w:t>A los seis meses de operar el sistema, el CIO sabe con precisión quirúrgica quién es quién en el equipo. No por una evaluación formal, sino porque ha visto doce pitches comparativos de cada uno y doce ataques cruzados. Quién llega con failure modes pensados antes de que se los pida. Quién se prepara la noche anterior. Quién ataca con datos y quién con retórica. Quién cede demasiado bajo presión y quién se aferra a tesis débiles por ego. Con un solo analista, esa lectura toma 18-24 meses porque no hay contrafactual.</w:t>
      </w:r>
    </w:p>
    <w:p>
      <w:pPr>
        <w:spacing w:before="160" w:after="60"/>
      </w:pPr>
      <w:r>
        <w:rPr>
          <w:rFonts w:ascii="Helvetica" w:hAnsi="Helvetica"/>
          <w:b/>
          <w:color w:val="B88B47"/>
          <w:sz w:val="23"/>
        </w:rPr>
        <w:t>7.3  Eliminación del sesgo de propiedad de tesis</w:t>
      </w:r>
    </w:p>
    <w:p>
      <w:pPr>
        <w:spacing w:after="80" w:line="300" w:lineRule="auto"/>
      </w:pPr>
      <w:r>
        <w:rPr>
          <w:rFonts w:ascii="Helvetica" w:hAnsi="Helvetica"/>
          <w:sz w:val="21"/>
        </w:rPr>
        <w:t>En modelos no adversariales, el analista que presenta una tesis es dueño psicológico de ella: la construyó, le invirtió tiempo, la firmó. Cuando alguien la ataca, defiende — no porque tenga razón, sino porque defender es lo que hace cualquier humano con algo que construyó. En el modelo adversarial bull/bear, cada analista está contractualmente obligado a construir el caso más fuerte posible de su lado, sabiendo que su trabajo se juzga por la calidad de la construcción, no por tener razón. Eso libera el sesgo de confirmación de cada uno y produce un debate honesto.</w:t>
      </w:r>
    </w:p>
    <w:p>
      <w:pPr>
        <w:spacing w:before="160" w:after="60"/>
      </w:pPr>
      <w:r>
        <w:rPr>
          <w:rFonts w:ascii="Helvetica" w:hAnsi="Helvetica"/>
          <w:b/>
          <w:color w:val="B88B47"/>
          <w:sz w:val="23"/>
        </w:rPr>
        <w:t>7.4  Enseñanza implícita: escenarios, no conclusiones</w:t>
      </w:r>
    </w:p>
    <w:p>
      <w:pPr>
        <w:spacing w:after="80" w:line="300" w:lineRule="auto"/>
      </w:pPr>
      <w:r>
        <w:rPr>
          <w:rFonts w:ascii="Helvetica" w:hAnsi="Helvetica"/>
          <w:sz w:val="21"/>
        </w:rPr>
        <w:t>Un analista que rota entre construir Bull y construir Bear de empresas distintas cada quincena internaliza que toda tesis tiene dos lados igualmente construibles, y que el trabajo del inversor es ponderarlos honestamente, no elegir uno antes de investigar. A los 24 meses, esa rotación produce una mutación mental: los analistas piensan automáticamente en escenarios contradictorios antes de formar una opinión. Esa habilidad — pensar en escenarios, no en conclusiones — es exactamente la lección central de Munger ("invert, always invert"), de pre-mortem y de toda la disciplina de inversor calibrado.</w:t>
      </w:r>
    </w:p>
    <w:p>
      <w:pPr>
        <w:spacing w:before="280" w:after="120"/>
      </w:pPr>
      <w:r>
        <w:rPr>
          <w:rFonts w:ascii="Helvetica" w:hAnsi="Helvetica"/>
          <w:b/>
          <w:color w:val="1B2642"/>
          <w:sz w:val="28"/>
        </w:rPr>
        <w:t>8.  Alineación con el stack institucional vigente</w:t>
      </w:r>
    </w:p>
    <w:p>
      <w:pPr>
        <w:spacing w:after="80" w:line="300" w:lineRule="auto"/>
      </w:pPr>
      <w:r>
        <w:rPr>
          <w:rFonts w:ascii="Helvetica" w:hAnsi="Helvetica"/>
          <w:sz w:val="21"/>
        </w:rPr>
        <w:t>Esta arquitectura se construye sobre la base documental vigente al cierre de Mayo 2026 y respeta sus términos. Los documentos fundacionales activos son: Investment Charter v3.2, Investment Policy Statement v11.0, Governance &amp; Succession Framework v5.1 y Operations Manual v3.6. Estos cuatro documentos eliminaron la capa intermedia de Comité de Inversiones durante el periodo fundacional y concentraron la última responsabilidad de BUY / PASS / SELL en el CIO, con trigger de recalibración al cruzar AUM superior a USD 10M.</w:t>
      </w:r>
    </w:p>
    <w:p>
      <w:pPr>
        <w:spacing w:after="80" w:line="300" w:lineRule="auto"/>
      </w:pPr>
      <w:r>
        <w:rPr>
          <w:rFonts w:ascii="Helvetica" w:hAnsi="Helvetica"/>
          <w:sz w:val="21"/>
        </w:rPr>
        <w:t>La presente arquitectura no contradice esos documentos. Los extiende: introduce el proceso adversarial como mecanismo operativo de calidad sin alterar la cadena de responsabilidad fiduciaria. Los analistas firman insumos técnicos; el CIO sigue firmando decisiones. El comité se forma en 2031 cuando se cumplan simultáneamente las dos condiciones de recalibración: AUM superior a USD 10M y calibración interna documentada de los analistas formados bajo el sistema.</w:t>
      </w:r>
    </w:p>
    <w:p>
      <w:pPr>
        <w:spacing w:before="280" w:after="120"/>
      </w:pPr>
      <w:r>
        <w:rPr>
          <w:rFonts w:ascii="Helvetica" w:hAnsi="Helvetica"/>
          <w:b/>
          <w:color w:val="1B2642"/>
          <w:sz w:val="28"/>
        </w:rPr>
        <w:t>9.  Documentos derivados que se construirán a continuación</w:t>
      </w:r>
    </w:p>
    <w:p>
      <w:pPr>
        <w:pStyle w:val="ListBullet"/>
        <w:spacing w:line="288" w:lineRule="auto"/>
      </w:pPr>
      <w:r>
        <w:rPr>
          <w:rFonts w:ascii="Helvetica" w:hAnsi="Helvetica"/>
          <w:sz w:val="21"/>
        </w:rPr>
        <w:t>Hiring Brief v4.0: reemplaza al v3.3 calibrado para senior. Operativiza esta arquitectura en formato de descripción de rol para reclutamiento. Define perfil de candidato, proceso de selección, compensación, requisitos no negociables y arco profesional ofrecido.</w:t>
      </w:r>
    </w:p>
    <w:p>
      <w:pPr>
        <w:pStyle w:val="ListBullet"/>
        <w:spacing w:line="288" w:lineRule="auto"/>
      </w:pPr>
      <w:r>
        <w:rPr>
          <w:rFonts w:ascii="Helvetica" w:hAnsi="Helvetica"/>
          <w:sz w:val="21"/>
        </w:rPr>
        <w:t>Operations Manual v3.7: incorpora el proceso adversarial quincenal y la cadencia de Monitoring Briefs / Second Reader al manual de operaciones existente. Es una actualización sustantiva, no cosmética — toca el corazón del proceso de inversión documentado.</w:t>
      </w:r>
    </w:p>
    <w:p>
      <w:pPr>
        <w:pStyle w:val="ListBullet"/>
        <w:spacing w:line="288" w:lineRule="auto"/>
      </w:pPr>
      <w:r>
        <w:rPr>
          <w:rFonts w:ascii="Helvetica" w:hAnsi="Helvetica"/>
          <w:sz w:val="21"/>
        </w:rPr>
        <w:t>CIO Charter interno (no público): documenta el rol del CIO con la misma disciplina con la que esta arquitectura documenta el rol del analista. Define bloques de tiempo, entregables mensuales del CIO, y restricciones explícitas (qué cosas el CIO no hace para proteger la delegación). Sirve como autodisciplina frente al riesgo de microgestión.</w:t>
      </w:r>
    </w:p>
    <w:p>
      <w:pPr>
        <w:pStyle w:val="ListBullet"/>
        <w:spacing w:line="288" w:lineRule="auto"/>
      </w:pPr>
      <w:r>
        <w:rPr>
          <w:rFonts w:ascii="Helvetica" w:hAnsi="Helvetica"/>
          <w:sz w:val="21"/>
        </w:rPr>
        <w:t>Actualizaciones menores: Investment Charter v3.3 y Governance v5.2 podrían requerir un anexo cada uno que articule el plan de transición CIO → Chairman 2031 y la formación interna del comité futuro. Son ediciones quirúrgicas, no reescrituras.</w:t>
      </w:r>
    </w:p>
    <w:p>
      <w:pPr>
        <w:spacing w:before="280" w:after="120"/>
      </w:pPr>
      <w:r>
        <w:rPr>
          <w:rFonts w:ascii="Helvetica" w:hAnsi="Helvetica"/>
          <w:b/>
          <w:color w:val="1B2642"/>
          <w:sz w:val="28"/>
        </w:rPr>
        <w:t>10. Principio rector</w:t>
      </w:r>
    </w:p>
    <w:p>
      <w:pPr>
        <w:spacing w:before="120" w:after="120"/>
        <w:ind w:left="576" w:right="576"/>
      </w:pPr>
      <w:r>
        <w:rPr>
          <w:rFonts w:ascii="Helvetica" w:hAnsi="Helvetica"/>
          <w:i/>
          <w:color w:val="1B2642"/>
          <w:sz w:val="21"/>
        </w:rPr>
        <w:t>"Tu autoridad como CIO no se construye sobre saber más DCF que tus analistas — se construye sobre haber asignado capital real durante diez años. Ellos te van a superar técnicamente en seis meses; vos los vas a formar en el oficio durante cinco años. La distinción entre principal y agent es la que sostiene el sistema."</w:t>
      </w:r>
    </w:p>
    <w:p>
      <w:pPr>
        <w:spacing w:after="80" w:line="300" w:lineRule="auto"/>
      </w:pPr>
      <w:r>
        <w:rPr>
          <w:rFonts w:ascii="Helvetica" w:hAnsi="Helvetica"/>
          <w:sz w:val="21"/>
        </w:rPr>
        <w:t>DCE Holdings 2026-2031 no es un fondo en miniatura. Es un family office construyendo el sistema institucional que permitirá que el capital del principal se administre con calidad senior durante las próximas décadas, formando desde adentro las personas que eventualmente compondrán el comité de inversiones interno. La arquitectura descrita en este documento es el medio. La meta es la institución que emerge cuando el medio se ejecuta con disciplina durante cinco años.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