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PROGRAMA DE GERENCIAMENTO DE RISCOS OCUPACIONAIS</w:t>
      </w:r>
    </w:p>
    <w:p>
      <w:r>
        <w:t>PGR – RISCOS PSICOSSOCIAIS</w:t>
      </w:r>
    </w:p>
    <w:p>
      <w:r>
        <w:br/>
        <w:t>Clínica Psiqué</w:t>
      </w:r>
    </w:p>
    <w:p>
      <w:r>
        <w:t>Responsável técnica: Lilian Siebert – Psicóloga</w:t>
      </w:r>
    </w:p>
    <w:p>
      <w:r>
        <w:br/>
        <w:t>Documento técnico conforme NR‑01 | GRO | Saúde Mental no Trabalho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spacing w:after="120"/>
      </w:pPr>
      <w:r>
        <w:t>Estabelecer diretrizes para identificação, avaliação, prevenção e monitoramento de riscos psicossociais no ambiente de trabalho, promovendo saúde mental, segurança psicológica e melhoria do clima organizacional.</w:t>
      </w:r>
    </w:p>
    <w:p>
      <w:pPr>
        <w:pStyle w:val="Heading1"/>
      </w:pPr>
      <w:r>
        <w:t>2. Fundamentação Legal</w:t>
      </w:r>
    </w:p>
    <w:p>
      <w:pPr>
        <w:spacing w:after="120"/>
      </w:pPr>
      <w:r>
        <w:t>Este programa está alinhado à NR‑01 (Gerenciamento de Riscos Ocupacionais – GRO), que determina a elaboração do PGR contendo inventário de riscos e plano de ação, incluindo riscos psicossociais relacionados à organização do trabalho.</w:t>
      </w:r>
    </w:p>
    <w:p>
      <w:pPr>
        <w:pStyle w:val="Heading1"/>
      </w:pPr>
      <w:r>
        <w:t>3. Metodologia</w:t>
      </w:r>
    </w:p>
    <w:p>
      <w:pPr>
        <w:spacing w:after="120"/>
      </w:pPr>
      <w:r>
        <w:t>• Aplicação de questionário psicossocial estruturado</w:t>
        <w:br/>
        <w:t>• Entrevistas com gestores e colaboradores</w:t>
        <w:br/>
        <w:t>• Observação do ambiente de trabalho</w:t>
        <w:br/>
        <w:t>• Análise de indicadores (absenteísmo, turnover, afastamentos, queixas)</w:t>
        <w:br/>
        <w:t>• Classificação de risco por gravidade x probabilidade</w:t>
      </w:r>
    </w:p>
    <w:p>
      <w:pPr>
        <w:pStyle w:val="Heading1"/>
      </w:pPr>
      <w:r>
        <w:t>4. Dimensões Avaliadas</w:t>
      </w:r>
    </w:p>
    <w:p>
      <w:pPr>
        <w:spacing w:after="120"/>
      </w:pPr>
      <w:r>
        <w:t>• Organização do trabalho e carga laboral</w:t>
        <w:br/>
        <w:t>• Relações interpessoais e liderança</w:t>
        <w:br/>
        <w:t>• Reconhecimento e valorização</w:t>
        <w:br/>
        <w:t>• Estresse e esgotamento emocional</w:t>
        <w:br/>
        <w:t>• Assédio moral/sexual e segurança psicológica</w:t>
        <w:br/>
        <w:t>• Equilíbrio vida pessoal x trabalho</w:t>
      </w:r>
    </w:p>
    <w:p>
      <w:pPr>
        <w:pStyle w:val="Heading1"/>
      </w:pPr>
      <w:r>
        <w:t>5. Inventário de Riscos Psicossociais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Setor</w:t>
            </w:r>
          </w:p>
        </w:tc>
        <w:tc>
          <w:tcPr>
            <w:tcW w:type="dxa" w:w="1440"/>
          </w:tcPr>
          <w:p>
            <w:r>
              <w:t>Risco Identificado</w:t>
            </w:r>
          </w:p>
        </w:tc>
        <w:tc>
          <w:tcPr>
            <w:tcW w:type="dxa" w:w="1440"/>
          </w:tcPr>
          <w:p>
            <w:r>
              <w:t>Gravidade</w:t>
            </w:r>
          </w:p>
        </w:tc>
        <w:tc>
          <w:tcPr>
            <w:tcW w:type="dxa" w:w="1440"/>
          </w:tcPr>
          <w:p>
            <w:r>
              <w:t>Probabilidade</w:t>
            </w:r>
          </w:p>
        </w:tc>
        <w:tc>
          <w:tcPr>
            <w:tcW w:type="dxa" w:w="1440"/>
          </w:tcPr>
          <w:p>
            <w:r>
              <w:t>Nível de Risco</w:t>
            </w:r>
          </w:p>
        </w:tc>
        <w:tc>
          <w:tcPr>
            <w:tcW w:type="dxa" w:w="1440"/>
          </w:tcPr>
          <w:p>
            <w:r>
              <w:t>Medidas Preventivas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6. Classificação de Risco</w:t>
      </w:r>
    </w:p>
    <w:p>
      <w:pPr>
        <w:spacing w:after="120"/>
      </w:pPr>
      <w:r>
        <w:t>Baixo | Moderado | Alto | Crítico</w:t>
        <w:br/>
        <w:t>A classificação deve considerar impacto à saúde mental, frequência e número de trabalhadores expostos.</w:t>
      </w:r>
    </w:p>
    <w:p>
      <w:pPr>
        <w:pStyle w:val="Heading1"/>
      </w:pPr>
      <w:r>
        <w:t>7. Plano de 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Problema Identificado</w:t>
            </w:r>
          </w:p>
        </w:tc>
        <w:tc>
          <w:tcPr>
            <w:tcW w:type="dxa" w:w="1728"/>
          </w:tcPr>
          <w:p>
            <w:r>
              <w:t>Intervenção</w:t>
            </w:r>
          </w:p>
        </w:tc>
        <w:tc>
          <w:tcPr>
            <w:tcW w:type="dxa" w:w="1728"/>
          </w:tcPr>
          <w:p>
            <w:r>
              <w:t>Responsável</w:t>
            </w:r>
          </w:p>
        </w:tc>
        <w:tc>
          <w:tcPr>
            <w:tcW w:type="dxa" w:w="1728"/>
          </w:tcPr>
          <w:p>
            <w:r>
              <w:t>Prazo</w:t>
            </w:r>
          </w:p>
        </w:tc>
        <w:tc>
          <w:tcPr>
            <w:tcW w:type="dxa" w:w="1728"/>
          </w:tcPr>
          <w:p>
            <w:r>
              <w:t>Indicador de Sucesso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8. Intervenções Sugeridas</w:t>
      </w:r>
    </w:p>
    <w:p>
      <w:pPr>
        <w:spacing w:after="120"/>
      </w:pPr>
      <w:r>
        <w:t>• Treinamentos de saúde mental e prevenção do estresse</w:t>
        <w:br/>
        <w:t>• Capacitação de lideranças</w:t>
        <w:br/>
        <w:t>• Política de prevenção ao assédio</w:t>
        <w:br/>
        <w:t>• Canal de escuta psicológica/acolhimento</w:t>
        <w:br/>
        <w:t>• Mediação de conflitos</w:t>
        <w:br/>
        <w:t>• Programas de qualidade de vida</w:t>
        <w:br/>
        <w:t>• Acompanhamento psicológico breve quando necessário</w:t>
      </w:r>
    </w:p>
    <w:p>
      <w:pPr>
        <w:pStyle w:val="Heading1"/>
      </w:pPr>
      <w:r>
        <w:t>9. Cronograma de Monitoramento</w:t>
      </w:r>
    </w:p>
    <w:p>
      <w:pPr>
        <w:spacing w:after="120"/>
      </w:pPr>
      <w:r>
        <w:t>Avaliação anual obrigatória com revisões semestrais. Reaplicação do instrumento psicossocial, análise de indicadores e atualização do plano de ação.</w:t>
      </w:r>
    </w:p>
    <w:p>
      <w:pPr>
        <w:pStyle w:val="Heading1"/>
      </w:pPr>
      <w:r>
        <w:t>10. Indicadores de Avaliação</w:t>
      </w:r>
    </w:p>
    <w:p>
      <w:pPr>
        <w:spacing w:after="120"/>
      </w:pPr>
      <w:r>
        <w:t>• Redução do absenteísmo</w:t>
        <w:br/>
        <w:t>• Redução de afastamentos por saúde mental</w:t>
        <w:br/>
        <w:t>• Melhoria no clima organizacional</w:t>
        <w:br/>
        <w:t>• Satisfação dos colaboradores</w:t>
        <w:br/>
        <w:t>• Diminuição de conflitos/denúncias</w:t>
      </w:r>
    </w:p>
    <w:p>
      <w:pPr>
        <w:pStyle w:val="Heading1"/>
      </w:pPr>
      <w:r>
        <w:t>11. Conclusão Técnica</w:t>
      </w:r>
    </w:p>
    <w:p>
      <w:pPr>
        <w:spacing w:after="120"/>
      </w:pPr>
      <w:r>
        <w:t>A implementação sistemática deste programa contribui para a promoção da saúde mental, prevenção de adoecimento ocupacional e cumprimento das exigências legais da NR‑01, fortalecendo o desempenho organizacional.</w:t>
      </w:r>
    </w:p>
    <w:p>
      <w:pPr>
        <w:pStyle w:val="Heading1"/>
      </w:pPr>
      <w:r>
        <w:t>12. Responsável Técnica</w:t>
      </w:r>
    </w:p>
    <w:p>
      <w:pPr>
        <w:spacing w:after="120"/>
      </w:pPr>
      <w:r>
        <w:t>Clínica Psiqué</w:t>
        <w:br/>
        <w:t>Lilian Siebert – Psicóloga</w:t>
        <w:br/>
        <w:t>CRP: ___________________________</w:t>
        <w:br/>
        <w:t>Assinatura: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