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相关术语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1.封装 package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常用的可分为通孔封装和贴片封装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通孔封装主要有单列直插 （Single-in-line Package, SIP）、双列直插（Dual-in-linePackage,DIP）、Z字形直插式封装（Zigzag-in-line Package, ZIP）。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常见的贴片封装主要有小外形封装（Small Outline Package, SOP）、紧缩小外形封装（Shrink Small Outline Package, SSOP）、四方扁平封装（Quad-Flat Package,QFP）、塑料薄方封装（Plastic-Low-profile Quad-Flat Package,LQFP）、塑料扁平组件式封装（Plastic FlatPackage, PFP）、插针网格阵列封装（Ceramic Pin Grid Array Package,PGA）、球栅阵列封装(Ball Grid Array Package, BGA) 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印刷电路板 Printed Circuit Board，PCB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动态可读写随机存储器（Dynamic Random Access Memory,DRAM）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静态可读写随机存储器（Static Random Access Memory, SRAM）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只读存储器（Read Only Memory,ROM）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</w:t>
      </w:r>
      <w:r>
        <w:rPr>
          <w:rFonts w:hint="default"/>
          <w:lang w:val="en-US" w:eastAsia="zh-CN"/>
        </w:rPr>
        <w:t>固定 ROM、可编程 ROM（即 PROM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Programmable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ROM）和可擦除 ROM（即EPROM</w:t>
      </w:r>
      <w:r>
        <w:rPr>
          <w:rFonts w:hint="eastAsia"/>
          <w:lang w:val="en-US" w:eastAsia="zh-CN"/>
        </w:rPr>
        <w:t>，Erase PROM</w:t>
      </w:r>
      <w:r>
        <w:rPr>
          <w:rFonts w:hint="default"/>
          <w:lang w:val="en-US" w:eastAsia="zh-CN"/>
        </w:rPr>
        <w:t>）3种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闪存，一种电可擦除可编程只读存储器（Electrically Erasable ProgrammableRead Only Memory，EEPROM）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模拟量和开关量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通信部分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并行通信 </w:t>
      </w:r>
      <w:r>
        <w:rPr>
          <w:rFonts w:hint="default"/>
          <w:lang w:val="en-US" w:eastAsia="zh-CN"/>
        </w:rPr>
        <w:t>Parallel communication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串行通信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serial communication</w:t>
      </w:r>
      <w:r>
        <w:rPr>
          <w:rFonts w:hint="eastAsia"/>
          <w:lang w:val="en-US" w:eastAsia="zh-CN"/>
        </w:rPr>
        <w:t xml:space="preserve"> 在嵌入式系统中，串行通信一词一般特指用串行通信接口（UART）与 RS232 芯片连接的通信方式。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串行外设接口（Serial Peripheral Interface, SPI）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集成电路互联（12C）总线</w:t>
      </w:r>
      <w:r>
        <w:rPr>
          <w:rFonts w:hint="eastAsia"/>
          <w:lang w:val="en-US" w:eastAsia="zh-CN"/>
        </w:rPr>
        <w:t>(IIC</w:t>
      </w:r>
      <w:r>
        <w:rPr>
          <w:rFonts w:hint="default"/>
          <w:lang w:val="en-US" w:eastAsia="zh-CN"/>
        </w:rPr>
        <w:t>（Inter-Integrated Circuit）其实是IICBus简称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通用串行总线（Universal Serial Bus, USB）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控制器局域网</w:t>
      </w:r>
      <w:r>
        <w:rPr>
          <w:rFonts w:hint="eastAsia"/>
          <w:lang w:val="en-US" w:eastAsia="zh-CN"/>
        </w:rPr>
        <w:t xml:space="preserve"> (Co</w:t>
      </w:r>
      <w:r>
        <w:rPr>
          <w:rFonts w:hint="default"/>
          <w:lang w:val="en-US" w:eastAsia="zh-CN"/>
        </w:rPr>
        <w:t>ntroller Area Network</w:t>
      </w:r>
      <w:r>
        <w:rPr>
          <w:rFonts w:hint="eastAsia"/>
          <w:lang w:val="en-US" w:eastAsia="zh-CN"/>
        </w:rPr>
        <w:t xml:space="preserve"> , CAN)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边界扫描测试协议（Joint Test Action Group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JTAG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串行线调试（Serial Wire Debug, SWD）技术使用2针调试端口，是JTAG 的低针数和高性能替代产品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功能模块部分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通用输入输出（General Purpose I/O,GPIO）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模数转换与数模转换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模数转换（Analog to Digital Convert,ADC）的功能是将电压信号（模拟量）转换为对应的数字量。数模转换（Digital to Analog Convert,DAC）的功能则是将数字量转换电压信号（模拟量）。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脉冲宽度调制器（Pulse Width Modulator,PWM）是一个数模转换器，可以产生一个高电平和低电平之间重复交替的输出信号，这个信号就是PWM信号。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看门狗（Watch Dog）是一个了防止程序跑飞而设计的一种自动定时器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液晶显示（Liquid Crystal Display,LCD）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发光二极管（Light Emitting Diode, LED）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开发板的运行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把板子接到你的电脑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打开环境，导入工程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打开集成开发环境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AHL-GEC-IDE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，单击菜单“文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件”→“导入工程”，随后选择电子资源中“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..\ 04-Software\CH01\ AHL-STM32L431-Test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（文件夹名就是工程名。注意：路径中不能包含汉字，也不能太深）。导入工程后，左侧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为工程树形目录，右侧为文件内容编辑区，初始显示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main.c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文件内容，如图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所示。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0500" cy="211010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widowControl w:val="0"/>
        <w:numPr>
          <w:numId w:val="0"/>
        </w:numPr>
        <w:tabs>
          <w:tab w:val="left" w:pos="312"/>
        </w:tabs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3.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编译工程。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单击菜单“编译”→“编译工程”，就开始编译。正常情况下，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编译后会显示“编译成功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!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38700" cy="1593850"/>
            <wp:effectExtent l="0" t="0" r="7620" b="6350"/>
            <wp:docPr id="2" name="图片 2" descr="4a2ccfcf64b4efe06aa6d89b1b3a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a2ccfcf64b4efe06aa6d89b1b3ab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4.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连接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GEC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单击菜单“下载”→“串口更新”，将进入更新窗体界面。单击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“连接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”查找目标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，若提示“成功连接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……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”，可进行下一步操作。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(因为连上了本来那个led小灯就会亮,会自动运行示例程序),如图所示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2593975"/>
            <wp:effectExtent l="0" t="0" r="1905" b="12065"/>
            <wp:docPr id="3" name="图片 3" descr="7f7a5b5d1137273728724cca962f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f7a5b5d1137273728724cca962f5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若连接不成功，则可参阅电子资源中“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..\02-Document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”文件夹内的快速指南文档中的“常见问题及解决办法”一节进行解决。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5.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下载机器码。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单击“选择文件”按钮，导入被编译工程目录下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.hex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文件，然后单击“一键自动更新”按钮，等待程序自动更新完成。当更新完成之后，程序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将自动运行。 (跟初始执行的数据是一样的)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150" cy="2275840"/>
            <wp:effectExtent l="0" t="0" r="8890" b="10160"/>
            <wp:docPr id="4" name="图片 4" descr="adcefb14f2285f158acdf1808ce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dcefb14f2285f158acdf1808ce27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通过串口观察运行情况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 观察程序运行过程。进入“工具”→“串口工具”，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选择其中一个串口，波特率设为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115200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并打开，串口调试工具页面会显示三色灯的状态、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MCU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温度、环境温度（若没有显示，则关闭该串口，打开另一个串口）。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结果长这样：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770" cy="3764915"/>
            <wp:effectExtent l="0" t="0" r="1270" b="14605"/>
            <wp:docPr id="5" name="图片 5" descr="31bd5e2a4353d538acdbe96f6b6f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bd5e2a4353d538acdbe96f6b6f3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② 验证串口收发。关闭已经打开的串口，打开另一个串口，波特率选择默认参数，在“发送数据框”中输入字符串，单击“发送数据”按钮。正常情况下，主板会回送数据给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，并在接收框中显示，效果如图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764915"/>
            <wp:effectExtent l="0" t="0" r="1270" b="14605"/>
            <wp:docPr id="6" name="图片 6" descr="07fe94ce3daaa436f294a6f7ea7c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7fe94ce3daaa436f294a6f7ea7c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第一次使用开发板，如果这些都成功运行了，就没啥问题了，下课！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10D81"/>
    <w:multiLevelType w:val="singleLevel"/>
    <w:tmpl w:val="BD310D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BEF35F"/>
    <w:multiLevelType w:val="singleLevel"/>
    <w:tmpl w:val="BEBEF3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502CD4"/>
    <w:multiLevelType w:val="singleLevel"/>
    <w:tmpl w:val="D1502C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097652F"/>
    <w:multiLevelType w:val="singleLevel"/>
    <w:tmpl w:val="3097652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FAFDAB"/>
    <w:multiLevelType w:val="singleLevel"/>
    <w:tmpl w:val="47FAFD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F33A109"/>
    <w:multiLevelType w:val="singleLevel"/>
    <w:tmpl w:val="6F33A1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334BCAD"/>
    <w:multiLevelType w:val="singleLevel"/>
    <w:tmpl w:val="7334B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iMjYzZDI5NGM0NmE1NzRiMjdjZmM1ZTQwZmRhOWMifQ=="/>
  </w:docVars>
  <w:rsids>
    <w:rsidRoot w:val="00000000"/>
    <w:rsid w:val="031C21FD"/>
    <w:rsid w:val="3F7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2024-03-06T06:29:00Z</dcterms:created>
  <dc:creator>bricks lee</dc:creator>
  <cp:lastModifiedBy>Domains</cp:lastModifiedBy>
  <dcterms:modified xsi:type="dcterms:W3CDTF">2024-03-08T08:46:31Z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4E06A71E2B0E4C35AF62D498E1E90FAD_12</vt:lpwstr>
  </property>
</Properties>
</file>