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B5547"/>
          <w:sz w:val="36"/>
        </w:rPr>
        <w:t>CONSEJO DE COMUNICACIÓN</w:t>
      </w:r>
    </w:p>
    <w:p>
      <w:pPr>
        <w:jc w:val="center"/>
      </w:pPr>
      <w:r>
        <w:rPr>
          <w:b/>
          <w:color w:val="333333"/>
          <w:sz w:val="26"/>
        </w:rPr>
        <w:t>DIRECCIÓN DE TALENTO HUMANO Y GESTIÓN ADMINISTRATIVA</w:t>
      </w:r>
    </w:p>
    <w:p/>
    <w:p/>
    <w:p>
      <w:pPr>
        <w:jc w:val="center"/>
      </w:pPr>
      <w:r>
        <w:rPr>
          <w:b/>
          <w:color w:val="0B5547"/>
          <w:sz w:val="44"/>
        </w:rPr>
        <w:t>ESPECIFICACIÓN TÉCNICA DEL SISTEMA</w:t>
      </w:r>
    </w:p>
    <w:p>
      <w:pPr>
        <w:jc w:val="center"/>
      </w:pPr>
      <w:r>
        <w:rPr>
          <w:b/>
          <w:sz w:val="32"/>
        </w:rPr>
        <w:t>Sistema Integrado de Gestión Institucional</w:t>
      </w:r>
    </w:p>
    <w:p/>
    <w:p/>
    <w:p/>
    <w:p>
      <w:pPr>
        <w:jc w:val="center"/>
      </w:pPr>
      <w:r>
        <w:rPr>
          <w:sz w:val="22"/>
        </w:rPr>
        <w:t>Versión: 1.0</w:t>
        <w:br/>
      </w:r>
      <w:r>
        <w:rPr>
          <w:sz w:val="22"/>
        </w:rPr>
        <w:t>Fecha: 11 de June de 2026</w:t>
      </w:r>
    </w:p>
    <w:p/>
    <w:p/>
    <w:p>
      <w:pPr>
        <w:jc w:val="center"/>
      </w:pPr>
      <w:r>
        <w:rPr>
          <w:i/>
          <w:color w:val="888888"/>
          <w:sz w:val="20"/>
        </w:rPr>
        <w:t>Documento de uso interno — Confidencial</w:t>
      </w:r>
    </w:p>
    <w:p>
      <w:r>
        <w:br w:type="page"/>
      </w:r>
    </w:p>
    <w:p>
      <w:pPr>
        <w:pStyle w:val="Heading1"/>
      </w:pPr>
      <w:r>
        <w:t>1. Descripción General del Sistema</w:t>
      </w:r>
    </w:p>
    <w:p>
      <w:r>
        <w:t>El Sistema Integrado de Gestión Institucional es una aplicación web desarrollada a medida para el Consejo de Comunicación del Ecuador. Centraliza la administración de los procesos operativos institucionales en tres módulos principales: Talento Humano, Adquisiciones/Bienes y Transportes, complementados con los módulos de Nómina y Administración.</w:t>
      </w:r>
    </w:p>
    <w:p>
      <w:r>
        <w:t>El sistema reemplaza procesos manuales y en hojas de cálculo, asegurando trazabilidad, control de acceso por roles, integración con el gestor documental Alfresco y con el reloj biométrico ZKTeco para el control de asistencia.</w:t>
      </w:r>
    </w:p>
    <w:p>
      <w:pPr>
        <w:pStyle w:val="Heading2"/>
      </w:pPr>
      <w:r>
        <w:t>1.1 Objetivos</w:t>
      </w:r>
    </w:p>
    <w:p>
      <w:pPr>
        <w:pStyle w:val="ListBullet"/>
      </w:pPr>
      <w:r>
        <w:rPr>
          <w:sz w:val="21"/>
        </w:rPr>
        <w:t>Automatizar la gestión del talento humano: asistencia, permisos, vacaciones, acciones de personal y nómina.</w:t>
      </w:r>
    </w:p>
    <w:p>
      <w:pPr>
        <w:pStyle w:val="ListBullet"/>
      </w:pPr>
      <w:r>
        <w:rPr>
          <w:sz w:val="21"/>
        </w:rPr>
        <w:t>Controlar el inventario de bienes y suministros institucionales (ingresos, egresos, kardex NIC 2).</w:t>
      </w:r>
    </w:p>
    <w:p>
      <w:pPr>
        <w:pStyle w:val="ListBullet"/>
      </w:pPr>
      <w:r>
        <w:rPr>
          <w:sz w:val="21"/>
        </w:rPr>
        <w:t>Gestionar el parque vehicular institucional: mantenimiento, movilización y vales de combustible.</w:t>
      </w:r>
    </w:p>
    <w:p>
      <w:pPr>
        <w:pStyle w:val="ListBullet"/>
      </w:pPr>
      <w:r>
        <w:rPr>
          <w:sz w:val="21"/>
        </w:rPr>
        <w:t>Garantizar la trazabilidad de todas las operaciones críticas mediante auditoría centralizada.</w:t>
      </w:r>
    </w:p>
    <w:p>
      <w:pPr>
        <w:pStyle w:val="ListBullet"/>
      </w:pPr>
      <w:r>
        <w:rPr>
          <w:sz w:val="21"/>
        </w:rPr>
        <w:t>Integrar la firma y archivo de documentos oficiales con el gestor documental Alfresco.</w:t>
      </w:r>
    </w:p>
    <w:p>
      <w:pPr>
        <w:pStyle w:val="ListBullet"/>
      </w:pPr>
      <w:r>
        <w:rPr>
          <w:sz w:val="21"/>
        </w:rPr>
        <w:t>Cumplir con los requerimientos de la Contraloría General del Estado en materia de control interno.</w:t>
      </w:r>
    </w:p>
    <w:p>
      <w:pPr>
        <w:pStyle w:val="Heading2"/>
      </w:pPr>
      <w:r>
        <w:t>1.2 Alcance</w:t>
      </w:r>
    </w:p>
    <w:p>
      <w:r>
        <w:t>El sistema cubre los procesos institucionales del Consejo de Comunicación para todos sus departamentos. No gestiona contabilidad ni presupuesto directamente, aunque registra clasificaciones presupuestarias (programa/actividad/partida MEF) en nómina e inventario para uso de otras áreas.</w:t>
      </w:r>
    </w:p>
    <w:p>
      <w:r>
        <w:br w:type="page"/>
      </w:r>
    </w:p>
    <w:p>
      <w:pPr>
        <w:pStyle w:val="Heading1"/>
      </w:pPr>
      <w:r>
        <w:t>2. Stack Tecnológico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b5547"/>
          </w:tcPr>
          <w:p>
            <w:pPr>
              <w:jc w:val="center"/>
            </w:pPr>
            <w:r>
              <w:rPr>
                <w:b/>
                <w:color w:val="FFFFFF"/>
                <w:sz w:val="20"/>
              </w:rPr>
              <w:t>Componente</w:t>
            </w:r>
          </w:p>
        </w:tc>
        <w:tc>
          <w:tcPr>
            <w:tcW w:type="dxa" w:w="3041"/>
            <w:shd w:val="clear" w:color="auto" w:fill="0b5547"/>
          </w:tcPr>
          <w:p>
            <w:pPr>
              <w:jc w:val="center"/>
            </w:pPr>
            <w:r>
              <w:rPr>
                <w:b/>
                <w:color w:val="FFFFFF"/>
                <w:sz w:val="20"/>
              </w:rPr>
              <w:t>Tecnología</w:t>
            </w:r>
          </w:p>
        </w:tc>
        <w:tc>
          <w:tcPr>
            <w:tcW w:type="dxa" w:w="3041"/>
            <w:shd w:val="clear" w:color="auto" w:fill="0b5547"/>
          </w:tcPr>
          <w:p>
            <w:pPr>
              <w:jc w:val="center"/>
            </w:pPr>
            <w:r>
              <w:rPr>
                <w:b/>
                <w:color w:val="FFFFFF"/>
                <w:sz w:val="20"/>
              </w:rPr>
              <w:t>Versión</w:t>
            </w:r>
          </w:p>
        </w:tc>
      </w:tr>
      <w:tr>
        <w:tc>
          <w:tcPr>
            <w:tcW w:type="dxa" w:w="3041"/>
          </w:tcPr>
          <w:p>
            <w:r>
              <w:rPr>
                <w:b/>
                <w:sz w:val="19"/>
              </w:rPr>
              <w:t>Backend — Framework</w:t>
            </w:r>
          </w:p>
        </w:tc>
        <w:tc>
          <w:tcPr>
            <w:tcW w:type="dxa" w:w="3041"/>
          </w:tcPr>
          <w:p>
            <w:r>
              <w:rPr>
                <w:sz w:val="19"/>
              </w:rPr>
              <w:t>Laravel</w:t>
            </w:r>
          </w:p>
        </w:tc>
        <w:tc>
          <w:tcPr>
            <w:tcW w:type="dxa" w:w="3041"/>
          </w:tcPr>
          <w:p>
            <w:r>
              <w:rPr>
                <w:sz w:val="19"/>
              </w:rPr>
              <w:t>12</w:t>
            </w:r>
          </w:p>
        </w:tc>
      </w:tr>
      <w:tr>
        <w:tc>
          <w:tcPr>
            <w:tcW w:type="dxa" w:w="3041"/>
          </w:tcPr>
          <w:p>
            <w:r>
              <w:rPr>
                <w:b/>
                <w:sz w:val="19"/>
              </w:rPr>
              <w:t>Backend — Lenguaje</w:t>
            </w:r>
          </w:p>
        </w:tc>
        <w:tc>
          <w:tcPr>
            <w:tcW w:type="dxa" w:w="3041"/>
          </w:tcPr>
          <w:p>
            <w:r>
              <w:rPr>
                <w:sz w:val="19"/>
              </w:rPr>
              <w:t>PHP</w:t>
            </w:r>
          </w:p>
        </w:tc>
        <w:tc>
          <w:tcPr>
            <w:tcW w:type="dxa" w:w="3041"/>
          </w:tcPr>
          <w:p>
            <w:r>
              <w:rPr>
                <w:sz w:val="19"/>
              </w:rPr>
              <w:t>8.4</w:t>
            </w:r>
          </w:p>
        </w:tc>
      </w:tr>
      <w:tr>
        <w:tc>
          <w:tcPr>
            <w:tcW w:type="dxa" w:w="3041"/>
          </w:tcPr>
          <w:p>
            <w:r>
              <w:rPr>
                <w:b/>
                <w:sz w:val="19"/>
              </w:rPr>
              <w:t>Base de Datos</w:t>
            </w:r>
          </w:p>
        </w:tc>
        <w:tc>
          <w:tcPr>
            <w:tcW w:type="dxa" w:w="3041"/>
          </w:tcPr>
          <w:p>
            <w:r>
              <w:rPr>
                <w:sz w:val="19"/>
              </w:rPr>
              <w:t>PostgreSQL</w:t>
            </w:r>
          </w:p>
        </w:tc>
        <w:tc>
          <w:tcPr>
            <w:tcW w:type="dxa" w:w="3041"/>
          </w:tcPr>
          <w:p>
            <w:r>
              <w:rPr>
                <w:sz w:val="19"/>
              </w:rPr>
              <w:t>15+</w:t>
            </w:r>
          </w:p>
        </w:tc>
      </w:tr>
      <w:tr>
        <w:tc>
          <w:tcPr>
            <w:tcW w:type="dxa" w:w="3041"/>
          </w:tcPr>
          <w:p>
            <w:r>
              <w:rPr>
                <w:b/>
                <w:sz w:val="19"/>
              </w:rPr>
              <w:t>Autenticación</w:t>
            </w:r>
          </w:p>
        </w:tc>
        <w:tc>
          <w:tcPr>
            <w:tcW w:type="dxa" w:w="3041"/>
          </w:tcPr>
          <w:p>
            <w:r>
              <w:rPr>
                <w:sz w:val="19"/>
              </w:rPr>
              <w:t>Laravel Sanctum</w:t>
            </w:r>
          </w:p>
        </w:tc>
        <w:tc>
          <w:tcPr>
            <w:tcW w:type="dxa" w:w="3041"/>
          </w:tcPr>
          <w:p>
            <w:r>
              <w:rPr>
                <w:sz w:val="19"/>
              </w:rPr>
              <w:t>—</w:t>
            </w:r>
          </w:p>
        </w:tc>
      </w:tr>
      <w:tr>
        <w:tc>
          <w:tcPr>
            <w:tcW w:type="dxa" w:w="3041"/>
          </w:tcPr>
          <w:p>
            <w:r>
              <w:rPr>
                <w:b/>
                <w:sz w:val="19"/>
              </w:rPr>
              <w:t>Generación de PDFs</w:t>
            </w:r>
          </w:p>
        </w:tc>
        <w:tc>
          <w:tcPr>
            <w:tcW w:type="dxa" w:w="3041"/>
          </w:tcPr>
          <w:p>
            <w:r>
              <w:rPr>
                <w:sz w:val="19"/>
              </w:rPr>
              <w:t>DomPDF (barryvdh)</w:t>
            </w:r>
          </w:p>
        </w:tc>
        <w:tc>
          <w:tcPr>
            <w:tcW w:type="dxa" w:w="3041"/>
          </w:tcPr>
          <w:p>
            <w:r>
              <w:rPr>
                <w:sz w:val="19"/>
              </w:rPr>
              <w:t>—</w:t>
            </w:r>
          </w:p>
        </w:tc>
      </w:tr>
      <w:tr>
        <w:tc>
          <w:tcPr>
            <w:tcW w:type="dxa" w:w="3041"/>
          </w:tcPr>
          <w:p>
            <w:r>
              <w:rPr>
                <w:b/>
                <w:sz w:val="19"/>
              </w:rPr>
              <w:t>Export Excel</w:t>
            </w:r>
          </w:p>
        </w:tc>
        <w:tc>
          <w:tcPr>
            <w:tcW w:type="dxa" w:w="3041"/>
          </w:tcPr>
          <w:p>
            <w:r>
              <w:rPr>
                <w:sz w:val="19"/>
              </w:rPr>
              <w:t>PhpSpreadsheet</w:t>
            </w:r>
          </w:p>
        </w:tc>
        <w:tc>
          <w:tcPr>
            <w:tcW w:type="dxa" w:w="3041"/>
          </w:tcPr>
          <w:p>
            <w:r>
              <w:rPr>
                <w:sz w:val="19"/>
              </w:rPr>
              <w:t>—</w:t>
            </w:r>
          </w:p>
        </w:tc>
      </w:tr>
      <w:tr>
        <w:tc>
          <w:tcPr>
            <w:tcW w:type="dxa" w:w="3041"/>
          </w:tcPr>
          <w:p>
            <w:r>
              <w:rPr>
                <w:b/>
                <w:sz w:val="19"/>
              </w:rPr>
              <w:t>Frontend — Framework</w:t>
            </w:r>
          </w:p>
        </w:tc>
        <w:tc>
          <w:tcPr>
            <w:tcW w:type="dxa" w:w="3041"/>
          </w:tcPr>
          <w:p>
            <w:r>
              <w:rPr>
                <w:sz w:val="19"/>
              </w:rPr>
              <w:t>Vue.js</w:t>
            </w:r>
          </w:p>
        </w:tc>
        <w:tc>
          <w:tcPr>
            <w:tcW w:type="dxa" w:w="3041"/>
          </w:tcPr>
          <w:p>
            <w:r>
              <w:rPr>
                <w:sz w:val="19"/>
              </w:rPr>
              <w:t>3 (Composition API)</w:t>
            </w:r>
          </w:p>
        </w:tc>
      </w:tr>
      <w:tr>
        <w:tc>
          <w:tcPr>
            <w:tcW w:type="dxa" w:w="3041"/>
          </w:tcPr>
          <w:p>
            <w:r>
              <w:rPr>
                <w:b/>
                <w:sz w:val="19"/>
              </w:rPr>
              <w:t>Frontend — Estado</w:t>
            </w:r>
          </w:p>
        </w:tc>
        <w:tc>
          <w:tcPr>
            <w:tcW w:type="dxa" w:w="3041"/>
          </w:tcPr>
          <w:p>
            <w:r>
              <w:rPr>
                <w:sz w:val="19"/>
              </w:rPr>
              <w:t>Pinia</w:t>
            </w:r>
          </w:p>
        </w:tc>
        <w:tc>
          <w:tcPr>
            <w:tcW w:type="dxa" w:w="3041"/>
          </w:tcPr>
          <w:p>
            <w:r>
              <w:rPr>
                <w:sz w:val="19"/>
              </w:rPr>
              <w:t>—</w:t>
            </w:r>
          </w:p>
        </w:tc>
      </w:tr>
      <w:tr>
        <w:tc>
          <w:tcPr>
            <w:tcW w:type="dxa" w:w="3041"/>
          </w:tcPr>
          <w:p>
            <w:r>
              <w:rPr>
                <w:b/>
                <w:sz w:val="19"/>
              </w:rPr>
              <w:t>Frontend — Router</w:t>
            </w:r>
          </w:p>
        </w:tc>
        <w:tc>
          <w:tcPr>
            <w:tcW w:type="dxa" w:w="3041"/>
          </w:tcPr>
          <w:p>
            <w:r>
              <w:rPr>
                <w:sz w:val="19"/>
              </w:rPr>
              <w:t>Vue Router</w:t>
            </w:r>
          </w:p>
        </w:tc>
        <w:tc>
          <w:tcPr>
            <w:tcW w:type="dxa" w:w="3041"/>
          </w:tcPr>
          <w:p>
            <w:r>
              <w:rPr>
                <w:sz w:val="19"/>
              </w:rPr>
              <w:t>5</w:t>
            </w:r>
          </w:p>
        </w:tc>
      </w:tr>
      <w:tr>
        <w:tc>
          <w:tcPr>
            <w:tcW w:type="dxa" w:w="3041"/>
          </w:tcPr>
          <w:p>
            <w:r>
              <w:rPr>
                <w:b/>
                <w:sz w:val="19"/>
              </w:rPr>
              <w:t>Frontend — Estilos</w:t>
            </w:r>
          </w:p>
        </w:tc>
        <w:tc>
          <w:tcPr>
            <w:tcW w:type="dxa" w:w="3041"/>
          </w:tcPr>
          <w:p>
            <w:r>
              <w:rPr>
                <w:sz w:val="19"/>
              </w:rPr>
              <w:t>Tailwind CSS</w:t>
            </w:r>
          </w:p>
        </w:tc>
        <w:tc>
          <w:tcPr>
            <w:tcW w:type="dxa" w:w="3041"/>
          </w:tcPr>
          <w:p>
            <w:r>
              <w:rPr>
                <w:sz w:val="19"/>
              </w:rPr>
              <w:t>4</w:t>
            </w:r>
          </w:p>
        </w:tc>
      </w:tr>
      <w:tr>
        <w:tc>
          <w:tcPr>
            <w:tcW w:type="dxa" w:w="3041"/>
          </w:tcPr>
          <w:p>
            <w:r>
              <w:rPr>
                <w:b/>
                <w:sz w:val="19"/>
              </w:rPr>
              <w:t>Frontend — HTTP</w:t>
            </w:r>
          </w:p>
        </w:tc>
        <w:tc>
          <w:tcPr>
            <w:tcW w:type="dxa" w:w="3041"/>
          </w:tcPr>
          <w:p>
            <w:r>
              <w:rPr>
                <w:sz w:val="19"/>
              </w:rPr>
              <w:t>Axios</w:t>
            </w:r>
          </w:p>
        </w:tc>
        <w:tc>
          <w:tcPr>
            <w:tcW w:type="dxa" w:w="3041"/>
          </w:tcPr>
          <w:p>
            <w:r>
              <w:rPr>
                <w:sz w:val="19"/>
              </w:rPr>
              <w:t>—</w:t>
            </w:r>
          </w:p>
        </w:tc>
      </w:tr>
      <w:tr>
        <w:tc>
          <w:tcPr>
            <w:tcW w:type="dxa" w:w="3041"/>
          </w:tcPr>
          <w:p>
            <w:r>
              <w:rPr>
                <w:b/>
                <w:sz w:val="19"/>
              </w:rPr>
              <w:t>Frontend — Build</w:t>
            </w:r>
          </w:p>
        </w:tc>
        <w:tc>
          <w:tcPr>
            <w:tcW w:type="dxa" w:w="3041"/>
          </w:tcPr>
          <w:p>
            <w:r>
              <w:rPr>
                <w:sz w:val="19"/>
              </w:rPr>
              <w:t>Vite</w:t>
            </w:r>
          </w:p>
        </w:tc>
        <w:tc>
          <w:tcPr>
            <w:tcW w:type="dxa" w:w="3041"/>
          </w:tcPr>
          <w:p>
            <w:r>
              <w:rPr>
                <w:sz w:val="19"/>
              </w:rPr>
              <w:t>7</w:t>
            </w:r>
          </w:p>
        </w:tc>
      </w:tr>
      <w:tr>
        <w:tc>
          <w:tcPr>
            <w:tcW w:type="dxa" w:w="3041"/>
          </w:tcPr>
          <w:p>
            <w:r>
              <w:rPr>
                <w:b/>
                <w:sz w:val="19"/>
              </w:rPr>
              <w:t>Servidor Web</w:t>
            </w:r>
          </w:p>
        </w:tc>
        <w:tc>
          <w:tcPr>
            <w:tcW w:type="dxa" w:w="3041"/>
          </w:tcPr>
          <w:p>
            <w:r>
              <w:rPr>
                <w:sz w:val="19"/>
              </w:rPr>
              <w:t>Apache (proxy a PHP 9000)</w:t>
            </w:r>
          </w:p>
        </w:tc>
        <w:tc>
          <w:tcPr>
            <w:tcW w:type="dxa" w:w="3041"/>
          </w:tcPr>
          <w:p>
            <w:r>
              <w:rPr>
                <w:sz w:val="19"/>
              </w:rPr>
              <w:t>—</w:t>
            </w:r>
          </w:p>
        </w:tc>
      </w:tr>
      <w:tr>
        <w:tc>
          <w:tcPr>
            <w:tcW w:type="dxa" w:w="3041"/>
          </w:tcPr>
          <w:p>
            <w:r>
              <w:rPr>
                <w:b/>
                <w:sz w:val="19"/>
              </w:rPr>
              <w:t>Sistema Operativo (servidor)</w:t>
            </w:r>
          </w:p>
        </w:tc>
        <w:tc>
          <w:tcPr>
            <w:tcW w:type="dxa" w:w="3041"/>
          </w:tcPr>
          <w:p>
            <w:r>
              <w:rPr>
                <w:sz w:val="19"/>
              </w:rPr>
              <w:t>Linux</w:t>
            </w:r>
          </w:p>
        </w:tc>
        <w:tc>
          <w:tcPr>
            <w:tcW w:type="dxa" w:w="3041"/>
          </w:tcPr>
          <w:p>
            <w:r>
              <w:rPr>
                <w:sz w:val="19"/>
              </w:rPr>
              <w:t>—</w:t>
            </w:r>
          </w:p>
        </w:tc>
      </w:tr>
    </w:tbl>
    <w:p/>
    <w:p>
      <w:r>
        <w:t>El frontend se sirve como SPA (Single Page Application) desde el mismo servidor Apache. El backend expone una API REST bajo el prefijo /api. La comunicación entre frontend y backend usa tokens Sanctum almacenados en sessionStorage.</w:t>
      </w:r>
    </w:p>
    <w:p>
      <w:r>
        <w:br w:type="page"/>
      </w:r>
    </w:p>
    <w:p>
      <w:pPr>
        <w:pStyle w:val="Heading1"/>
      </w:pPr>
      <w:r>
        <w:t>3. Arquitectura del Sistema</w:t>
      </w:r>
    </w:p>
    <w:p>
      <w:pPr>
        <w:pStyle w:val="Heading2"/>
      </w:pPr>
      <w:r>
        <w:t>3.1 Estructura de capas</w:t>
      </w:r>
    </w:p>
    <w:p>
      <w:r>
        <w:t>El sistema sigue una arquitectura cliente-servidor con separación clara entre frontend y backend:</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Capa</w:t>
            </w:r>
          </w:p>
        </w:tc>
        <w:tc>
          <w:tcPr>
            <w:tcW w:type="dxa" w:w="4561"/>
            <w:shd w:val="clear" w:color="auto" w:fill="0b5547"/>
          </w:tcPr>
          <w:p>
            <w:pPr>
              <w:jc w:val="center"/>
            </w:pPr>
            <w:r>
              <w:rPr>
                <w:b/>
                <w:color w:val="FFFFFF"/>
                <w:sz w:val="20"/>
              </w:rPr>
              <w:t>Responsabilidad</w:t>
            </w:r>
          </w:p>
        </w:tc>
      </w:tr>
      <w:tr>
        <w:tc>
          <w:tcPr>
            <w:tcW w:type="dxa" w:w="4561"/>
          </w:tcPr>
          <w:p>
            <w:r>
              <w:rPr>
                <w:b/>
                <w:sz w:val="19"/>
              </w:rPr>
              <w:t>Capa de presentación</w:t>
            </w:r>
          </w:p>
        </w:tc>
        <w:tc>
          <w:tcPr>
            <w:tcW w:type="dxa" w:w="4561"/>
          </w:tcPr>
          <w:p>
            <w:r>
              <w:rPr>
                <w:sz w:val="19"/>
              </w:rPr>
              <w:t>Vue 3 SPA — componentes, vistas, layouts por módulo, Pinia store</w:t>
            </w:r>
          </w:p>
        </w:tc>
      </w:tr>
      <w:tr>
        <w:tc>
          <w:tcPr>
            <w:tcW w:type="dxa" w:w="4561"/>
          </w:tcPr>
          <w:p>
            <w:r>
              <w:rPr>
                <w:b/>
                <w:sz w:val="19"/>
              </w:rPr>
              <w:t>Capa de API</w:t>
            </w:r>
          </w:p>
        </w:tc>
        <w:tc>
          <w:tcPr>
            <w:tcW w:type="dxa" w:w="4561"/>
          </w:tcPr>
          <w:p>
            <w:r>
              <w:rPr>
                <w:sz w:val="19"/>
              </w:rPr>
              <w:t>Controladores Laravel — validan, procesan y retornan JSON</w:t>
            </w:r>
          </w:p>
        </w:tc>
      </w:tr>
      <w:tr>
        <w:tc>
          <w:tcPr>
            <w:tcW w:type="dxa" w:w="4561"/>
          </w:tcPr>
          <w:p>
            <w:r>
              <w:rPr>
                <w:b/>
                <w:sz w:val="19"/>
              </w:rPr>
              <w:t>Capa de servicios</w:t>
            </w:r>
          </w:p>
        </w:tc>
        <w:tc>
          <w:tcPr>
            <w:tcW w:type="dxa" w:w="4561"/>
          </w:tcPr>
          <w:p>
            <w:r>
              <w:rPr>
                <w:sz w:val="19"/>
              </w:rPr>
              <w:t>AuditoriaService, helpers de Alfresco, lógica de nómina</w:t>
            </w:r>
          </w:p>
        </w:tc>
      </w:tr>
      <w:tr>
        <w:tc>
          <w:tcPr>
            <w:tcW w:type="dxa" w:w="4561"/>
          </w:tcPr>
          <w:p>
            <w:r>
              <w:rPr>
                <w:b/>
                <w:sz w:val="19"/>
              </w:rPr>
              <w:t>Capa de datos</w:t>
            </w:r>
          </w:p>
        </w:tc>
        <w:tc>
          <w:tcPr>
            <w:tcW w:type="dxa" w:w="4561"/>
          </w:tcPr>
          <w:p>
            <w:r>
              <w:rPr>
                <w:sz w:val="19"/>
              </w:rPr>
              <w:t>Eloquent ORM + DB::table() para tablas con schema prefix PostgreSQL</w:t>
            </w:r>
          </w:p>
        </w:tc>
      </w:tr>
      <w:tr>
        <w:tc>
          <w:tcPr>
            <w:tcW w:type="dxa" w:w="4561"/>
          </w:tcPr>
          <w:p>
            <w:r>
              <w:rPr>
                <w:b/>
                <w:sz w:val="19"/>
              </w:rPr>
              <w:t>Capa de documentos</w:t>
            </w:r>
          </w:p>
        </w:tc>
        <w:tc>
          <w:tcPr>
            <w:tcW w:type="dxa" w:w="4561"/>
          </w:tcPr>
          <w:p>
            <w:r>
              <w:rPr>
                <w:sz w:val="19"/>
              </w:rPr>
              <w:t>DomPDF (vistas Blade) + Alfresco (almacenamiento firmado)</w:t>
            </w:r>
          </w:p>
        </w:tc>
      </w:tr>
    </w:tbl>
    <w:p/>
    <w:p>
      <w:pPr>
        <w:pStyle w:val="Heading2"/>
      </w:pPr>
      <w:r>
        <w:t>3.2 Base de Datos</w:t>
      </w:r>
    </w:p>
    <w:p>
      <w:r>
        <w:t>Una única base de datos PostgreSQL con dos esquemas diferenciados:</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Esquema</w:t>
            </w:r>
          </w:p>
        </w:tc>
        <w:tc>
          <w:tcPr>
            <w:tcW w:type="dxa" w:w="4561"/>
            <w:shd w:val="clear" w:color="auto" w:fill="0b5547"/>
          </w:tcPr>
          <w:p>
            <w:pPr>
              <w:jc w:val="center"/>
            </w:pPr>
            <w:r>
              <w:rPr>
                <w:b/>
                <w:color w:val="FFFFFF"/>
                <w:sz w:val="20"/>
              </w:rPr>
              <w:t>Contenido</w:t>
            </w:r>
          </w:p>
        </w:tc>
      </w:tr>
      <w:tr>
        <w:tc>
          <w:tcPr>
            <w:tcW w:type="dxa" w:w="4561"/>
          </w:tcPr>
          <w:p>
            <w:r>
              <w:rPr>
                <w:b/>
                <w:sz w:val="19"/>
              </w:rPr>
              <w:t>dbo</w:t>
            </w:r>
          </w:p>
        </w:tc>
        <w:tc>
          <w:tcPr>
            <w:tcW w:type="dxa" w:w="4561"/>
          </w:tcPr>
          <w:p>
            <w:r>
              <w:rPr>
                <w:sz w:val="19"/>
              </w:rPr>
              <w:t>Talento Humano, Nómina, Administración, Transportes</w:t>
            </w:r>
          </w:p>
        </w:tc>
      </w:tr>
      <w:tr>
        <w:tc>
          <w:tcPr>
            <w:tcW w:type="dxa" w:w="4561"/>
          </w:tcPr>
          <w:p>
            <w:r>
              <w:rPr>
                <w:b/>
                <w:sz w:val="19"/>
              </w:rPr>
              <w:t>adq</w:t>
            </w:r>
          </w:p>
        </w:tc>
        <w:tc>
          <w:tcPr>
            <w:tcW w:type="dxa" w:w="4561"/>
          </w:tcPr>
          <w:p>
            <w:r>
              <w:rPr>
                <w:sz w:val="19"/>
              </w:rPr>
              <w:t>Adquisiciones y Bienes</w:t>
            </w:r>
          </w:p>
        </w:tc>
      </w:tr>
    </w:tbl>
    <w:p/>
    <w:p>
      <w:r>
        <w:t>Nota técnica: al usar Eloquent con tablas que incluyen prefijo de esquema (ej: adq.kardex), se debe usar DB::table() en lugar de Eloquent para operaciones de actualización de stock, debido a incompatibilidades de PostgreSQL con el ORM en estos casos.</w:t>
      </w:r>
    </w:p>
    <w:p>
      <w:pPr>
        <w:pStyle w:val="Heading2"/>
      </w:pPr>
      <w:r>
        <w:t>3.3 Autenticación</w:t>
      </w:r>
    </w:p>
    <w:p>
      <w:r>
        <w:t>La autenticación usa Laravel Sanctum con un guard personalizado sobre el modelo Empleado (tabla dbo.ad_empleado), no el modelo User estándar de Laravel. El token se almacena en sessionStorage del navegador — la sesión expira al cerrar la pestaña/ventana. Axios inyecta el token en cada petición mediante un interceptor. Los errores 401 limpian el token y redirigen al login automáticamente.</w:t>
      </w:r>
    </w:p>
    <w:p>
      <w:pPr>
        <w:pStyle w:val="Heading2"/>
      </w:pPr>
      <w:r>
        <w:t>3.4 Integraciones externas</w:t>
      </w:r>
    </w:p>
    <w:tbl>
      <w:tblPr>
        <w:tblStyle w:val="TableGrid"/>
        <w:tblW w:type="auto" w:w="0"/>
        <w:tblLook w:firstColumn="1" w:firstRow="1" w:lastColumn="0" w:lastRow="0" w:noHBand="0" w:noVBand="1" w:val="04A0"/>
      </w:tblPr>
      <w:tblGrid>
        <w:gridCol w:w="2280"/>
        <w:gridCol w:w="2280"/>
        <w:gridCol w:w="2280"/>
        <w:gridCol w:w="2280"/>
      </w:tblGrid>
      <w:tr>
        <w:tc>
          <w:tcPr>
            <w:tcW w:type="dxa" w:w="2280"/>
            <w:shd w:val="clear" w:color="auto" w:fill="0b5547"/>
          </w:tcPr>
          <w:p>
            <w:pPr>
              <w:jc w:val="center"/>
            </w:pPr>
            <w:r>
              <w:rPr>
                <w:b/>
                <w:color w:val="FFFFFF"/>
                <w:sz w:val="20"/>
              </w:rPr>
              <w:t>Sistema</w:t>
            </w:r>
          </w:p>
        </w:tc>
        <w:tc>
          <w:tcPr>
            <w:tcW w:type="dxa" w:w="2280"/>
            <w:shd w:val="clear" w:color="auto" w:fill="0b5547"/>
          </w:tcPr>
          <w:p>
            <w:pPr>
              <w:jc w:val="center"/>
            </w:pPr>
            <w:r>
              <w:rPr>
                <w:b/>
                <w:color w:val="FFFFFF"/>
                <w:sz w:val="20"/>
              </w:rPr>
              <w:t>Tipo</w:t>
            </w:r>
          </w:p>
        </w:tc>
        <w:tc>
          <w:tcPr>
            <w:tcW w:type="dxa" w:w="2280"/>
            <w:shd w:val="clear" w:color="auto" w:fill="0b5547"/>
          </w:tcPr>
          <w:p>
            <w:pPr>
              <w:jc w:val="center"/>
            </w:pPr>
            <w:r>
              <w:rPr>
                <w:b/>
                <w:color w:val="FFFFFF"/>
                <w:sz w:val="20"/>
              </w:rPr>
              <w:t>URL / Referencia</w:t>
            </w:r>
          </w:p>
        </w:tc>
        <w:tc>
          <w:tcPr>
            <w:tcW w:type="dxa" w:w="2280"/>
            <w:shd w:val="clear" w:color="auto" w:fill="0b5547"/>
          </w:tcPr>
          <w:p>
            <w:pPr>
              <w:jc w:val="center"/>
            </w:pPr>
            <w:r>
              <w:rPr>
                <w:b/>
                <w:color w:val="FFFFFF"/>
                <w:sz w:val="20"/>
              </w:rPr>
              <w:t>Función</w:t>
            </w:r>
          </w:p>
        </w:tc>
      </w:tr>
      <w:tr>
        <w:tc>
          <w:tcPr>
            <w:tcW w:type="dxa" w:w="2280"/>
          </w:tcPr>
          <w:p>
            <w:r>
              <w:rPr>
                <w:b/>
                <w:sz w:val="19"/>
              </w:rPr>
              <w:t>Alfresco ECM</w:t>
            </w:r>
          </w:p>
        </w:tc>
        <w:tc>
          <w:tcPr>
            <w:tcW w:type="dxa" w:w="2280"/>
          </w:tcPr>
          <w:p>
            <w:r>
              <w:rPr>
                <w:sz w:val="19"/>
              </w:rPr>
              <w:t>Gestor documental</w:t>
            </w:r>
          </w:p>
        </w:tc>
        <w:tc>
          <w:tcPr>
            <w:tcW w:type="dxa" w:w="2280"/>
          </w:tcPr>
          <w:p>
            <w:r>
              <w:rPr>
                <w:sz w:val="19"/>
              </w:rPr>
              <w:t>http://192.168.26.38:8080</w:t>
            </w:r>
          </w:p>
        </w:tc>
        <w:tc>
          <w:tcPr>
            <w:tcW w:type="dxa" w:w="2280"/>
          </w:tcPr>
          <w:p>
            <w:r>
              <w:rPr>
                <w:sz w:val="19"/>
              </w:rPr>
              <w:t>Almacena PDFs firmados (acciones personal, horas extras, permisos, certificados). API REST con autenticación básica.</w:t>
            </w:r>
          </w:p>
        </w:tc>
      </w:tr>
      <w:tr>
        <w:tc>
          <w:tcPr>
            <w:tcW w:type="dxa" w:w="2280"/>
          </w:tcPr>
          <w:p>
            <w:r>
              <w:rPr>
                <w:b/>
                <w:sz w:val="19"/>
              </w:rPr>
              <w:t>ZKTeco SenseFace 7A</w:t>
            </w:r>
          </w:p>
        </w:tc>
        <w:tc>
          <w:tcPr>
            <w:tcW w:type="dxa" w:w="2280"/>
          </w:tcPr>
          <w:p>
            <w:r>
              <w:rPr>
                <w:sz w:val="19"/>
              </w:rPr>
              <w:t>Reloj biométrico</w:t>
            </w:r>
          </w:p>
        </w:tc>
        <w:tc>
          <w:tcPr>
            <w:tcW w:type="dxa" w:w="2280"/>
          </w:tcPr>
          <w:p>
            <w:r>
              <w:rPr>
                <w:sz w:val="19"/>
              </w:rPr>
              <w:t>Push a /api/iclock/</w:t>
            </w:r>
          </w:p>
        </w:tc>
        <w:tc>
          <w:tcPr>
            <w:tcW w:type="dxa" w:w="2280"/>
          </w:tcPr>
          <w:p>
            <w:r>
              <w:rPr>
                <w:sz w:val="19"/>
              </w:rPr>
              <w:t>El reloj envía marcaciones por protocolo ADMS. El servidor recibe y procesa la asistencia automáticamente.</w:t>
            </w:r>
          </w:p>
        </w:tc>
      </w:tr>
      <w:tr>
        <w:tc>
          <w:tcPr>
            <w:tcW w:type="dxa" w:w="2280"/>
          </w:tcPr>
          <w:p>
            <w:r>
              <w:rPr>
                <w:b/>
                <w:sz w:val="19"/>
              </w:rPr>
              <w:t>MEF — Clasificación presupuestaria</w:t>
            </w:r>
          </w:p>
        </w:tc>
        <w:tc>
          <w:tcPr>
            <w:tcW w:type="dxa" w:w="2280"/>
          </w:tcPr>
          <w:p>
            <w:r>
              <w:rPr>
                <w:sz w:val="19"/>
              </w:rPr>
              <w:t>Catálogo externo</w:t>
            </w:r>
          </w:p>
        </w:tc>
        <w:tc>
          <w:tcPr>
            <w:tcW w:type="dxa" w:w="2280"/>
          </w:tcPr>
          <w:p>
            <w:r>
              <w:rPr>
                <w:sz w:val="19"/>
              </w:rPr>
              <w:t>Tabla adq.catalogo_inventario</w:t>
            </w:r>
          </w:p>
        </w:tc>
        <w:tc>
          <w:tcPr>
            <w:tcW w:type="dxa" w:w="2280"/>
          </w:tcPr>
          <w:p>
            <w:r>
              <w:rPr>
                <w:sz w:val="19"/>
              </w:rPr>
              <w:t>Catálogo de partidas presupuestarias para inventario de bienes.</w:t>
            </w:r>
          </w:p>
        </w:tc>
      </w:tr>
    </w:tbl>
    <w:p>
      <w:r>
        <w:br w:type="page"/>
      </w:r>
    </w:p>
    <w:p>
      <w:pPr>
        <w:pStyle w:val="Heading1"/>
      </w:pPr>
      <w:r>
        <w:t>4. Módulos del Sistema</w:t>
      </w:r>
    </w:p>
    <w:p>
      <w:pPr>
        <w:pStyle w:val="Heading2"/>
      </w:pPr>
      <w:r>
        <w:t>4.1 Módulo Talento Humano</w:t>
      </w:r>
    </w:p>
    <w:p>
      <w:r>
        <w:t>Módulo principal del sistema. Gestiona el ciclo de vida del empleado desde su ingreso hasta su desvinculación, incluyendo asistencia diaria, novedades, vacaciones y nómina de beneficios.</w:t>
      </w:r>
    </w:p>
    <w:p>
      <w:pPr>
        <w:pStyle w:val="Heading3"/>
      </w:pPr>
      <w:r>
        <w:t>Submódulos</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Submódulo</w:t>
            </w:r>
          </w:p>
        </w:tc>
        <w:tc>
          <w:tcPr>
            <w:tcW w:type="dxa" w:w="4561"/>
            <w:shd w:val="clear" w:color="auto" w:fill="0b5547"/>
          </w:tcPr>
          <w:p>
            <w:pPr>
              <w:jc w:val="center"/>
            </w:pPr>
            <w:r>
              <w:rPr>
                <w:b/>
                <w:color w:val="FFFFFF"/>
                <w:sz w:val="20"/>
              </w:rPr>
              <w:t>Descripción</w:t>
            </w:r>
          </w:p>
        </w:tc>
      </w:tr>
      <w:tr>
        <w:tc>
          <w:tcPr>
            <w:tcW w:type="dxa" w:w="4561"/>
          </w:tcPr>
          <w:p>
            <w:r>
              <w:rPr>
                <w:b/>
                <w:sz w:val="19"/>
              </w:rPr>
              <w:t>Empleados</w:t>
            </w:r>
          </w:p>
        </w:tc>
        <w:tc>
          <w:tcPr>
            <w:tcW w:type="dxa" w:w="4561"/>
          </w:tcPr>
          <w:p>
            <w:r>
              <w:rPr>
                <w:sz w:val="19"/>
              </w:rPr>
              <w:t>CRUD completo: datos personales, cargo, contrato, asistencia, datos sociales, SERCOP, hijos, persona sustituta, fotos.</w:t>
            </w:r>
          </w:p>
        </w:tc>
      </w:tr>
      <w:tr>
        <w:tc>
          <w:tcPr>
            <w:tcW w:type="dxa" w:w="4561"/>
          </w:tcPr>
          <w:p>
            <w:r>
              <w:rPr>
                <w:b/>
                <w:sz w:val="19"/>
              </w:rPr>
              <w:t>Control de Asistencia</w:t>
            </w:r>
          </w:p>
        </w:tc>
        <w:tc>
          <w:tcPr>
            <w:tcW w:type="dxa" w:w="4561"/>
          </w:tcPr>
          <w:p>
            <w:r>
              <w:rPr>
                <w:sz w:val="19"/>
              </w:rPr>
              <w:t>Marcación web/teletrabajo desde la app y marcación biométrica (ZKTeco). Cuadre nocturno de atrasos.</w:t>
            </w:r>
          </w:p>
        </w:tc>
      </w:tr>
      <w:tr>
        <w:tc>
          <w:tcPr>
            <w:tcW w:type="dxa" w:w="4561"/>
          </w:tcPr>
          <w:p>
            <w:r>
              <w:rPr>
                <w:b/>
                <w:sz w:val="19"/>
              </w:rPr>
              <w:t>Permisos y Licencias</w:t>
            </w:r>
          </w:p>
        </w:tc>
        <w:tc>
          <w:tcPr>
            <w:tcW w:type="dxa" w:w="4561"/>
          </w:tcPr>
          <w:p>
            <w:r>
              <w:rPr>
                <w:sz w:val="19"/>
              </w:rPr>
              <w:t>Solicitud, aprobación y anulación de permisos. Descuento automático de saldo de vacaciones en permisos descontables.</w:t>
            </w:r>
          </w:p>
        </w:tc>
      </w:tr>
      <w:tr>
        <w:tc>
          <w:tcPr>
            <w:tcW w:type="dxa" w:w="4561"/>
          </w:tcPr>
          <w:p>
            <w:r>
              <w:rPr>
                <w:b/>
                <w:sz w:val="19"/>
              </w:rPr>
              <w:t>Vacaciones</w:t>
            </w:r>
          </w:p>
        </w:tc>
        <w:tc>
          <w:tcPr>
            <w:tcW w:type="dxa" w:w="4561"/>
          </w:tcPr>
          <w:p>
            <w:r>
              <w:rPr>
                <w:sz w:val="19"/>
              </w:rPr>
              <w:t>Solicitud y aprobación de vacaciones. Cálculo de saldo según tipo de contrato (LOSEP / Código del Trabajo).</w:t>
            </w:r>
          </w:p>
        </w:tc>
      </w:tr>
      <w:tr>
        <w:tc>
          <w:tcPr>
            <w:tcW w:type="dxa" w:w="4561"/>
          </w:tcPr>
          <w:p>
            <w:r>
              <w:rPr>
                <w:b/>
                <w:sz w:val="19"/>
              </w:rPr>
              <w:t>Planificación de Vacaciones</w:t>
            </w:r>
          </w:p>
        </w:tc>
        <w:tc>
          <w:tcPr>
            <w:tcW w:type="dxa" w:w="4561"/>
          </w:tcPr>
          <w:p>
            <w:r>
              <w:rPr>
                <w:sz w:val="19"/>
              </w:rPr>
              <w:t>Planificación anual de períodos de vacaciones con seguimiento de estados.</w:t>
            </w:r>
          </w:p>
        </w:tc>
      </w:tr>
      <w:tr>
        <w:tc>
          <w:tcPr>
            <w:tcW w:type="dxa" w:w="4561"/>
          </w:tcPr>
          <w:p>
            <w:r>
              <w:rPr>
                <w:b/>
                <w:sz w:val="19"/>
              </w:rPr>
              <w:t>Acciones de Personal</w:t>
            </w:r>
          </w:p>
        </w:tc>
        <w:tc>
          <w:tcPr>
            <w:tcW w:type="dxa" w:w="4561"/>
          </w:tcPr>
          <w:p>
            <w:r>
              <w:rPr>
                <w:sz w:val="19"/>
              </w:rPr>
              <w:t>Encargo, subrogación, ingreso, vacaciones formales, destitución y cesación. PDFs firmados en Alfresco.</w:t>
            </w:r>
          </w:p>
        </w:tc>
      </w:tr>
      <w:tr>
        <w:tc>
          <w:tcPr>
            <w:tcW w:type="dxa" w:w="4561"/>
          </w:tcPr>
          <w:p>
            <w:r>
              <w:rPr>
                <w:b/>
                <w:sz w:val="19"/>
              </w:rPr>
              <w:t>Horas Extras</w:t>
            </w:r>
          </w:p>
        </w:tc>
        <w:tc>
          <w:tcPr>
            <w:tcW w:type="dxa" w:w="4561"/>
          </w:tcPr>
          <w:p>
            <w:r>
              <w:rPr>
                <w:sz w:val="19"/>
              </w:rPr>
              <w:t>Planificación y registro de horas extraordinarias y suplementarias. Cálculo monetario para TH Nómina.</w:t>
            </w:r>
          </w:p>
        </w:tc>
      </w:tr>
      <w:tr>
        <w:tc>
          <w:tcPr>
            <w:tcW w:type="dxa" w:w="4561"/>
          </w:tcPr>
          <w:p>
            <w:r>
              <w:rPr>
                <w:b/>
                <w:sz w:val="19"/>
              </w:rPr>
              <w:t>Certificados Laborales</w:t>
            </w:r>
          </w:p>
        </w:tc>
        <w:tc>
          <w:tcPr>
            <w:tcW w:type="dxa" w:w="4561"/>
          </w:tcPr>
          <w:p>
            <w:r>
              <w:rPr>
                <w:sz w:val="19"/>
              </w:rPr>
              <w:t>Emisión numerada y archivo en Alfresco de certificados laborales.</w:t>
            </w:r>
          </w:p>
        </w:tc>
      </w:tr>
      <w:tr>
        <w:tc>
          <w:tcPr>
            <w:tcW w:type="dxa" w:w="4561"/>
          </w:tcPr>
          <w:p>
            <w:r>
              <w:rPr>
                <w:b/>
                <w:sz w:val="19"/>
              </w:rPr>
              <w:t>Liquidación de Vacaciones</w:t>
            </w:r>
          </w:p>
        </w:tc>
        <w:tc>
          <w:tcPr>
            <w:tcW w:type="dxa" w:w="4561"/>
          </w:tcPr>
          <w:p>
            <w:r>
              <w:rPr>
                <w:sz w:val="19"/>
              </w:rPr>
              <w:t>Liquidación por comisión de servicios o desvinculación.</w:t>
            </w:r>
          </w:p>
        </w:tc>
      </w:tr>
      <w:tr>
        <w:tc>
          <w:tcPr>
            <w:tcW w:type="dxa" w:w="4561"/>
          </w:tcPr>
          <w:p>
            <w:r>
              <w:rPr>
                <w:b/>
                <w:sz w:val="19"/>
              </w:rPr>
              <w:t>Reportes</w:t>
            </w:r>
          </w:p>
        </w:tc>
        <w:tc>
          <w:tcPr>
            <w:tcW w:type="dxa" w:w="4561"/>
          </w:tcPr>
          <w:p>
            <w:r>
              <w:rPr>
                <w:sz w:val="19"/>
              </w:rPr>
              <w:t>Atrasos, marcaciones faltantes, sin atrasos, movimientos de personal. Export Excel y PDF.</w:t>
            </w:r>
          </w:p>
        </w:tc>
      </w:tr>
      <w:tr>
        <w:tc>
          <w:tcPr>
            <w:tcW w:type="dxa" w:w="4561"/>
          </w:tcPr>
          <w:p>
            <w:r>
              <w:rPr>
                <w:b/>
                <w:sz w:val="19"/>
              </w:rPr>
              <w:t>Reporte de Personal</w:t>
            </w:r>
          </w:p>
        </w:tc>
        <w:tc>
          <w:tcPr>
            <w:tcW w:type="dxa" w:w="4561"/>
          </w:tcPr>
          <w:p>
            <w:r>
              <w:rPr>
                <w:sz w:val="19"/>
              </w:rPr>
              <w:t>Reporte estadístico con alertas SERCOP, sustituta, guardería, gráficos por sexo/contrato/modalidad.</w:t>
            </w:r>
          </w:p>
        </w:tc>
      </w:tr>
      <w:tr>
        <w:tc>
          <w:tcPr>
            <w:tcW w:type="dxa" w:w="4561"/>
          </w:tcPr>
          <w:p>
            <w:r>
              <w:rPr>
                <w:b/>
                <w:sz w:val="19"/>
              </w:rPr>
              <w:t>Reporte Saldo Vacaciones</w:t>
            </w:r>
          </w:p>
        </w:tc>
        <w:tc>
          <w:tcPr>
            <w:tcW w:type="dxa" w:w="4561"/>
          </w:tcPr>
          <w:p>
            <w:r>
              <w:rPr>
                <w:sz w:val="19"/>
              </w:rPr>
              <w:t>Kardex de vacaciones por empleado con kardex expandible. Carga masiva de saldos iniciales.</w:t>
            </w:r>
          </w:p>
        </w:tc>
      </w:tr>
    </w:tbl>
    <w:p/>
    <w:p>
      <w:pPr>
        <w:pStyle w:val="Heading2"/>
      </w:pPr>
      <w:r>
        <w:t>4.2 Módulo Nómina</w:t>
      </w:r>
    </w:p>
    <w:p>
      <w:r>
        <w:t>Gestiona los beneficios económicos mensuales de los empleados. Accesible exclusivamente para el rol TH NOMINA.</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Submódulo</w:t>
            </w:r>
          </w:p>
        </w:tc>
        <w:tc>
          <w:tcPr>
            <w:tcW w:type="dxa" w:w="4561"/>
            <w:shd w:val="clear" w:color="auto" w:fill="0b5547"/>
          </w:tcPr>
          <w:p>
            <w:pPr>
              <w:jc w:val="center"/>
            </w:pPr>
            <w:r>
              <w:rPr>
                <w:b/>
                <w:color w:val="FFFFFF"/>
                <w:sz w:val="20"/>
              </w:rPr>
              <w:t>Descripción</w:t>
            </w:r>
          </w:p>
        </w:tc>
      </w:tr>
      <w:tr>
        <w:tc>
          <w:tcPr>
            <w:tcW w:type="dxa" w:w="4561"/>
          </w:tcPr>
          <w:p>
            <w:r>
              <w:rPr>
                <w:b/>
                <w:sz w:val="19"/>
              </w:rPr>
              <w:t>Décimo Tercero</w:t>
            </w:r>
          </w:p>
        </w:tc>
        <w:tc>
          <w:tcPr>
            <w:tcW w:type="dxa" w:w="4561"/>
          </w:tcPr>
          <w:p>
            <w:r>
              <w:rPr>
                <w:sz w:val="19"/>
              </w:rPr>
              <w:t>Cálculo mensual proporcional. Estado BORRADOR → CERRADO. PDF y export.</w:t>
            </w:r>
          </w:p>
        </w:tc>
      </w:tr>
      <w:tr>
        <w:tc>
          <w:tcPr>
            <w:tcW w:type="dxa" w:w="4561"/>
          </w:tcPr>
          <w:p>
            <w:r>
              <w:rPr>
                <w:b/>
                <w:sz w:val="19"/>
              </w:rPr>
              <w:t>Décimo Cuarto</w:t>
            </w:r>
          </w:p>
        </w:tc>
        <w:tc>
          <w:tcPr>
            <w:tcW w:type="dxa" w:w="4561"/>
          </w:tcPr>
          <w:p>
            <w:r>
              <w:rPr>
                <w:sz w:val="19"/>
              </w:rPr>
              <w:t>Cálculo mensual proporcional en base al SBU vigente.</w:t>
            </w:r>
          </w:p>
        </w:tc>
      </w:tr>
      <w:tr>
        <w:tc>
          <w:tcPr>
            <w:tcW w:type="dxa" w:w="4561"/>
          </w:tcPr>
          <w:p>
            <w:r>
              <w:rPr>
                <w:b/>
                <w:sz w:val="19"/>
              </w:rPr>
              <w:t>Fondos de Reserva</w:t>
            </w:r>
          </w:p>
        </w:tc>
        <w:tc>
          <w:tcPr>
            <w:tcW w:type="dxa" w:w="4561"/>
          </w:tcPr>
          <w:p>
            <w:r>
              <w:rPr>
                <w:sz w:val="19"/>
              </w:rPr>
              <w:t>Para empleados con más de 12 meses de servicio. Tipos MENSUAL e IESS.</w:t>
            </w:r>
          </w:p>
        </w:tc>
      </w:tr>
      <w:tr>
        <w:tc>
          <w:tcPr>
            <w:tcW w:type="dxa" w:w="4561"/>
          </w:tcPr>
          <w:p>
            <w:r>
              <w:rPr>
                <w:b/>
                <w:sz w:val="19"/>
              </w:rPr>
              <w:t>Rol de Pagos</w:t>
            </w:r>
          </w:p>
        </w:tc>
        <w:tc>
          <w:tcPr>
            <w:tcW w:type="dxa" w:w="4561"/>
          </w:tcPr>
          <w:p>
            <w:r>
              <w:rPr>
                <w:sz w:val="19"/>
              </w:rPr>
              <w:t>Sueldo, aportes IESS/IECE/SECAP, descuentos manuales (quirografario, impuesto renta, póliza blanket). Resúmenes por programa/actividad presupuestaria.</w:t>
            </w:r>
          </w:p>
        </w:tc>
      </w:tr>
      <w:tr>
        <w:tc>
          <w:tcPr>
            <w:tcW w:type="dxa" w:w="4561"/>
          </w:tcPr>
          <w:p>
            <w:r>
              <w:rPr>
                <w:b/>
                <w:sz w:val="19"/>
              </w:rPr>
              <w:t>Consolidado</w:t>
            </w:r>
          </w:p>
        </w:tc>
        <w:tc>
          <w:tcPr>
            <w:tcW w:type="dxa" w:w="4561"/>
          </w:tcPr>
          <w:p>
            <w:r>
              <w:rPr>
                <w:sz w:val="19"/>
              </w:rPr>
              <w:t>Vista consolidada de todos los beneficios del período.</w:t>
            </w:r>
          </w:p>
        </w:tc>
      </w:tr>
      <w:tr>
        <w:tc>
          <w:tcPr>
            <w:tcW w:type="dxa" w:w="4561"/>
          </w:tcPr>
          <w:p>
            <w:r>
              <w:rPr>
                <w:b/>
                <w:sz w:val="19"/>
              </w:rPr>
              <w:t>Administración SBU</w:t>
            </w:r>
          </w:p>
        </w:tc>
        <w:tc>
          <w:tcPr>
            <w:tcW w:type="dxa" w:w="4561"/>
          </w:tcPr>
          <w:p>
            <w:r>
              <w:rPr>
                <w:sz w:val="19"/>
              </w:rPr>
              <w:t>Gestión del Salario Básico Unificado por año.</w:t>
            </w:r>
          </w:p>
        </w:tc>
      </w:tr>
      <w:tr>
        <w:tc>
          <w:tcPr>
            <w:tcW w:type="dxa" w:w="4561"/>
          </w:tcPr>
          <w:p>
            <w:r>
              <w:rPr>
                <w:b/>
                <w:sz w:val="19"/>
              </w:rPr>
              <w:t>Aportes IESS</w:t>
            </w:r>
          </w:p>
        </w:tc>
        <w:tc>
          <w:tcPr>
            <w:tcW w:type="dxa" w:w="4561"/>
          </w:tcPr>
          <w:p>
            <w:r>
              <w:rPr>
                <w:sz w:val="19"/>
              </w:rPr>
              <w:t>Tasas de aporte patronal e individual por tipo de contrato (LOSEP / Código del Trabajo).</w:t>
            </w:r>
          </w:p>
        </w:tc>
      </w:tr>
    </w:tbl>
    <w:p/>
    <w:p>
      <w:pPr>
        <w:pStyle w:val="Heading2"/>
      </w:pPr>
      <w:r>
        <w:t>4.3 Módulo Adquisiciones / Bienes</w:t>
      </w:r>
    </w:p>
    <w:p>
      <w:r>
        <w:t>Gestiona el inventario de bienes y suministros institucionales bajo norma NIC 2. Incluye kardex valorizado con precio promedio ponderado.</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Submódulo</w:t>
            </w:r>
          </w:p>
        </w:tc>
        <w:tc>
          <w:tcPr>
            <w:tcW w:type="dxa" w:w="4561"/>
            <w:shd w:val="clear" w:color="auto" w:fill="0b5547"/>
          </w:tcPr>
          <w:p>
            <w:pPr>
              <w:jc w:val="center"/>
            </w:pPr>
            <w:r>
              <w:rPr>
                <w:b/>
                <w:color w:val="FFFFFF"/>
                <w:sz w:val="20"/>
              </w:rPr>
              <w:t>Descripción</w:t>
            </w:r>
          </w:p>
        </w:tc>
      </w:tr>
      <w:tr>
        <w:tc>
          <w:tcPr>
            <w:tcW w:type="dxa" w:w="4561"/>
          </w:tcPr>
          <w:p>
            <w:r>
              <w:rPr>
                <w:b/>
                <w:sz w:val="19"/>
              </w:rPr>
              <w:t>Artículos / Inventario</w:t>
            </w:r>
          </w:p>
        </w:tc>
        <w:tc>
          <w:tcPr>
            <w:tcW w:type="dxa" w:w="4561"/>
          </w:tcPr>
          <w:p>
            <w:r>
              <w:rPr>
                <w:sz w:val="19"/>
              </w:rPr>
              <w:t>Catálogo de artículos con precio, IVA, stock, imagen y clasificación MEF.</w:t>
            </w:r>
          </w:p>
        </w:tc>
      </w:tr>
      <w:tr>
        <w:tc>
          <w:tcPr>
            <w:tcW w:type="dxa" w:w="4561"/>
          </w:tcPr>
          <w:p>
            <w:r>
              <w:rPr>
                <w:b/>
                <w:sz w:val="19"/>
              </w:rPr>
              <w:t>Ingresos de Bienes</w:t>
            </w:r>
          </w:p>
        </w:tc>
        <w:tc>
          <w:tcPr>
            <w:tcW w:type="dxa" w:w="4561"/>
          </w:tcPr>
          <w:p>
            <w:r>
              <w:rPr>
                <w:sz w:val="19"/>
              </w:rPr>
              <w:t>Órdenes de compra (BORRADOR → RECIBIDO). Precio promedio ponderado al confirmar. Proceso especial Caja Chica.</w:t>
            </w:r>
          </w:p>
        </w:tc>
      </w:tr>
      <w:tr>
        <w:tc>
          <w:tcPr>
            <w:tcW w:type="dxa" w:w="4561"/>
          </w:tcPr>
          <w:p>
            <w:r>
              <w:rPr>
                <w:b/>
                <w:sz w:val="19"/>
              </w:rPr>
              <w:t>Egresos de Bienes</w:t>
            </w:r>
          </w:p>
        </w:tc>
        <w:tc>
          <w:tcPr>
            <w:tcW w:type="dxa" w:w="4561"/>
          </w:tcPr>
          <w:p>
            <w:r>
              <w:rPr>
                <w:sz w:val="19"/>
              </w:rPr>
              <w:t>Salidas de bodega (BORRADOR → DESPACHADO). Descuento inmediato de stock.</w:t>
            </w:r>
          </w:p>
        </w:tc>
      </w:tr>
      <w:tr>
        <w:tc>
          <w:tcPr>
            <w:tcW w:type="dxa" w:w="4561"/>
          </w:tcPr>
          <w:p>
            <w:r>
              <w:rPr>
                <w:b/>
                <w:sz w:val="19"/>
              </w:rPr>
              <w:t>Solicitudes de Materiales</w:t>
            </w:r>
          </w:p>
        </w:tc>
        <w:tc>
          <w:tcPr>
            <w:tcW w:type="dxa" w:w="4561"/>
          </w:tcPr>
          <w:p>
            <w:r>
              <w:rPr>
                <w:sz w:val="19"/>
              </w:rPr>
              <w:t>Flujo: empleado solicita → supervisor aprueba con cantidades → bienes despacha.</w:t>
            </w:r>
          </w:p>
        </w:tc>
      </w:tr>
      <w:tr>
        <w:tc>
          <w:tcPr>
            <w:tcW w:type="dxa" w:w="4561"/>
          </w:tcPr>
          <w:p>
            <w:r>
              <w:rPr>
                <w:b/>
                <w:sz w:val="19"/>
              </w:rPr>
              <w:t>Ajuste de Inventario</w:t>
            </w:r>
          </w:p>
        </w:tc>
        <w:tc>
          <w:tcPr>
            <w:tcW w:type="dxa" w:w="4561"/>
          </w:tcPr>
          <w:p>
            <w:r>
              <w:rPr>
                <w:sz w:val="19"/>
              </w:rPr>
              <w:t>Toma física: corrección de stock con registro en kardex (AJUSTE_POSITIVO / AJUSTE_NEGATIVO).</w:t>
            </w:r>
          </w:p>
        </w:tc>
      </w:tr>
      <w:tr>
        <w:tc>
          <w:tcPr>
            <w:tcW w:type="dxa" w:w="4561"/>
          </w:tcPr>
          <w:p>
            <w:r>
              <w:rPr>
                <w:b/>
                <w:sz w:val="19"/>
              </w:rPr>
              <w:t>Proveedores</w:t>
            </w:r>
          </w:p>
        </w:tc>
        <w:tc>
          <w:tcPr>
            <w:tcW w:type="dxa" w:w="4561"/>
          </w:tcPr>
          <w:p>
            <w:r>
              <w:rPr>
                <w:sz w:val="19"/>
              </w:rPr>
              <w:t>CRUD de proveedores con RUC, razón social y contacto.</w:t>
            </w:r>
          </w:p>
        </w:tc>
      </w:tr>
      <w:tr>
        <w:tc>
          <w:tcPr>
            <w:tcW w:type="dxa" w:w="4561"/>
          </w:tcPr>
          <w:p>
            <w:r>
              <w:rPr>
                <w:b/>
                <w:sz w:val="19"/>
              </w:rPr>
              <w:t>Catálogos</w:t>
            </w:r>
          </w:p>
        </w:tc>
        <w:tc>
          <w:tcPr>
            <w:tcW w:type="dxa" w:w="4561"/>
          </w:tcPr>
          <w:p>
            <w:r>
              <w:rPr>
                <w:sz w:val="19"/>
              </w:rPr>
              <w:t>IVA, procesos de contratación, unidades de medida, catálogo MEF.</w:t>
            </w:r>
          </w:p>
        </w:tc>
      </w:tr>
      <w:tr>
        <w:tc>
          <w:tcPr>
            <w:tcW w:type="dxa" w:w="4561"/>
          </w:tcPr>
          <w:p>
            <w:r>
              <w:rPr>
                <w:b/>
                <w:sz w:val="19"/>
              </w:rPr>
              <w:t>Kardex NIC 2</w:t>
            </w:r>
          </w:p>
        </w:tc>
        <w:tc>
          <w:tcPr>
            <w:tcW w:type="dxa" w:w="4561"/>
          </w:tcPr>
          <w:p>
            <w:r>
              <w:rPr>
                <w:sz w:val="19"/>
              </w:rPr>
              <w:t>Reporte de movimientos por artículo / Nivel 1 MEF / Nivel 2 MEF. PDF y vista online.</w:t>
            </w:r>
          </w:p>
        </w:tc>
      </w:tr>
      <w:tr>
        <w:tc>
          <w:tcPr>
            <w:tcW w:type="dxa" w:w="4561"/>
          </w:tcPr>
          <w:p>
            <w:r>
              <w:rPr>
                <w:b/>
                <w:sz w:val="19"/>
              </w:rPr>
              <w:t>Libro de Compras</w:t>
            </w:r>
          </w:p>
        </w:tc>
        <w:tc>
          <w:tcPr>
            <w:tcW w:type="dxa" w:w="4561"/>
          </w:tcPr>
          <w:p>
            <w:r>
              <w:rPr>
                <w:sz w:val="19"/>
              </w:rPr>
              <w:t>Facturas de proveedores por período. Top 5 proveedores. PDF SRI.</w:t>
            </w:r>
          </w:p>
        </w:tc>
      </w:tr>
      <w:tr>
        <w:tc>
          <w:tcPr>
            <w:tcW w:type="dxa" w:w="4561"/>
          </w:tcPr>
          <w:p>
            <w:r>
              <w:rPr>
                <w:b/>
                <w:sz w:val="19"/>
              </w:rPr>
              <w:t>Egresos Valorizados</w:t>
            </w:r>
          </w:p>
        </w:tc>
        <w:tc>
          <w:tcPr>
            <w:tcW w:type="dxa" w:w="4561"/>
          </w:tcPr>
          <w:p>
            <w:r>
              <w:rPr>
                <w:sz w:val="19"/>
              </w:rPr>
              <w:t>Salidas valorizadas por dirección/área. PDF.</w:t>
            </w:r>
          </w:p>
        </w:tc>
      </w:tr>
      <w:tr>
        <w:tc>
          <w:tcPr>
            <w:tcW w:type="dxa" w:w="4561"/>
          </w:tcPr>
          <w:p>
            <w:r>
              <w:rPr>
                <w:b/>
                <w:sz w:val="19"/>
              </w:rPr>
              <w:t>Inventario Mensual</w:t>
            </w:r>
          </w:p>
        </w:tc>
        <w:tc>
          <w:tcPr>
            <w:tcW w:type="dxa" w:w="4561"/>
          </w:tcPr>
          <w:p>
            <w:r>
              <w:rPr>
                <w:sz w:val="19"/>
              </w:rPr>
              <w:t>Saldo anterior, ingresos, egresos y saldo final agrupado por partida presupuestaria.</w:t>
            </w:r>
          </w:p>
        </w:tc>
      </w:tr>
    </w:tbl>
    <w:p/>
    <w:p>
      <w:pPr>
        <w:pStyle w:val="Heading2"/>
      </w:pPr>
      <w:r>
        <w:t>4.4 Módulo Transportes</w:t>
      </w:r>
    </w:p>
    <w:p>
      <w:r>
        <w:t>Gestiona el parque vehicular institucional: mantenimiento preventivo/correctivo, solicitudes de movilización y vales de combustible.</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Submódulo</w:t>
            </w:r>
          </w:p>
        </w:tc>
        <w:tc>
          <w:tcPr>
            <w:tcW w:type="dxa" w:w="4561"/>
            <w:shd w:val="clear" w:color="auto" w:fill="0b5547"/>
          </w:tcPr>
          <w:p>
            <w:pPr>
              <w:jc w:val="center"/>
            </w:pPr>
            <w:r>
              <w:rPr>
                <w:b/>
                <w:color w:val="FFFFFF"/>
                <w:sz w:val="20"/>
              </w:rPr>
              <w:t>Descripción</w:t>
            </w:r>
          </w:p>
        </w:tc>
      </w:tr>
      <w:tr>
        <w:tc>
          <w:tcPr>
            <w:tcW w:type="dxa" w:w="4561"/>
          </w:tcPr>
          <w:p>
            <w:r>
              <w:rPr>
                <w:b/>
                <w:sz w:val="19"/>
              </w:rPr>
              <w:t>Vehículos</w:t>
            </w:r>
          </w:p>
        </w:tc>
        <w:tc>
          <w:tcPr>
            <w:tcW w:type="dxa" w:w="4561"/>
          </w:tcPr>
          <w:p>
            <w:r>
              <w:rPr>
                <w:sz w:val="19"/>
              </w:rPr>
              <w:t>Catálogo de vehículos con estado (ACTIVO/INACTIVO/MANTENIMIENTO) y km actuales.</w:t>
            </w:r>
          </w:p>
        </w:tc>
      </w:tr>
      <w:tr>
        <w:tc>
          <w:tcPr>
            <w:tcW w:type="dxa" w:w="4561"/>
          </w:tcPr>
          <w:p>
            <w:r>
              <w:rPr>
                <w:b/>
                <w:sz w:val="19"/>
              </w:rPr>
              <w:t>Talleres</w:t>
            </w:r>
          </w:p>
        </w:tc>
        <w:tc>
          <w:tcPr>
            <w:tcW w:type="dxa" w:w="4561"/>
          </w:tcPr>
          <w:p>
            <w:r>
              <w:rPr>
                <w:sz w:val="19"/>
              </w:rPr>
              <w:t>Catálogo de talleres mecánicos externos.</w:t>
            </w:r>
          </w:p>
        </w:tc>
      </w:tr>
      <w:tr>
        <w:tc>
          <w:tcPr>
            <w:tcW w:type="dxa" w:w="4561"/>
          </w:tcPr>
          <w:p>
            <w:r>
              <w:rPr>
                <w:b/>
                <w:sz w:val="19"/>
              </w:rPr>
              <w:t>Tipos de Mantenimiento</w:t>
            </w:r>
          </w:p>
        </w:tc>
        <w:tc>
          <w:tcPr>
            <w:tcW w:type="dxa" w:w="4561"/>
          </w:tcPr>
          <w:p>
            <w:r>
              <w:rPr>
                <w:sz w:val="19"/>
              </w:rPr>
              <w:t>Categorías: PREVENTIVO, CORRECTIVO, PREVENTIVO Y CORRECTIVO.</w:t>
            </w:r>
          </w:p>
        </w:tc>
      </w:tr>
      <w:tr>
        <w:tc>
          <w:tcPr>
            <w:tcW w:type="dxa" w:w="4561"/>
          </w:tcPr>
          <w:p>
            <w:r>
              <w:rPr>
                <w:b/>
                <w:sz w:val="19"/>
              </w:rPr>
              <w:t>Plan Preventivo</w:t>
            </w:r>
          </w:p>
        </w:tc>
        <w:tc>
          <w:tcPr>
            <w:tcW w:type="dxa" w:w="4561"/>
          </w:tcPr>
          <w:p>
            <w:r>
              <w:rPr>
                <w:sz w:val="19"/>
              </w:rPr>
              <w:t>Actividades preventivas programadas por vehículo y hito de km. Importación CSV.</w:t>
            </w:r>
          </w:p>
        </w:tc>
      </w:tr>
      <w:tr>
        <w:tc>
          <w:tcPr>
            <w:tcW w:type="dxa" w:w="4561"/>
          </w:tcPr>
          <w:p>
            <w:r>
              <w:rPr>
                <w:b/>
                <w:sz w:val="19"/>
              </w:rPr>
              <w:t>Mantenimiento</w:t>
            </w:r>
          </w:p>
        </w:tc>
        <w:tc>
          <w:tcPr>
            <w:tcW w:type="dxa" w:w="4561"/>
          </w:tcPr>
          <w:p>
            <w:r>
              <w:rPr>
                <w:sz w:val="19"/>
              </w:rPr>
              <w:t>Flujo: conductor crea requerimiento → TRANSPORTE genera orden → EN_TALLER → FINALIZADO.</w:t>
            </w:r>
          </w:p>
        </w:tc>
      </w:tr>
      <w:tr>
        <w:tc>
          <w:tcPr>
            <w:tcW w:type="dxa" w:w="4561"/>
          </w:tcPr>
          <w:p>
            <w:r>
              <w:rPr>
                <w:b/>
                <w:sz w:val="19"/>
              </w:rPr>
              <w:t>Movilización</w:t>
            </w:r>
          </w:p>
        </w:tc>
        <w:tc>
          <w:tcPr>
            <w:tcW w:type="dxa" w:w="4561"/>
          </w:tcPr>
          <w:p>
            <w:r>
              <w:rPr>
                <w:sz w:val="19"/>
              </w:rPr>
              <w:t>Flujo: empleado solicita → TRANSPORTE aprueba + asigna vehículo/conductor → conductor llena hoja de ruta.</w:t>
            </w:r>
          </w:p>
        </w:tc>
      </w:tr>
      <w:tr>
        <w:tc>
          <w:tcPr>
            <w:tcW w:type="dxa" w:w="4561"/>
          </w:tcPr>
          <w:p>
            <w:r>
              <w:rPr>
                <w:b/>
                <w:sz w:val="19"/>
              </w:rPr>
              <w:t>Vales de Combustible</w:t>
            </w:r>
          </w:p>
        </w:tc>
        <w:tc>
          <w:tcPr>
            <w:tcW w:type="dxa" w:w="4561"/>
          </w:tcPr>
          <w:p>
            <w:r>
              <w:rPr>
                <w:sz w:val="19"/>
              </w:rPr>
              <w:t>Emisión de vales formato FR05-PRO.GA-TR.001. PDF automático al guardar.</w:t>
            </w:r>
          </w:p>
        </w:tc>
      </w:tr>
    </w:tbl>
    <w:p/>
    <w:p>
      <w:pPr>
        <w:pStyle w:val="Heading2"/>
      </w:pPr>
      <w:r>
        <w:t>4.5 Módulo Administración</w:t>
      </w:r>
    </w:p>
    <w:p>
      <w:r>
        <w:t>Configuración global del sistema, accesible para el rol ADMINISTRADOR.</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Submódulo</w:t>
            </w:r>
          </w:p>
        </w:tc>
        <w:tc>
          <w:tcPr>
            <w:tcW w:type="dxa" w:w="4561"/>
            <w:shd w:val="clear" w:color="auto" w:fill="0b5547"/>
          </w:tcPr>
          <w:p>
            <w:pPr>
              <w:jc w:val="center"/>
            </w:pPr>
            <w:r>
              <w:rPr>
                <w:b/>
                <w:color w:val="FFFFFF"/>
                <w:sz w:val="20"/>
              </w:rPr>
              <w:t>Descripción</w:t>
            </w:r>
          </w:p>
        </w:tc>
      </w:tr>
      <w:tr>
        <w:tc>
          <w:tcPr>
            <w:tcW w:type="dxa" w:w="4561"/>
          </w:tcPr>
          <w:p>
            <w:r>
              <w:rPr>
                <w:b/>
                <w:sz w:val="19"/>
              </w:rPr>
              <w:t>Departamentos</w:t>
            </w:r>
          </w:p>
        </w:tc>
        <w:tc>
          <w:tcPr>
            <w:tcW w:type="dxa" w:w="4561"/>
          </w:tcPr>
          <w:p>
            <w:r>
              <w:rPr>
                <w:sz w:val="19"/>
              </w:rPr>
              <w:t>Estructura organizacional jerárquica. Numeración por convención (padres múltiplos de 10).</w:t>
            </w:r>
          </w:p>
        </w:tc>
      </w:tr>
      <w:tr>
        <w:tc>
          <w:tcPr>
            <w:tcW w:type="dxa" w:w="4561"/>
          </w:tcPr>
          <w:p>
            <w:r>
              <w:rPr>
                <w:b/>
                <w:sz w:val="19"/>
              </w:rPr>
              <w:t>Usuarios y Roles</w:t>
            </w:r>
          </w:p>
        </w:tc>
        <w:tc>
          <w:tcPr>
            <w:tcW w:type="dxa" w:w="4561"/>
          </w:tcPr>
          <w:p>
            <w:r>
              <w:rPr>
                <w:sz w:val="19"/>
              </w:rPr>
              <w:t>Asignación y revocación de roles por empleado.</w:t>
            </w:r>
          </w:p>
        </w:tc>
      </w:tr>
      <w:tr>
        <w:tc>
          <w:tcPr>
            <w:tcW w:type="dxa" w:w="4561"/>
          </w:tcPr>
          <w:p>
            <w:r>
              <w:rPr>
                <w:b/>
                <w:sz w:val="19"/>
              </w:rPr>
              <w:t>Turnos y Horarios</w:t>
            </w:r>
          </w:p>
        </w:tc>
        <w:tc>
          <w:tcPr>
            <w:tcW w:type="dxa" w:w="4561"/>
          </w:tcPr>
          <w:p>
            <w:r>
              <w:rPr>
                <w:sz w:val="19"/>
              </w:rPr>
              <w:t>Configuración de jornadas laborales y horarios de marcación.</w:t>
            </w:r>
          </w:p>
        </w:tc>
      </w:tr>
      <w:tr>
        <w:tc>
          <w:tcPr>
            <w:tcW w:type="dxa" w:w="4561"/>
          </w:tcPr>
          <w:p>
            <w:r>
              <w:rPr>
                <w:b/>
                <w:sz w:val="19"/>
              </w:rPr>
              <w:t>Calendario</w:t>
            </w:r>
          </w:p>
        </w:tc>
        <w:tc>
          <w:tcPr>
            <w:tcW w:type="dxa" w:w="4561"/>
          </w:tcPr>
          <w:p>
            <w:r>
              <w:rPr>
                <w:sz w:val="19"/>
              </w:rPr>
              <w:t>Feriados y días no laborables para el cálculo de horas extras y asistencia.</w:t>
            </w:r>
          </w:p>
        </w:tc>
      </w:tr>
      <w:tr>
        <w:tc>
          <w:tcPr>
            <w:tcW w:type="dxa" w:w="4561"/>
          </w:tcPr>
          <w:p>
            <w:r>
              <w:rPr>
                <w:b/>
                <w:sz w:val="19"/>
              </w:rPr>
              <w:t>Configuración</w:t>
            </w:r>
          </w:p>
        </w:tc>
        <w:tc>
          <w:tcPr>
            <w:tcW w:type="dxa" w:w="4561"/>
          </w:tcPr>
          <w:p>
            <w:r>
              <w:rPr>
                <w:sz w:val="19"/>
              </w:rPr>
              <w:t>Parámetros globales del sistema (VLANS, firmantes PDF, modo mantenimiento, etc.).</w:t>
            </w:r>
          </w:p>
        </w:tc>
      </w:tr>
      <w:tr>
        <w:tc>
          <w:tcPr>
            <w:tcW w:type="dxa" w:w="4561"/>
          </w:tcPr>
          <w:p>
            <w:r>
              <w:rPr>
                <w:b/>
                <w:sz w:val="19"/>
              </w:rPr>
              <w:t>Causas de Permisos</w:t>
            </w:r>
          </w:p>
        </w:tc>
        <w:tc>
          <w:tcPr>
            <w:tcW w:type="dxa" w:w="4561"/>
          </w:tcPr>
          <w:p>
            <w:r>
              <w:rPr>
                <w:sz w:val="19"/>
              </w:rPr>
              <w:t>Catálogo de causas para permisos y licencias.</w:t>
            </w:r>
          </w:p>
        </w:tc>
      </w:tr>
      <w:tr>
        <w:tc>
          <w:tcPr>
            <w:tcW w:type="dxa" w:w="4561"/>
          </w:tcPr>
          <w:p>
            <w:r>
              <w:rPr>
                <w:b/>
                <w:sz w:val="19"/>
              </w:rPr>
              <w:t>Avisos Ticker</w:t>
            </w:r>
          </w:p>
        </w:tc>
        <w:tc>
          <w:tcPr>
            <w:tcW w:type="dxa" w:w="4561"/>
          </w:tcPr>
          <w:p>
            <w:r>
              <w:rPr>
                <w:sz w:val="19"/>
              </w:rPr>
              <w:t>Mensajes informativos en el launcher (horizontal/vertical).</w:t>
            </w:r>
          </w:p>
        </w:tc>
      </w:tr>
      <w:tr>
        <w:tc>
          <w:tcPr>
            <w:tcW w:type="dxa" w:w="4561"/>
          </w:tcPr>
          <w:p>
            <w:r>
              <w:rPr>
                <w:b/>
                <w:sz w:val="19"/>
              </w:rPr>
              <w:t>Dispositivos ZKTeco</w:t>
            </w:r>
          </w:p>
        </w:tc>
        <w:tc>
          <w:tcPr>
            <w:tcW w:type="dxa" w:w="4561"/>
          </w:tcPr>
          <w:p>
            <w:r>
              <w:rPr>
                <w:sz w:val="19"/>
              </w:rPr>
              <w:t>Administración de relojes biométricos registrados.</w:t>
            </w:r>
          </w:p>
        </w:tc>
      </w:tr>
      <w:tr>
        <w:tc>
          <w:tcPr>
            <w:tcW w:type="dxa" w:w="4561"/>
          </w:tcPr>
          <w:p>
            <w:r>
              <w:rPr>
                <w:b/>
                <w:sz w:val="19"/>
              </w:rPr>
              <w:t>Auditoría</w:t>
            </w:r>
          </w:p>
        </w:tc>
        <w:tc>
          <w:tcPr>
            <w:tcW w:type="dxa" w:w="4561"/>
          </w:tcPr>
          <w:p>
            <w:r>
              <w:rPr>
                <w:sz w:val="19"/>
              </w:rPr>
              <w:t>Log centralizado de todas las operaciones críticas con filtros y detalle de cambios.</w:t>
            </w:r>
          </w:p>
        </w:tc>
      </w:tr>
      <w:tr>
        <w:tc>
          <w:tcPr>
            <w:tcW w:type="dxa" w:w="4561"/>
          </w:tcPr>
          <w:p>
            <w:r>
              <w:rPr>
                <w:b/>
                <w:sz w:val="19"/>
              </w:rPr>
              <w:t>IESS — Aportes</w:t>
            </w:r>
          </w:p>
        </w:tc>
        <w:tc>
          <w:tcPr>
            <w:tcW w:type="dxa" w:w="4561"/>
          </w:tcPr>
          <w:p>
            <w:r>
              <w:rPr>
                <w:sz w:val="19"/>
              </w:rPr>
              <w:t>Tasas de aporte patronal e individual por tipo de contrato.</w:t>
            </w:r>
          </w:p>
        </w:tc>
      </w:tr>
      <w:tr>
        <w:tc>
          <w:tcPr>
            <w:tcW w:type="dxa" w:w="4561"/>
          </w:tcPr>
          <w:p>
            <w:r>
              <w:rPr>
                <w:b/>
                <w:sz w:val="19"/>
              </w:rPr>
              <w:t>SBU</w:t>
            </w:r>
          </w:p>
        </w:tc>
        <w:tc>
          <w:tcPr>
            <w:tcW w:type="dxa" w:w="4561"/>
          </w:tcPr>
          <w:p>
            <w:r>
              <w:rPr>
                <w:sz w:val="19"/>
              </w:rPr>
              <w:t>Salario Básico Unificado histórico por año.</w:t>
            </w:r>
          </w:p>
        </w:tc>
      </w:tr>
    </w:tbl>
    <w:p>
      <w:r>
        <w:br w:type="page"/>
      </w:r>
    </w:p>
    <w:p>
      <w:pPr>
        <w:pStyle w:val="Heading1"/>
      </w:pPr>
      <w:r>
        <w:t>5. Roles y Permisos</w:t>
      </w:r>
    </w:p>
    <w:p>
      <w:r>
        <w:t>El sistema implementa control de acceso basado en roles (RBAC). Los roles se asignan por empleado desde la administración del sistema. Un empleado puede tener múltiples roles. Los empleados sin rol especial tienen acceso básico (sus propias marcaciones, permisos y vacaciones).</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Rol</w:t>
            </w:r>
          </w:p>
        </w:tc>
        <w:tc>
          <w:tcPr>
            <w:tcW w:type="dxa" w:w="4561"/>
            <w:shd w:val="clear" w:color="auto" w:fill="0b5547"/>
          </w:tcPr>
          <w:p>
            <w:pPr>
              <w:jc w:val="center"/>
            </w:pPr>
            <w:r>
              <w:rPr>
                <w:b/>
                <w:color w:val="FFFFFF"/>
                <w:sz w:val="20"/>
              </w:rPr>
              <w:t>Acceso</w:t>
            </w:r>
          </w:p>
        </w:tc>
      </w:tr>
      <w:tr>
        <w:tc>
          <w:tcPr>
            <w:tcW w:type="dxa" w:w="4561"/>
          </w:tcPr>
          <w:p>
            <w:r>
              <w:rPr>
                <w:b/>
                <w:sz w:val="19"/>
              </w:rPr>
              <w:t>ADMINISTRADOR</w:t>
            </w:r>
          </w:p>
        </w:tc>
        <w:tc>
          <w:tcPr>
            <w:tcW w:type="dxa" w:w="4561"/>
          </w:tcPr>
          <w:p>
            <w:r>
              <w:rPr>
                <w:sz w:val="19"/>
              </w:rPr>
              <w:t>Acceso total a todos los módulos. Configuración del sistema. Auditoría.</w:t>
            </w:r>
          </w:p>
        </w:tc>
      </w:tr>
      <w:tr>
        <w:tc>
          <w:tcPr>
            <w:tcW w:type="dxa" w:w="4561"/>
          </w:tcPr>
          <w:p>
            <w:r>
              <w:rPr>
                <w:b/>
                <w:sz w:val="19"/>
              </w:rPr>
              <w:t>TALENTO HUMANO</w:t>
            </w:r>
          </w:p>
        </w:tc>
        <w:tc>
          <w:tcPr>
            <w:tcW w:type="dxa" w:w="4561"/>
          </w:tcPr>
          <w:p>
            <w:r>
              <w:rPr>
                <w:sz w:val="19"/>
              </w:rPr>
              <w:t>Gestión completa del módulo TH: empleados, asistencia, permisos, vacaciones, reportes, certificados.</w:t>
            </w:r>
          </w:p>
        </w:tc>
      </w:tr>
      <w:tr>
        <w:tc>
          <w:tcPr>
            <w:tcW w:type="dxa" w:w="4561"/>
          </w:tcPr>
          <w:p>
            <w:r>
              <w:rPr>
                <w:b/>
                <w:sz w:val="19"/>
              </w:rPr>
              <w:t>TH ACCIONES PERSONAL</w:t>
            </w:r>
          </w:p>
        </w:tc>
        <w:tc>
          <w:tcPr>
            <w:tcW w:type="dxa" w:w="4561"/>
          </w:tcPr>
          <w:p>
            <w:r>
              <w:rPr>
                <w:sz w:val="19"/>
              </w:rPr>
              <w:t>Creación y procesamiento de acciones de personal.</w:t>
            </w:r>
          </w:p>
        </w:tc>
      </w:tr>
      <w:tr>
        <w:tc>
          <w:tcPr>
            <w:tcW w:type="dxa" w:w="4561"/>
          </w:tcPr>
          <w:p>
            <w:r>
              <w:rPr>
                <w:b/>
                <w:sz w:val="19"/>
              </w:rPr>
              <w:t>TH NOMINA</w:t>
            </w:r>
          </w:p>
        </w:tc>
        <w:tc>
          <w:tcPr>
            <w:tcW w:type="dxa" w:w="4561"/>
          </w:tcPr>
          <w:p>
            <w:r>
              <w:rPr>
                <w:sz w:val="19"/>
              </w:rPr>
              <w:t>Módulo de nómina completo: décimos, fondos de reserva, rol de pagos, horas extras (revisión/autorización).</w:t>
            </w:r>
          </w:p>
        </w:tc>
      </w:tr>
      <w:tr>
        <w:tc>
          <w:tcPr>
            <w:tcW w:type="dxa" w:w="4561"/>
          </w:tcPr>
          <w:p>
            <w:r>
              <w:rPr>
                <w:b/>
                <w:sz w:val="19"/>
              </w:rPr>
              <w:t>SUPERVISOR</w:t>
            </w:r>
          </w:p>
        </w:tc>
        <w:tc>
          <w:tcPr>
            <w:tcW w:type="dxa" w:w="4561"/>
          </w:tcPr>
          <w:p>
            <w:r>
              <w:rPr>
                <w:sz w:val="19"/>
              </w:rPr>
              <w:t>Aprobación de permisos y vacaciones de su equipo. Horas extras del equipo. Dashboard de equipo.</w:t>
            </w:r>
          </w:p>
        </w:tc>
      </w:tr>
      <w:tr>
        <w:tc>
          <w:tcPr>
            <w:tcW w:type="dxa" w:w="4561"/>
          </w:tcPr>
          <w:p>
            <w:r>
              <w:rPr>
                <w:b/>
                <w:sz w:val="19"/>
              </w:rPr>
              <w:t>ADQUISICIONES</w:t>
            </w:r>
          </w:p>
        </w:tc>
        <w:tc>
          <w:tcPr>
            <w:tcW w:type="dxa" w:w="4561"/>
          </w:tcPr>
          <w:p>
            <w:r>
              <w:rPr>
                <w:sz w:val="19"/>
              </w:rPr>
              <w:t>Módulo de adquisiciones/bienes completo.</w:t>
            </w:r>
          </w:p>
        </w:tc>
      </w:tr>
      <w:tr>
        <w:tc>
          <w:tcPr>
            <w:tcW w:type="dxa" w:w="4561"/>
          </w:tcPr>
          <w:p>
            <w:r>
              <w:rPr>
                <w:b/>
                <w:sz w:val="19"/>
              </w:rPr>
              <w:t>TRANSPORTE</w:t>
            </w:r>
          </w:p>
        </w:tc>
        <w:tc>
          <w:tcPr>
            <w:tcW w:type="dxa" w:w="4561"/>
          </w:tcPr>
          <w:p>
            <w:r>
              <w:rPr>
                <w:sz w:val="19"/>
              </w:rPr>
              <w:t>Módulo de transportes completo: vehículos, mantenimiento, movilización, vales.</w:t>
            </w:r>
          </w:p>
        </w:tc>
      </w:tr>
      <w:tr>
        <w:tc>
          <w:tcPr>
            <w:tcW w:type="dxa" w:w="4561"/>
          </w:tcPr>
          <w:p>
            <w:r>
              <w:rPr>
                <w:b/>
                <w:sz w:val="19"/>
              </w:rPr>
              <w:t>CONDUCTOR</w:t>
            </w:r>
          </w:p>
        </w:tc>
        <w:tc>
          <w:tcPr>
            <w:tcW w:type="dxa" w:w="4561"/>
          </w:tcPr>
          <w:p>
            <w:r>
              <w:rPr>
                <w:sz w:val="19"/>
              </w:rPr>
              <w:t>Mantenimiento (crear requerimientos), movilización (ver asignadas, hoja de ruta), vales de combustible.</w:t>
            </w:r>
          </w:p>
        </w:tc>
      </w:tr>
      <w:tr>
        <w:tc>
          <w:tcPr>
            <w:tcW w:type="dxa" w:w="4561"/>
          </w:tcPr>
          <w:p>
            <w:r>
              <w:rPr>
                <w:b/>
                <w:sz w:val="19"/>
              </w:rPr>
              <w:t>Sin rol (empleado base)</w:t>
            </w:r>
          </w:p>
        </w:tc>
        <w:tc>
          <w:tcPr>
            <w:tcW w:type="dxa" w:w="4561"/>
          </w:tcPr>
          <w:p>
            <w:r>
              <w:rPr>
                <w:sz w:val="19"/>
              </w:rPr>
              <w:t>Dashboard personal, marcación de asistencia, solicitud de permisos y vacaciones, horas extras propias.</w:t>
            </w:r>
          </w:p>
        </w:tc>
      </w:tr>
    </w:tbl>
    <w:p>
      <w:r>
        <w:br w:type="page"/>
      </w:r>
    </w:p>
    <w:p>
      <w:pPr>
        <w:pStyle w:val="Heading1"/>
      </w:pPr>
      <w:r>
        <w:t>6. Auditoría y Trazabilidad</w:t>
      </w:r>
    </w:p>
    <w:p>
      <w:r>
        <w:t>Todas las acciones críticas del sistema se registran en la tabla dbo.nom_auditoria_log mediante el servicio centralizado AuditoriaService. El registro incluye: usuario, IP, tabla afectada, acción realizada, datos anteriores (JSON) y datos nuevos (JSON), fecha y hora.</w:t>
      </w:r>
    </w:p>
    <w:p>
      <w:r>
        <w:t>Acciones auditadas por módulo:</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Módulo</w:t>
            </w:r>
          </w:p>
        </w:tc>
        <w:tc>
          <w:tcPr>
            <w:tcW w:type="dxa" w:w="4561"/>
            <w:shd w:val="clear" w:color="auto" w:fill="0b5547"/>
          </w:tcPr>
          <w:p>
            <w:pPr>
              <w:jc w:val="center"/>
            </w:pPr>
            <w:r>
              <w:rPr>
                <w:b/>
                <w:color w:val="FFFFFF"/>
                <w:sz w:val="20"/>
              </w:rPr>
              <w:t>Acciones auditadas</w:t>
            </w:r>
          </w:p>
        </w:tc>
      </w:tr>
      <w:tr>
        <w:tc>
          <w:tcPr>
            <w:tcW w:type="dxa" w:w="4561"/>
          </w:tcPr>
          <w:p>
            <w:r>
              <w:rPr>
                <w:b/>
                <w:sz w:val="19"/>
              </w:rPr>
              <w:t>Empleados</w:t>
            </w:r>
          </w:p>
        </w:tc>
        <w:tc>
          <w:tcPr>
            <w:tcW w:type="dxa" w:w="4561"/>
          </w:tcPr>
          <w:p>
            <w:r>
              <w:rPr>
                <w:sz w:val="19"/>
              </w:rPr>
              <w:t>CREAR, ACTUALIZAR (campos salariales y de contrato)</w:t>
            </w:r>
          </w:p>
        </w:tc>
      </w:tr>
      <w:tr>
        <w:tc>
          <w:tcPr>
            <w:tcW w:type="dxa" w:w="4561"/>
          </w:tcPr>
          <w:p>
            <w:r>
              <w:rPr>
                <w:b/>
                <w:sz w:val="19"/>
              </w:rPr>
              <w:t>Roles</w:t>
            </w:r>
          </w:p>
        </w:tc>
        <w:tc>
          <w:tcPr>
            <w:tcW w:type="dxa" w:w="4561"/>
          </w:tcPr>
          <w:p>
            <w:r>
              <w:rPr>
                <w:sz w:val="19"/>
              </w:rPr>
              <w:t>ASIGNAR_ROL, REVOCAR_ROL</w:t>
            </w:r>
          </w:p>
        </w:tc>
      </w:tr>
      <w:tr>
        <w:tc>
          <w:tcPr>
            <w:tcW w:type="dxa" w:w="4561"/>
          </w:tcPr>
          <w:p>
            <w:r>
              <w:rPr>
                <w:b/>
                <w:sz w:val="19"/>
              </w:rPr>
              <w:t>Vacaciones</w:t>
            </w:r>
          </w:p>
        </w:tc>
        <w:tc>
          <w:tcPr>
            <w:tcW w:type="dxa" w:w="4561"/>
          </w:tcPr>
          <w:p>
            <w:r>
              <w:rPr>
                <w:sz w:val="19"/>
              </w:rPr>
              <w:t>APROBAR, NEGAR, ELIMINAR</w:t>
            </w:r>
          </w:p>
        </w:tc>
      </w:tr>
      <w:tr>
        <w:tc>
          <w:tcPr>
            <w:tcW w:type="dxa" w:w="4561"/>
          </w:tcPr>
          <w:p>
            <w:r>
              <w:rPr>
                <w:b/>
                <w:sz w:val="19"/>
              </w:rPr>
              <w:t>Permisos</w:t>
            </w:r>
          </w:p>
        </w:tc>
        <w:tc>
          <w:tcPr>
            <w:tcW w:type="dxa" w:w="4561"/>
          </w:tcPr>
          <w:p>
            <w:r>
              <w:rPr>
                <w:sz w:val="19"/>
              </w:rPr>
              <w:t>APROBAR, NEGAR, ELIMINAR, ANULAR</w:t>
            </w:r>
          </w:p>
        </w:tc>
      </w:tr>
      <w:tr>
        <w:tc>
          <w:tcPr>
            <w:tcW w:type="dxa" w:w="4561"/>
          </w:tcPr>
          <w:p>
            <w:r>
              <w:rPr>
                <w:b/>
                <w:sz w:val="19"/>
              </w:rPr>
              <w:t>Horas Extras</w:t>
            </w:r>
          </w:p>
        </w:tc>
        <w:tc>
          <w:tcPr>
            <w:tcW w:type="dxa" w:w="4561"/>
          </w:tcPr>
          <w:p>
            <w:r>
              <w:rPr>
                <w:sz w:val="19"/>
              </w:rPr>
              <w:t>APROBAR, NEGAR, AUTORIZAR, CONFIRMAR</w:t>
            </w:r>
          </w:p>
        </w:tc>
      </w:tr>
      <w:tr>
        <w:tc>
          <w:tcPr>
            <w:tcW w:type="dxa" w:w="4561"/>
          </w:tcPr>
          <w:p>
            <w:r>
              <w:rPr>
                <w:b/>
                <w:sz w:val="19"/>
              </w:rPr>
              <w:t>Certificados Laborales</w:t>
            </w:r>
          </w:p>
        </w:tc>
        <w:tc>
          <w:tcPr>
            <w:tcW w:type="dxa" w:w="4561"/>
          </w:tcPr>
          <w:p>
            <w:r>
              <w:rPr>
                <w:sz w:val="19"/>
              </w:rPr>
              <w:t>EMITIR</w:t>
            </w:r>
          </w:p>
        </w:tc>
      </w:tr>
      <w:tr>
        <w:tc>
          <w:tcPr>
            <w:tcW w:type="dxa" w:w="4561"/>
          </w:tcPr>
          <w:p>
            <w:r>
              <w:rPr>
                <w:b/>
                <w:sz w:val="19"/>
              </w:rPr>
              <w:t>Configuración</w:t>
            </w:r>
          </w:p>
        </w:tc>
        <w:tc>
          <w:tcPr>
            <w:tcW w:type="dxa" w:w="4561"/>
          </w:tcPr>
          <w:p>
            <w:r>
              <w:rPr>
                <w:sz w:val="19"/>
              </w:rPr>
              <w:t>ACTUALIZAR (valor anterior y nuevo)</w:t>
            </w:r>
          </w:p>
        </w:tc>
      </w:tr>
      <w:tr>
        <w:tc>
          <w:tcPr>
            <w:tcW w:type="dxa" w:w="4561"/>
          </w:tcPr>
          <w:p>
            <w:r>
              <w:rPr>
                <w:b/>
                <w:sz w:val="19"/>
              </w:rPr>
              <w:t>Nómina</w:t>
            </w:r>
          </w:p>
        </w:tc>
        <w:tc>
          <w:tcPr>
            <w:tcW w:type="dxa" w:w="4561"/>
          </w:tcPr>
          <w:p>
            <w:r>
              <w:rPr>
                <w:sz w:val="19"/>
              </w:rPr>
              <w:t>Todas las operaciones de cálculo y cierre</w:t>
            </w:r>
          </w:p>
        </w:tc>
      </w:tr>
      <w:tr>
        <w:tc>
          <w:tcPr>
            <w:tcW w:type="dxa" w:w="4561"/>
          </w:tcPr>
          <w:p>
            <w:r>
              <w:rPr>
                <w:b/>
                <w:sz w:val="19"/>
              </w:rPr>
              <w:t>Adquisiciones</w:t>
            </w:r>
          </w:p>
        </w:tc>
        <w:tc>
          <w:tcPr>
            <w:tcW w:type="dxa" w:w="4561"/>
          </w:tcPr>
          <w:p>
            <w:r>
              <w:rPr>
                <w:sz w:val="19"/>
              </w:rPr>
              <w:t>CONFIRMAR_INGRESO, REVERSAR_INGRESO, CONFIRMAR_EGRESO, REVERSAR_EGRESO, APROBAR/NEGAR/DESPACHAR solicitudes, AJUSTES</w:t>
            </w:r>
          </w:p>
        </w:tc>
      </w:tr>
      <w:tr>
        <w:tc>
          <w:tcPr>
            <w:tcW w:type="dxa" w:w="4561"/>
          </w:tcPr>
          <w:p>
            <w:r>
              <w:rPr>
                <w:b/>
                <w:sz w:val="19"/>
              </w:rPr>
              <w:t>Transportes</w:t>
            </w:r>
          </w:p>
        </w:tc>
        <w:tc>
          <w:tcPr>
            <w:tcW w:type="dxa" w:w="4561"/>
          </w:tcPr>
          <w:p>
            <w:r>
              <w:rPr>
                <w:sz w:val="19"/>
              </w:rPr>
              <w:t>APROBAR_MOV, NEGAR_MOV, ORDEN_TRABAJO, EN_TALLER, FINALIZAR_MANT</w:t>
            </w:r>
          </w:p>
        </w:tc>
      </w:tr>
      <w:tr>
        <w:tc>
          <w:tcPr>
            <w:tcW w:type="dxa" w:w="4561"/>
          </w:tcPr>
          <w:p>
            <w:r>
              <w:rPr>
                <w:b/>
                <w:sz w:val="19"/>
              </w:rPr>
              <w:t>Sesiones</w:t>
            </w:r>
          </w:p>
        </w:tc>
        <w:tc>
          <w:tcPr>
            <w:tcW w:type="dxa" w:w="4561"/>
          </w:tcPr>
          <w:p>
            <w:r>
              <w:rPr>
                <w:sz w:val="19"/>
              </w:rPr>
              <w:t>LOGIN, LOGOUT, LOGIN_FALLIDO</w:t>
            </w:r>
          </w:p>
        </w:tc>
      </w:tr>
    </w:tbl>
    <w:p>
      <w:r>
        <w:br w:type="page"/>
      </w:r>
    </w:p>
    <w:p>
      <w:pPr>
        <w:pStyle w:val="Heading1"/>
      </w:pPr>
      <w:r>
        <w:t>7. Generación de Documentos</w:t>
      </w:r>
    </w:p>
    <w:p>
      <w:pPr>
        <w:pStyle w:val="Heading2"/>
      </w:pPr>
      <w:r>
        <w:t>7.1 Estándar de PDFs</w:t>
      </w:r>
    </w:p>
    <w:p>
      <w:r>
        <w:t>Todos los PDFs del sistema siguen un estándar de presentación con:</w:t>
      </w:r>
    </w:p>
    <w:p>
      <w:pPr>
        <w:pStyle w:val="ListBullet"/>
      </w:pPr>
      <w:r>
        <w:t>Encabezado: logo izquierda + nombre institución + título del reporte centrado.</w:t>
      </w:r>
    </w:p>
    <w:p>
      <w:pPr>
        <w:pStyle w:val="ListBullet"/>
      </w:pPr>
      <w:r>
        <w:t>Papel A4 (portrait o landscape según el contenido). Nunca "letter" en reportes nuevos.</w:t>
      </w:r>
    </w:p>
    <w:p>
      <w:pPr>
        <w:pStyle w:val="ListBullet"/>
      </w:pPr>
      <w:r>
        <w:t>Pie de página con usuario que lo generó y fecha/hora de generación.</w:t>
      </w:r>
    </w:p>
    <w:p>
      <w:pPr>
        <w:pStyle w:val="ListBullet"/>
      </w:pPr>
      <w:r>
        <w:t>Tablas con table-layout: fixed para control de columnas.</w:t>
      </w:r>
    </w:p>
    <w:p>
      <w:pPr>
        <w:pStyle w:val="ListBullet"/>
      </w:pPr>
      <w:r>
        <w:t>Fechas en español (array manual de meses — no se usa Carbon::translatedFormat).</w:t>
      </w:r>
    </w:p>
    <w:p>
      <w:pPr>
        <w:pStyle w:val="Heading2"/>
      </w:pPr>
      <w:r>
        <w:t>7.2 Documentos disponibles</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Documento</w:t>
            </w:r>
          </w:p>
        </w:tc>
        <w:tc>
          <w:tcPr>
            <w:tcW w:type="dxa" w:w="4561"/>
            <w:shd w:val="clear" w:color="auto" w:fill="0b5547"/>
          </w:tcPr>
          <w:p>
            <w:pPr>
              <w:jc w:val="center"/>
            </w:pPr>
            <w:r>
              <w:rPr>
                <w:b/>
                <w:color w:val="FFFFFF"/>
                <w:sz w:val="20"/>
              </w:rPr>
              <w:t>Descripción</w:t>
            </w:r>
          </w:p>
        </w:tc>
      </w:tr>
      <w:tr>
        <w:tc>
          <w:tcPr>
            <w:tcW w:type="dxa" w:w="4561"/>
          </w:tcPr>
          <w:p>
            <w:r>
              <w:rPr>
                <w:b/>
                <w:sz w:val="19"/>
              </w:rPr>
              <w:t>Acción de Personal</w:t>
            </w:r>
          </w:p>
        </w:tc>
        <w:tc>
          <w:tcPr>
            <w:tcW w:type="dxa" w:w="4561"/>
          </w:tcPr>
          <w:p>
            <w:r>
              <w:rPr>
                <w:sz w:val="19"/>
              </w:rPr>
              <w:t>PDF individual del formulario oficial MdT. Firmantes configurables.</w:t>
            </w:r>
          </w:p>
        </w:tc>
      </w:tr>
      <w:tr>
        <w:tc>
          <w:tcPr>
            <w:tcW w:type="dxa" w:w="4561"/>
          </w:tcPr>
          <w:p>
            <w:r>
              <w:rPr>
                <w:b/>
                <w:sz w:val="19"/>
              </w:rPr>
              <w:t>Listado de Acciones</w:t>
            </w:r>
          </w:p>
        </w:tc>
        <w:tc>
          <w:tcPr>
            <w:tcW w:type="dxa" w:w="4561"/>
          </w:tcPr>
          <w:p>
            <w:r>
              <w:rPr>
                <w:sz w:val="19"/>
              </w:rPr>
              <w:t>Reporte filtrado de acciones de personal. Landscape A4.</w:t>
            </w:r>
          </w:p>
        </w:tc>
      </w:tr>
      <w:tr>
        <w:tc>
          <w:tcPr>
            <w:tcW w:type="dxa" w:w="4561"/>
          </w:tcPr>
          <w:p>
            <w:r>
              <w:rPr>
                <w:b/>
                <w:sz w:val="19"/>
              </w:rPr>
              <w:t>Orden de Trabajo (Mantenimiento)</w:t>
            </w:r>
          </w:p>
        </w:tc>
        <w:tc>
          <w:tcPr>
            <w:tcW w:type="dxa" w:w="4561"/>
          </w:tcPr>
          <w:p>
            <w:r>
              <w:rPr>
                <w:sz w:val="19"/>
              </w:rPr>
              <w:t>Vehículo, requerimiento, actividades y firmas.</w:t>
            </w:r>
          </w:p>
        </w:tc>
      </w:tr>
      <w:tr>
        <w:tc>
          <w:tcPr>
            <w:tcW w:type="dxa" w:w="4561"/>
          </w:tcPr>
          <w:p>
            <w:r>
              <w:rPr>
                <w:b/>
                <w:sz w:val="19"/>
              </w:rPr>
              <w:t>Orden de Movilización</w:t>
            </w:r>
          </w:p>
        </w:tc>
        <w:tc>
          <w:tcPr>
            <w:tcW w:type="dxa" w:w="4561"/>
          </w:tcPr>
          <w:p>
            <w:r>
              <w:rPr>
                <w:sz w:val="19"/>
              </w:rPr>
              <w:t>Solicitud, vehículo, conductor y hoja de ruta (si COMPLETADO).</w:t>
            </w:r>
          </w:p>
        </w:tc>
      </w:tr>
      <w:tr>
        <w:tc>
          <w:tcPr>
            <w:tcW w:type="dxa" w:w="4561"/>
          </w:tcPr>
          <w:p>
            <w:r>
              <w:rPr>
                <w:b/>
                <w:sz w:val="19"/>
              </w:rPr>
              <w:t>Vale de Combustible</w:t>
            </w:r>
          </w:p>
        </w:tc>
        <w:tc>
          <w:tcPr>
            <w:tcW w:type="dxa" w:w="4561"/>
          </w:tcPr>
          <w:p>
            <w:r>
              <w:rPr>
                <w:sz w:val="19"/>
              </w:rPr>
              <w:t>Formato FR05-PRO.GA-TR.001. Papel media carta.</w:t>
            </w:r>
          </w:p>
        </w:tc>
      </w:tr>
      <w:tr>
        <w:tc>
          <w:tcPr>
            <w:tcW w:type="dxa" w:w="4561"/>
          </w:tcPr>
          <w:p>
            <w:r>
              <w:rPr>
                <w:b/>
                <w:sz w:val="19"/>
              </w:rPr>
              <w:t>Planificación Horas Extras</w:t>
            </w:r>
          </w:p>
        </w:tc>
        <w:tc>
          <w:tcPr>
            <w:tcW w:type="dxa" w:w="4561"/>
          </w:tcPr>
          <w:p>
            <w:r>
              <w:rPr>
                <w:sz w:val="19"/>
              </w:rPr>
              <w:t>Actividades planificadas y firmas.</w:t>
            </w:r>
          </w:p>
        </w:tc>
      </w:tr>
      <w:tr>
        <w:tc>
          <w:tcPr>
            <w:tcW w:type="dxa" w:w="4561"/>
          </w:tcPr>
          <w:p>
            <w:r>
              <w:rPr>
                <w:b/>
                <w:sz w:val="19"/>
              </w:rPr>
              <w:t>Registros Horas Extras</w:t>
            </w:r>
          </w:p>
        </w:tc>
        <w:tc>
          <w:tcPr>
            <w:tcW w:type="dxa" w:w="4561"/>
          </w:tcPr>
          <w:p>
            <w:r>
              <w:rPr>
                <w:sz w:val="19"/>
              </w:rPr>
              <w:t>Horas trabajadas en estado APROBADO.</w:t>
            </w:r>
          </w:p>
        </w:tc>
      </w:tr>
      <w:tr>
        <w:tc>
          <w:tcPr>
            <w:tcW w:type="dxa" w:w="4561"/>
          </w:tcPr>
          <w:p>
            <w:r>
              <w:rPr>
                <w:b/>
                <w:sz w:val="19"/>
              </w:rPr>
              <w:t>Certificado Laboral</w:t>
            </w:r>
          </w:p>
        </w:tc>
        <w:tc>
          <w:tcPr>
            <w:tcW w:type="dxa" w:w="4561"/>
          </w:tcPr>
          <w:p>
            <w:r>
              <w:rPr>
                <w:sz w:val="19"/>
              </w:rPr>
              <w:t>Texto adaptado al género. Numeración DATH-CL-NNN-YYYY.</w:t>
            </w:r>
          </w:p>
        </w:tc>
      </w:tr>
      <w:tr>
        <w:tc>
          <w:tcPr>
            <w:tcW w:type="dxa" w:w="4561"/>
          </w:tcPr>
          <w:p>
            <w:r>
              <w:rPr>
                <w:b/>
                <w:sz w:val="19"/>
              </w:rPr>
              <w:t>Kardex NIC 2</w:t>
            </w:r>
          </w:p>
        </w:tc>
        <w:tc>
          <w:tcPr>
            <w:tcW w:type="dxa" w:w="4561"/>
          </w:tcPr>
          <w:p>
            <w:r>
              <w:rPr>
                <w:sz w:val="19"/>
              </w:rPr>
              <w:t>Movimientos valorizados por artículo. Landscape A4.</w:t>
            </w:r>
          </w:p>
        </w:tc>
      </w:tr>
      <w:tr>
        <w:tc>
          <w:tcPr>
            <w:tcW w:type="dxa" w:w="4561"/>
          </w:tcPr>
          <w:p>
            <w:r>
              <w:rPr>
                <w:b/>
                <w:sz w:val="19"/>
              </w:rPr>
              <w:t>Libro de Compras</w:t>
            </w:r>
          </w:p>
        </w:tc>
        <w:tc>
          <w:tcPr>
            <w:tcW w:type="dxa" w:w="4561"/>
          </w:tcPr>
          <w:p>
            <w:r>
              <w:rPr>
                <w:sz w:val="19"/>
              </w:rPr>
              <w:t>Facturas por proveedor para SRI.</w:t>
            </w:r>
          </w:p>
        </w:tc>
      </w:tr>
      <w:tr>
        <w:tc>
          <w:tcPr>
            <w:tcW w:type="dxa" w:w="4561"/>
          </w:tcPr>
          <w:p>
            <w:r>
              <w:rPr>
                <w:b/>
                <w:sz w:val="19"/>
              </w:rPr>
              <w:t>Inventario Mensual</w:t>
            </w:r>
          </w:p>
        </w:tc>
        <w:tc>
          <w:tcPr>
            <w:tcW w:type="dxa" w:w="4561"/>
          </w:tcPr>
          <w:p>
            <w:r>
              <w:rPr>
                <w:sz w:val="19"/>
              </w:rPr>
              <w:t>Saldos por partida presupuestaria. Landscape A4.</w:t>
            </w:r>
          </w:p>
        </w:tc>
      </w:tr>
      <w:tr>
        <w:tc>
          <w:tcPr>
            <w:tcW w:type="dxa" w:w="4561"/>
          </w:tcPr>
          <w:p>
            <w:r>
              <w:rPr>
                <w:b/>
                <w:sz w:val="19"/>
              </w:rPr>
              <w:t>Nómina — Décimos y Fondos</w:t>
            </w:r>
          </w:p>
        </w:tc>
        <w:tc>
          <w:tcPr>
            <w:tcW w:type="dxa" w:w="4561"/>
          </w:tcPr>
          <w:p>
            <w:r>
              <w:rPr>
                <w:sz w:val="19"/>
              </w:rPr>
              <w:t>PDFs individuales por período.</w:t>
            </w:r>
          </w:p>
        </w:tc>
      </w:tr>
      <w:tr>
        <w:tc>
          <w:tcPr>
            <w:tcW w:type="dxa" w:w="4561"/>
          </w:tcPr>
          <w:p>
            <w:r>
              <w:rPr>
                <w:b/>
                <w:sz w:val="19"/>
              </w:rPr>
              <w:t>Rol de Pagos</w:t>
            </w:r>
          </w:p>
        </w:tc>
        <w:tc>
          <w:tcPr>
            <w:tcW w:type="dxa" w:w="4561"/>
          </w:tcPr>
          <w:p>
            <w:r>
              <w:rPr>
                <w:sz w:val="19"/>
              </w:rPr>
              <w:t>Landscape A4. Incluye IECE, SECAP, aportes, descuentos.</w:t>
            </w:r>
          </w:p>
        </w:tc>
      </w:tr>
      <w:tr>
        <w:tc>
          <w:tcPr>
            <w:tcW w:type="dxa" w:w="4561"/>
          </w:tcPr>
          <w:p>
            <w:r>
              <w:rPr>
                <w:b/>
                <w:sz w:val="19"/>
              </w:rPr>
              <w:t>Planificación de Vacaciones</w:t>
            </w:r>
          </w:p>
        </w:tc>
        <w:tc>
          <w:tcPr>
            <w:tcW w:type="dxa" w:w="4561"/>
          </w:tcPr>
          <w:p>
            <w:r>
              <w:rPr>
                <w:sz w:val="19"/>
              </w:rPr>
              <w:t>Reporte anual de períodos planificados.</w:t>
            </w:r>
          </w:p>
        </w:tc>
      </w:tr>
      <w:tr>
        <w:tc>
          <w:tcPr>
            <w:tcW w:type="dxa" w:w="4561"/>
          </w:tcPr>
          <w:p>
            <w:r>
              <w:rPr>
                <w:b/>
                <w:sz w:val="19"/>
              </w:rPr>
              <w:t>Reporte de Saldo Vacaciones</w:t>
            </w:r>
          </w:p>
        </w:tc>
        <w:tc>
          <w:tcPr>
            <w:tcW w:type="dxa" w:w="4561"/>
          </w:tcPr>
          <w:p>
            <w:r>
              <w:rPr>
                <w:sz w:val="19"/>
              </w:rPr>
              <w:t>Kardex resumido de vacaciones. Portrait A4.</w:t>
            </w:r>
          </w:p>
        </w:tc>
      </w:tr>
      <w:tr>
        <w:tc>
          <w:tcPr>
            <w:tcW w:type="dxa" w:w="4561"/>
          </w:tcPr>
          <w:p>
            <w:r>
              <w:rPr>
                <w:b/>
                <w:sz w:val="19"/>
              </w:rPr>
              <w:t>Reporte de Atrasos</w:t>
            </w:r>
          </w:p>
        </w:tc>
        <w:tc>
          <w:tcPr>
            <w:tcW w:type="dxa" w:w="4561"/>
          </w:tcPr>
          <w:p>
            <w:r>
              <w:rPr>
                <w:sz w:val="19"/>
              </w:rPr>
              <w:t>Con justificación parcial/total. Landscape A4.</w:t>
            </w:r>
          </w:p>
        </w:tc>
      </w:tr>
      <w:tr>
        <w:tc>
          <w:tcPr>
            <w:tcW w:type="dxa" w:w="4561"/>
          </w:tcPr>
          <w:p>
            <w:r>
              <w:rPr>
                <w:b/>
                <w:sz w:val="19"/>
              </w:rPr>
              <w:t>Reporte Movimientos de Personal</w:t>
            </w:r>
          </w:p>
        </w:tc>
        <w:tc>
          <w:tcPr>
            <w:tcW w:type="dxa" w:w="4561"/>
          </w:tcPr>
          <w:p>
            <w:r>
              <w:rPr>
                <w:sz w:val="19"/>
              </w:rPr>
              <w:t>Vacaciones, permisos, licencias, comisiones. Landscape A4.</w:t>
            </w:r>
          </w:p>
        </w:tc>
      </w:tr>
      <w:tr>
        <w:tc>
          <w:tcPr>
            <w:tcW w:type="dxa" w:w="4561"/>
          </w:tcPr>
          <w:p>
            <w:r>
              <w:rPr>
                <w:b/>
                <w:sz w:val="19"/>
              </w:rPr>
              <w:t>Reporte de Personal</w:t>
            </w:r>
          </w:p>
        </w:tc>
        <w:tc>
          <w:tcPr>
            <w:tcW w:type="dxa" w:w="4561"/>
          </w:tcPr>
          <w:p>
            <w:r>
              <w:rPr>
                <w:sz w:val="19"/>
              </w:rPr>
              <w:t>Listado filtrado con 26 columnas. Landscape A4.</w:t>
            </w:r>
          </w:p>
        </w:tc>
      </w:tr>
    </w:tbl>
    <w:p>
      <w:r>
        <w:br w:type="page"/>
      </w:r>
    </w:p>
    <w:p>
      <w:pPr>
        <w:pStyle w:val="Heading1"/>
      </w:pPr>
      <w:r>
        <w:t>8. Tablas Principales de la Base de Datos</w:t>
      </w:r>
    </w:p>
    <w:p>
      <w:pPr>
        <w:pStyle w:val="Heading2"/>
      </w:pPr>
      <w:r>
        <w:t>8.1 Esquema dbo — Talento Humano</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Tabla</w:t>
            </w:r>
          </w:p>
        </w:tc>
        <w:tc>
          <w:tcPr>
            <w:tcW w:type="dxa" w:w="4561"/>
            <w:shd w:val="clear" w:color="auto" w:fill="0b5547"/>
          </w:tcPr>
          <w:p>
            <w:pPr>
              <w:jc w:val="center"/>
            </w:pPr>
            <w:r>
              <w:rPr>
                <w:b/>
                <w:color w:val="FFFFFF"/>
                <w:sz w:val="20"/>
              </w:rPr>
              <w:t>Descripción</w:t>
            </w:r>
          </w:p>
        </w:tc>
      </w:tr>
      <w:tr>
        <w:tc>
          <w:tcPr>
            <w:tcW w:type="dxa" w:w="4561"/>
          </w:tcPr>
          <w:p>
            <w:r>
              <w:rPr>
                <w:b/>
                <w:sz w:val="19"/>
              </w:rPr>
              <w:t>dbo.ad_empleado</w:t>
            </w:r>
          </w:p>
        </w:tc>
        <w:tc>
          <w:tcPr>
            <w:tcW w:type="dxa" w:w="4561"/>
          </w:tcPr>
          <w:p>
            <w:r>
              <w:rPr>
                <w:sz w:val="19"/>
              </w:rPr>
              <w:t>Empleados. PK: id_emp (cédula). Incluye cargo, contrato, sueldo, modalidades, datos sociales.</w:t>
            </w:r>
          </w:p>
        </w:tc>
      </w:tr>
      <w:tr>
        <w:tc>
          <w:tcPr>
            <w:tcW w:type="dxa" w:w="4561"/>
          </w:tcPr>
          <w:p>
            <w:r>
              <w:rPr>
                <w:b/>
                <w:sz w:val="19"/>
              </w:rPr>
              <w:t>dbo.ad_departamento</w:t>
            </w:r>
          </w:p>
        </w:tc>
        <w:tc>
          <w:tcPr>
            <w:tcW w:type="dxa" w:w="4561"/>
          </w:tcPr>
          <w:p>
            <w:r>
              <w:rPr>
                <w:sz w:val="19"/>
              </w:rPr>
              <w:t>Estructura organizacional jerárquica.</w:t>
            </w:r>
          </w:p>
        </w:tc>
      </w:tr>
      <w:tr>
        <w:tc>
          <w:tcPr>
            <w:tcW w:type="dxa" w:w="4561"/>
          </w:tcPr>
          <w:p>
            <w:r>
              <w:rPr>
                <w:b/>
                <w:sz w:val="19"/>
              </w:rPr>
              <w:t>dbo.sg_control_persona</w:t>
            </w:r>
          </w:p>
        </w:tc>
        <w:tc>
          <w:tcPr>
            <w:tcW w:type="dxa" w:w="4561"/>
          </w:tcPr>
          <w:p>
            <w:r>
              <w:rPr>
                <w:sz w:val="19"/>
              </w:rPr>
              <w:t>Marcaciones de asistencia (WEB, TELETRABAJO, BIOMETRICO).</w:t>
            </w:r>
          </w:p>
        </w:tc>
      </w:tr>
      <w:tr>
        <w:tc>
          <w:tcPr>
            <w:tcW w:type="dxa" w:w="4561"/>
          </w:tcPr>
          <w:p>
            <w:r>
              <w:rPr>
                <w:b/>
                <w:sz w:val="19"/>
              </w:rPr>
              <w:t>dbo.d2_cuadre_marcacion</w:t>
            </w:r>
          </w:p>
        </w:tc>
        <w:tc>
          <w:tcPr>
            <w:tcW w:type="dxa" w:w="4561"/>
          </w:tcPr>
          <w:p>
            <w:r>
              <w:rPr>
                <w:sz w:val="19"/>
              </w:rPr>
              <w:t>Atrasos calculados por empleado por día.</w:t>
            </w:r>
          </w:p>
        </w:tc>
      </w:tr>
      <w:tr>
        <w:tc>
          <w:tcPr>
            <w:tcW w:type="dxa" w:w="4561"/>
          </w:tcPr>
          <w:p>
            <w:r>
              <w:rPr>
                <w:b/>
                <w:sz w:val="19"/>
              </w:rPr>
              <w:t>dbo.d2_permiso</w:t>
            </w:r>
          </w:p>
        </w:tc>
        <w:tc>
          <w:tcPr>
            <w:tcW w:type="dxa" w:w="4561"/>
          </w:tcPr>
          <w:p>
            <w:r>
              <w:rPr>
                <w:sz w:val="19"/>
              </w:rPr>
              <w:t>Permisos y licencias. Incluye descuento automático de vacaciones.</w:t>
            </w:r>
          </w:p>
        </w:tc>
      </w:tr>
      <w:tr>
        <w:tc>
          <w:tcPr>
            <w:tcW w:type="dxa" w:w="4561"/>
          </w:tcPr>
          <w:p>
            <w:r>
              <w:rPr>
                <w:b/>
                <w:sz w:val="19"/>
              </w:rPr>
              <w:t>dbo.d2_vacacion</w:t>
            </w:r>
          </w:p>
        </w:tc>
        <w:tc>
          <w:tcPr>
            <w:tcW w:type="dxa" w:w="4561"/>
          </w:tcPr>
          <w:p>
            <w:r>
              <w:rPr>
                <w:sz w:val="19"/>
              </w:rPr>
              <w:t>Solicitudes de vacaciones con backup asignado al aprobar.</w:t>
            </w:r>
          </w:p>
        </w:tc>
      </w:tr>
      <w:tr>
        <w:tc>
          <w:tcPr>
            <w:tcW w:type="dxa" w:w="4561"/>
          </w:tcPr>
          <w:p>
            <w:r>
              <w:rPr>
                <w:b/>
                <w:sz w:val="19"/>
              </w:rPr>
              <w:t>dbo.d2_cabecera_vacacion</w:t>
            </w:r>
          </w:p>
        </w:tc>
        <w:tc>
          <w:tcPr>
            <w:tcW w:type="dxa" w:w="4561"/>
          </w:tcPr>
          <w:p>
            <w:r>
              <w:rPr>
                <w:sz w:val="19"/>
              </w:rPr>
              <w:t>Saldo acumulado de vacaciones por empleado.</w:t>
            </w:r>
          </w:p>
        </w:tc>
      </w:tr>
      <w:tr>
        <w:tc>
          <w:tcPr>
            <w:tcW w:type="dxa" w:w="4561"/>
          </w:tcPr>
          <w:p>
            <w:r>
              <w:rPr>
                <w:b/>
                <w:sz w:val="19"/>
              </w:rPr>
              <w:t>dbo.vac_planificacion</w:t>
            </w:r>
          </w:p>
        </w:tc>
        <w:tc>
          <w:tcPr>
            <w:tcW w:type="dxa" w:w="4561"/>
          </w:tcPr>
          <w:p>
            <w:r>
              <w:rPr>
                <w:sz w:val="19"/>
              </w:rPr>
              <w:t>Planificación anual de períodos de vacaciones.</w:t>
            </w:r>
          </w:p>
        </w:tc>
      </w:tr>
      <w:tr>
        <w:tc>
          <w:tcPr>
            <w:tcW w:type="dxa" w:w="4561"/>
          </w:tcPr>
          <w:p>
            <w:r>
              <w:rPr>
                <w:b/>
                <w:sz w:val="19"/>
              </w:rPr>
              <w:t>dbo.vac_liquidacion_historico</w:t>
            </w:r>
          </w:p>
        </w:tc>
        <w:tc>
          <w:tcPr>
            <w:tcW w:type="dxa" w:w="4561"/>
          </w:tcPr>
          <w:p>
            <w:r>
              <w:rPr>
                <w:sz w:val="19"/>
              </w:rPr>
              <w:t>Registro de liquidaciones por comisión/desvinculación.</w:t>
            </w:r>
          </w:p>
        </w:tc>
      </w:tr>
      <w:tr>
        <w:tc>
          <w:tcPr>
            <w:tcW w:type="dxa" w:w="4561"/>
          </w:tcPr>
          <w:p>
            <w:r>
              <w:rPr>
                <w:b/>
                <w:sz w:val="19"/>
              </w:rPr>
              <w:t>dbo.acc_accion_personal</w:t>
            </w:r>
          </w:p>
        </w:tc>
        <w:tc>
          <w:tcPr>
            <w:tcW w:type="dxa" w:w="4561"/>
          </w:tcPr>
          <w:p>
            <w:r>
              <w:rPr>
                <w:sz w:val="19"/>
              </w:rPr>
              <w:t>Acciones de personal (encargo, subrogación, ingreso, etc.).</w:t>
            </w:r>
          </w:p>
        </w:tc>
      </w:tr>
      <w:tr>
        <w:tc>
          <w:tcPr>
            <w:tcW w:type="dxa" w:w="4561"/>
          </w:tcPr>
          <w:p>
            <w:r>
              <w:rPr>
                <w:b/>
                <w:sz w:val="19"/>
              </w:rPr>
              <w:t>dbo.nom_he_planificacion_cab</w:t>
            </w:r>
          </w:p>
        </w:tc>
        <w:tc>
          <w:tcPr>
            <w:tcW w:type="dxa" w:w="4561"/>
          </w:tcPr>
          <w:p>
            <w:r>
              <w:rPr>
                <w:sz w:val="19"/>
              </w:rPr>
              <w:t>Cabecera mensual de planificación de horas extras.</w:t>
            </w:r>
          </w:p>
        </w:tc>
      </w:tr>
      <w:tr>
        <w:tc>
          <w:tcPr>
            <w:tcW w:type="dxa" w:w="4561"/>
          </w:tcPr>
          <w:p>
            <w:r>
              <w:rPr>
                <w:b/>
                <w:sz w:val="19"/>
              </w:rPr>
              <w:t>dbo.nom_he_planificacion_det</w:t>
            </w:r>
          </w:p>
        </w:tc>
        <w:tc>
          <w:tcPr>
            <w:tcW w:type="dxa" w:w="4561"/>
          </w:tcPr>
          <w:p>
            <w:r>
              <w:rPr>
                <w:sz w:val="19"/>
              </w:rPr>
              <w:t>Detalle de actividades planificadas de horas extras.</w:t>
            </w:r>
          </w:p>
        </w:tc>
      </w:tr>
      <w:tr>
        <w:tc>
          <w:tcPr>
            <w:tcW w:type="dxa" w:w="4561"/>
          </w:tcPr>
          <w:p>
            <w:r>
              <w:rPr>
                <w:b/>
                <w:sz w:val="19"/>
              </w:rPr>
              <w:t>dbo.nom_he_registro</w:t>
            </w:r>
          </w:p>
        </w:tc>
        <w:tc>
          <w:tcPr>
            <w:tcW w:type="dxa" w:w="4561"/>
          </w:tcPr>
          <w:p>
            <w:r>
              <w:rPr>
                <w:sz w:val="19"/>
              </w:rPr>
              <w:t>Registro de horas extras realmente trabajadas.</w:t>
            </w:r>
          </w:p>
        </w:tc>
      </w:tr>
      <w:tr>
        <w:tc>
          <w:tcPr>
            <w:tcW w:type="dxa" w:w="4561"/>
          </w:tcPr>
          <w:p>
            <w:r>
              <w:rPr>
                <w:b/>
                <w:sz w:val="19"/>
              </w:rPr>
              <w:t>dbo.d2_certificado_laboral</w:t>
            </w:r>
          </w:p>
        </w:tc>
        <w:tc>
          <w:tcPr>
            <w:tcW w:type="dxa" w:w="4561"/>
          </w:tcPr>
          <w:p>
            <w:r>
              <w:rPr>
                <w:sz w:val="19"/>
              </w:rPr>
              <w:t>Certificados laborales emitidos. Numeración DATH-CL-NNN-YYYY.</w:t>
            </w:r>
          </w:p>
        </w:tc>
      </w:tr>
      <w:tr>
        <w:tc>
          <w:tcPr>
            <w:tcW w:type="dxa" w:w="4561"/>
          </w:tcPr>
          <w:p>
            <w:r>
              <w:rPr>
                <w:b/>
                <w:sz w:val="19"/>
              </w:rPr>
              <w:t>dbo.nom_auditoria_log</w:t>
            </w:r>
          </w:p>
        </w:tc>
        <w:tc>
          <w:tcPr>
            <w:tcW w:type="dxa" w:w="4561"/>
          </w:tcPr>
          <w:p>
            <w:r>
              <w:rPr>
                <w:sz w:val="19"/>
              </w:rPr>
              <w:t>Log centralizado de auditoría del sistema.</w:t>
            </w:r>
          </w:p>
        </w:tc>
      </w:tr>
      <w:tr>
        <w:tc>
          <w:tcPr>
            <w:tcW w:type="dxa" w:w="4561"/>
          </w:tcPr>
          <w:p>
            <w:r>
              <w:rPr>
                <w:b/>
                <w:sz w:val="19"/>
              </w:rPr>
              <w:t>dbo.d2_configuracion</w:t>
            </w:r>
          </w:p>
        </w:tc>
        <w:tc>
          <w:tcPr>
            <w:tcW w:type="dxa" w:w="4561"/>
          </w:tcPr>
          <w:p>
            <w:r>
              <w:rPr>
                <w:sz w:val="19"/>
              </w:rPr>
              <w:t>Parámetros globales del sistema (clave/valor).</w:t>
            </w:r>
          </w:p>
        </w:tc>
      </w:tr>
      <w:tr>
        <w:tc>
          <w:tcPr>
            <w:tcW w:type="dxa" w:w="4561"/>
          </w:tcPr>
          <w:p>
            <w:r>
              <w:rPr>
                <w:b/>
                <w:sz w:val="19"/>
              </w:rPr>
              <w:t>dbo.admin_usuario_rol</w:t>
            </w:r>
          </w:p>
        </w:tc>
        <w:tc>
          <w:tcPr>
            <w:tcW w:type="dxa" w:w="4561"/>
          </w:tcPr>
          <w:p>
            <w:r>
              <w:rPr>
                <w:sz w:val="19"/>
              </w:rPr>
              <w:t>Asignación de roles por empleado.</w:t>
            </w:r>
          </w:p>
        </w:tc>
      </w:tr>
      <w:tr>
        <w:tc>
          <w:tcPr>
            <w:tcW w:type="dxa" w:w="4561"/>
          </w:tcPr>
          <w:p>
            <w:r>
              <w:rPr>
                <w:b/>
                <w:sz w:val="19"/>
              </w:rPr>
              <w:t>dbo.admin_opcion</w:t>
            </w:r>
          </w:p>
        </w:tc>
        <w:tc>
          <w:tcPr>
            <w:tcW w:type="dxa" w:w="4561"/>
          </w:tcPr>
          <w:p>
            <w:r>
              <w:rPr>
                <w:sz w:val="19"/>
              </w:rPr>
              <w:t>Opciones del menú con control de acceso por rol.</w:t>
            </w:r>
          </w:p>
        </w:tc>
      </w:tr>
      <w:tr>
        <w:tc>
          <w:tcPr>
            <w:tcW w:type="dxa" w:w="4561"/>
          </w:tcPr>
          <w:p>
            <w:r>
              <w:rPr>
                <w:b/>
                <w:sz w:val="19"/>
              </w:rPr>
              <w:t>dbo.d2_jornada / d2_turno</w:t>
            </w:r>
          </w:p>
        </w:tc>
        <w:tc>
          <w:tcPr>
            <w:tcW w:type="dxa" w:w="4561"/>
          </w:tcPr>
          <w:p>
            <w:r>
              <w:rPr>
                <w:sz w:val="19"/>
              </w:rPr>
              <w:t>Jornadas y turnos laborales.</w:t>
            </w:r>
          </w:p>
        </w:tc>
      </w:tr>
      <w:tr>
        <w:tc>
          <w:tcPr>
            <w:tcW w:type="dxa" w:w="4561"/>
          </w:tcPr>
          <w:p>
            <w:r>
              <w:rPr>
                <w:b/>
                <w:sz w:val="19"/>
              </w:rPr>
              <w:t>dbo.d2_lista_fecha</w:t>
            </w:r>
          </w:p>
        </w:tc>
        <w:tc>
          <w:tcPr>
            <w:tcW w:type="dxa" w:w="4561"/>
          </w:tcPr>
          <w:p>
            <w:r>
              <w:rPr>
                <w:sz w:val="19"/>
              </w:rPr>
              <w:t>Calendario de feriados y días no laborables.</w:t>
            </w:r>
          </w:p>
        </w:tc>
      </w:tr>
      <w:tr>
        <w:tc>
          <w:tcPr>
            <w:tcW w:type="dxa" w:w="4561"/>
          </w:tcPr>
          <w:p>
            <w:r>
              <w:rPr>
                <w:b/>
                <w:sz w:val="19"/>
              </w:rPr>
              <w:t>dbo.d2_aportes_iess</w:t>
            </w:r>
          </w:p>
        </w:tc>
        <w:tc>
          <w:tcPr>
            <w:tcW w:type="dxa" w:w="4561"/>
          </w:tcPr>
          <w:p>
            <w:r>
              <w:rPr>
                <w:sz w:val="19"/>
              </w:rPr>
              <w:t>Tasas de aporte IESS/IECE/SECAP por tipo de contrato.</w:t>
            </w:r>
          </w:p>
        </w:tc>
      </w:tr>
      <w:tr>
        <w:tc>
          <w:tcPr>
            <w:tcW w:type="dxa" w:w="4561"/>
          </w:tcPr>
          <w:p>
            <w:r>
              <w:rPr>
                <w:b/>
                <w:sz w:val="19"/>
              </w:rPr>
              <w:t>dbo.nom_decimo_tercero/cuarto</w:t>
            </w:r>
          </w:p>
        </w:tc>
        <w:tc>
          <w:tcPr>
            <w:tcW w:type="dxa" w:w="4561"/>
          </w:tcPr>
          <w:p>
            <w:r>
              <w:rPr>
                <w:sz w:val="19"/>
              </w:rPr>
              <w:t>Décimos calculados por período.</w:t>
            </w:r>
          </w:p>
        </w:tc>
      </w:tr>
      <w:tr>
        <w:tc>
          <w:tcPr>
            <w:tcW w:type="dxa" w:w="4561"/>
          </w:tcPr>
          <w:p>
            <w:r>
              <w:rPr>
                <w:b/>
                <w:sz w:val="19"/>
              </w:rPr>
              <w:t>dbo.nom_fondos_reserva</w:t>
            </w:r>
          </w:p>
        </w:tc>
        <w:tc>
          <w:tcPr>
            <w:tcW w:type="dxa" w:w="4561"/>
          </w:tcPr>
          <w:p>
            <w:r>
              <w:rPr>
                <w:sz w:val="19"/>
              </w:rPr>
              <w:t>Fondos de reserva mensuales.</w:t>
            </w:r>
          </w:p>
        </w:tc>
      </w:tr>
      <w:tr>
        <w:tc>
          <w:tcPr>
            <w:tcW w:type="dxa" w:w="4561"/>
          </w:tcPr>
          <w:p>
            <w:r>
              <w:rPr>
                <w:b/>
                <w:sz w:val="19"/>
              </w:rPr>
              <w:t>dbo.nom_rol_pago_cab/det</w:t>
            </w:r>
          </w:p>
        </w:tc>
        <w:tc>
          <w:tcPr>
            <w:tcW w:type="dxa" w:w="4561"/>
          </w:tcPr>
          <w:p>
            <w:r>
              <w:rPr>
                <w:sz w:val="19"/>
              </w:rPr>
              <w:t>Rol de pagos cabecera y detalle.</w:t>
            </w:r>
          </w:p>
        </w:tc>
      </w:tr>
      <w:tr>
        <w:tc>
          <w:tcPr>
            <w:tcW w:type="dxa" w:w="4561"/>
          </w:tcPr>
          <w:p>
            <w:r>
              <w:rPr>
                <w:b/>
                <w:sz w:val="19"/>
              </w:rPr>
              <w:t>dbo.trans_vehiculo</w:t>
            </w:r>
          </w:p>
        </w:tc>
        <w:tc>
          <w:tcPr>
            <w:tcW w:type="dxa" w:w="4561"/>
          </w:tcPr>
          <w:p>
            <w:r>
              <w:rPr>
                <w:sz w:val="19"/>
              </w:rPr>
              <w:t>Vehículos institucionales.</w:t>
            </w:r>
          </w:p>
        </w:tc>
      </w:tr>
      <w:tr>
        <w:tc>
          <w:tcPr>
            <w:tcW w:type="dxa" w:w="4561"/>
          </w:tcPr>
          <w:p>
            <w:r>
              <w:rPr>
                <w:b/>
                <w:sz w:val="19"/>
              </w:rPr>
              <w:t>dbo.trans_mantenimiento</w:t>
            </w:r>
          </w:p>
        </w:tc>
        <w:tc>
          <w:tcPr>
            <w:tcW w:type="dxa" w:w="4561"/>
          </w:tcPr>
          <w:p>
            <w:r>
              <w:rPr>
                <w:sz w:val="19"/>
              </w:rPr>
              <w:t>Requerimientos de mantenimiento vehicular.</w:t>
            </w:r>
          </w:p>
        </w:tc>
      </w:tr>
      <w:tr>
        <w:tc>
          <w:tcPr>
            <w:tcW w:type="dxa" w:w="4561"/>
          </w:tcPr>
          <w:p>
            <w:r>
              <w:rPr>
                <w:b/>
                <w:sz w:val="19"/>
              </w:rPr>
              <w:t>dbo.trans_solicitud_mov</w:t>
            </w:r>
          </w:p>
        </w:tc>
        <w:tc>
          <w:tcPr>
            <w:tcW w:type="dxa" w:w="4561"/>
          </w:tcPr>
          <w:p>
            <w:r>
              <w:rPr>
                <w:sz w:val="19"/>
              </w:rPr>
              <w:t>Solicitudes de movilización.</w:t>
            </w:r>
          </w:p>
        </w:tc>
      </w:tr>
      <w:tr>
        <w:tc>
          <w:tcPr>
            <w:tcW w:type="dxa" w:w="4561"/>
          </w:tcPr>
          <w:p>
            <w:r>
              <w:rPr>
                <w:b/>
                <w:sz w:val="19"/>
              </w:rPr>
              <w:t>dbo.trans_vale_combustible</w:t>
            </w:r>
          </w:p>
        </w:tc>
        <w:tc>
          <w:tcPr>
            <w:tcW w:type="dxa" w:w="4561"/>
          </w:tcPr>
          <w:p>
            <w:r>
              <w:rPr>
                <w:sz w:val="19"/>
              </w:rPr>
              <w:t>Vales de combustible emitidos.</w:t>
            </w:r>
          </w:p>
        </w:tc>
      </w:tr>
      <w:tr>
        <w:tc>
          <w:tcPr>
            <w:tcW w:type="dxa" w:w="4561"/>
          </w:tcPr>
          <w:p>
            <w:r>
              <w:rPr>
                <w:b/>
                <w:sz w:val="19"/>
              </w:rPr>
              <w:t>dbo.d2_aviso_ticker</w:t>
            </w:r>
          </w:p>
        </w:tc>
        <w:tc>
          <w:tcPr>
            <w:tcW w:type="dxa" w:w="4561"/>
          </w:tcPr>
          <w:p>
            <w:r>
              <w:rPr>
                <w:sz w:val="19"/>
              </w:rPr>
              <w:t>Avisos informativos del launcher.</w:t>
            </w:r>
          </w:p>
        </w:tc>
      </w:tr>
      <w:tr>
        <w:tc>
          <w:tcPr>
            <w:tcW w:type="dxa" w:w="4561"/>
          </w:tcPr>
          <w:p>
            <w:r>
              <w:rPr>
                <w:b/>
                <w:sz w:val="19"/>
              </w:rPr>
              <w:t>dbo.d2_zkteco_dispositivo</w:t>
            </w:r>
          </w:p>
        </w:tc>
        <w:tc>
          <w:tcPr>
            <w:tcW w:type="dxa" w:w="4561"/>
          </w:tcPr>
          <w:p>
            <w:r>
              <w:rPr>
                <w:sz w:val="19"/>
              </w:rPr>
              <w:t>Relojes biométricos registrados.</w:t>
            </w:r>
          </w:p>
        </w:tc>
      </w:tr>
    </w:tbl>
    <w:p/>
    <w:p>
      <w:pPr>
        <w:pStyle w:val="Heading2"/>
      </w:pPr>
      <w:r>
        <w:t>8.2 Esquema adq — Adquisiciones</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Tabla</w:t>
            </w:r>
          </w:p>
        </w:tc>
        <w:tc>
          <w:tcPr>
            <w:tcW w:type="dxa" w:w="4561"/>
            <w:shd w:val="clear" w:color="auto" w:fill="0b5547"/>
          </w:tcPr>
          <w:p>
            <w:pPr>
              <w:jc w:val="center"/>
            </w:pPr>
            <w:r>
              <w:rPr>
                <w:b/>
                <w:color w:val="FFFFFF"/>
                <w:sz w:val="20"/>
              </w:rPr>
              <w:t>Descripción</w:t>
            </w:r>
          </w:p>
        </w:tc>
      </w:tr>
      <w:tr>
        <w:tc>
          <w:tcPr>
            <w:tcW w:type="dxa" w:w="4561"/>
          </w:tcPr>
          <w:p>
            <w:r>
              <w:rPr>
                <w:b/>
                <w:sz w:val="19"/>
              </w:rPr>
              <w:t>adq.articulo</w:t>
            </w:r>
          </w:p>
        </w:tc>
        <w:tc>
          <w:tcPr>
            <w:tcW w:type="dxa" w:w="4561"/>
          </w:tcPr>
          <w:p>
            <w:r>
              <w:rPr>
                <w:sz w:val="19"/>
              </w:rPr>
              <w:t>Inventario de bienes. Precio con 5 decimales. Stock actual.</w:t>
            </w:r>
          </w:p>
        </w:tc>
      </w:tr>
      <w:tr>
        <w:tc>
          <w:tcPr>
            <w:tcW w:type="dxa" w:w="4561"/>
          </w:tcPr>
          <w:p>
            <w:r>
              <w:rPr>
                <w:b/>
                <w:sz w:val="19"/>
              </w:rPr>
              <w:t>adq.orden_compra / orden_compra_det</w:t>
            </w:r>
          </w:p>
        </w:tc>
        <w:tc>
          <w:tcPr>
            <w:tcW w:type="dxa" w:w="4561"/>
          </w:tcPr>
          <w:p>
            <w:r>
              <w:rPr>
                <w:sz w:val="19"/>
              </w:rPr>
              <w:t>Ingresos de bienes (BORRADOR → RECIBIDO).</w:t>
            </w:r>
          </w:p>
        </w:tc>
      </w:tr>
      <w:tr>
        <w:tc>
          <w:tcPr>
            <w:tcW w:type="dxa" w:w="4561"/>
          </w:tcPr>
          <w:p>
            <w:r>
              <w:rPr>
                <w:b/>
                <w:sz w:val="19"/>
              </w:rPr>
              <w:t>adq.egreso / egreso_det</w:t>
            </w:r>
          </w:p>
        </w:tc>
        <w:tc>
          <w:tcPr>
            <w:tcW w:type="dxa" w:w="4561"/>
          </w:tcPr>
          <w:p>
            <w:r>
              <w:rPr>
                <w:sz w:val="19"/>
              </w:rPr>
              <w:t>Egresos de bienes (BORRADOR → DESPACHADO).</w:t>
            </w:r>
          </w:p>
        </w:tc>
      </w:tr>
      <w:tr>
        <w:tc>
          <w:tcPr>
            <w:tcW w:type="dxa" w:w="4561"/>
          </w:tcPr>
          <w:p>
            <w:r>
              <w:rPr>
                <w:b/>
                <w:sz w:val="19"/>
              </w:rPr>
              <w:t>adq.kardex</w:t>
            </w:r>
          </w:p>
        </w:tc>
        <w:tc>
          <w:tcPr>
            <w:tcW w:type="dxa" w:w="4561"/>
          </w:tcPr>
          <w:p>
            <w:r>
              <w:rPr>
                <w:sz w:val="19"/>
              </w:rPr>
              <w:t>Log inmutable de movimientos de inventario con valor saldo.</w:t>
            </w:r>
          </w:p>
        </w:tc>
      </w:tr>
      <w:tr>
        <w:tc>
          <w:tcPr>
            <w:tcW w:type="dxa" w:w="4561"/>
          </w:tcPr>
          <w:p>
            <w:r>
              <w:rPr>
                <w:b/>
                <w:sz w:val="19"/>
              </w:rPr>
              <w:t>adq.solicitud_material / det</w:t>
            </w:r>
          </w:p>
        </w:tc>
        <w:tc>
          <w:tcPr>
            <w:tcW w:type="dxa" w:w="4561"/>
          </w:tcPr>
          <w:p>
            <w:r>
              <w:rPr>
                <w:sz w:val="19"/>
              </w:rPr>
              <w:t>Solicitudes internas de materiales.</w:t>
            </w:r>
          </w:p>
        </w:tc>
      </w:tr>
      <w:tr>
        <w:tc>
          <w:tcPr>
            <w:tcW w:type="dxa" w:w="4561"/>
          </w:tcPr>
          <w:p>
            <w:r>
              <w:rPr>
                <w:b/>
                <w:sz w:val="19"/>
              </w:rPr>
              <w:t>adq.proveedor</w:t>
            </w:r>
          </w:p>
        </w:tc>
        <w:tc>
          <w:tcPr>
            <w:tcW w:type="dxa" w:w="4561"/>
          </w:tcPr>
          <w:p>
            <w:r>
              <w:rPr>
                <w:sz w:val="19"/>
              </w:rPr>
              <w:t>Proveedores institucionales.</w:t>
            </w:r>
          </w:p>
        </w:tc>
      </w:tr>
      <w:tr>
        <w:tc>
          <w:tcPr>
            <w:tcW w:type="dxa" w:w="4561"/>
          </w:tcPr>
          <w:p>
            <w:r>
              <w:rPr>
                <w:b/>
                <w:sz w:val="19"/>
              </w:rPr>
              <w:t>adq.iva</w:t>
            </w:r>
          </w:p>
        </w:tc>
        <w:tc>
          <w:tcPr>
            <w:tcW w:type="dxa" w:w="4561"/>
          </w:tcPr>
          <w:p>
            <w:r>
              <w:rPr>
                <w:sz w:val="19"/>
              </w:rPr>
              <w:t>Tasas de IVA aplicables.</w:t>
            </w:r>
          </w:p>
        </w:tc>
      </w:tr>
      <w:tr>
        <w:tc>
          <w:tcPr>
            <w:tcW w:type="dxa" w:w="4561"/>
          </w:tcPr>
          <w:p>
            <w:r>
              <w:rPr>
                <w:b/>
                <w:sz w:val="19"/>
              </w:rPr>
              <w:t>adq.catalogo_inventario</w:t>
            </w:r>
          </w:p>
        </w:tc>
        <w:tc>
          <w:tcPr>
            <w:tcW w:type="dxa" w:w="4561"/>
          </w:tcPr>
          <w:p>
            <w:r>
              <w:rPr>
                <w:sz w:val="19"/>
              </w:rPr>
              <w:t>Catálogo MEF (nivel1, nivel2, partida presupuestaria).</w:t>
            </w:r>
          </w:p>
        </w:tc>
      </w:tr>
      <w:tr>
        <w:tc>
          <w:tcPr>
            <w:tcW w:type="dxa" w:w="4561"/>
          </w:tcPr>
          <w:p>
            <w:r>
              <w:rPr>
                <w:b/>
                <w:sz w:val="19"/>
              </w:rPr>
              <w:t>adq.proceso_contratacion</w:t>
            </w:r>
          </w:p>
        </w:tc>
        <w:tc>
          <w:tcPr>
            <w:tcW w:type="dxa" w:w="4561"/>
          </w:tcPr>
          <w:p>
            <w:r>
              <w:rPr>
                <w:sz w:val="19"/>
              </w:rPr>
              <w:t>Procesos de contratación configurables.</w:t>
            </w:r>
          </w:p>
        </w:tc>
      </w:tr>
      <w:tr>
        <w:tc>
          <w:tcPr>
            <w:tcW w:type="dxa" w:w="4561"/>
          </w:tcPr>
          <w:p>
            <w:r>
              <w:rPr>
                <w:b/>
                <w:sz w:val="19"/>
              </w:rPr>
              <w:t>adq.unidad_medida</w:t>
            </w:r>
          </w:p>
        </w:tc>
        <w:tc>
          <w:tcPr>
            <w:tcW w:type="dxa" w:w="4561"/>
          </w:tcPr>
          <w:p>
            <w:r>
              <w:rPr>
                <w:sz w:val="19"/>
              </w:rPr>
              <w:t>Unidades de medida de los artículos.</w:t>
            </w:r>
          </w:p>
        </w:tc>
      </w:tr>
    </w:tbl>
    <w:p>
      <w:r>
        <w:br w:type="page"/>
      </w:r>
    </w:p>
    <w:p>
      <w:pPr>
        <w:pStyle w:val="Heading1"/>
      </w:pPr>
      <w:r>
        <w:t>9. Despliegue y Configuración</w:t>
      </w:r>
    </w:p>
    <w:p>
      <w:pPr>
        <w:pStyle w:val="Heading2"/>
      </w:pPr>
      <w:r>
        <w:t>9.1 Variables de entorno</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0b5547"/>
          </w:tcPr>
          <w:p>
            <w:pPr>
              <w:jc w:val="center"/>
            </w:pPr>
            <w:r>
              <w:rPr>
                <w:b/>
                <w:color w:val="FFFFFF"/>
                <w:sz w:val="20"/>
              </w:rPr>
              <w:t>Variable</w:t>
            </w:r>
          </w:p>
        </w:tc>
        <w:tc>
          <w:tcPr>
            <w:tcW w:type="dxa" w:w="3041"/>
            <w:shd w:val="clear" w:color="auto" w:fill="0b5547"/>
          </w:tcPr>
          <w:p>
            <w:pPr>
              <w:jc w:val="center"/>
            </w:pPr>
            <w:r>
              <w:rPr>
                <w:b/>
                <w:color w:val="FFFFFF"/>
                <w:sz w:val="20"/>
              </w:rPr>
              <w:t>Valor ejemplo</w:t>
            </w:r>
          </w:p>
        </w:tc>
        <w:tc>
          <w:tcPr>
            <w:tcW w:type="dxa" w:w="3041"/>
            <w:shd w:val="clear" w:color="auto" w:fill="0b5547"/>
          </w:tcPr>
          <w:p>
            <w:pPr>
              <w:jc w:val="center"/>
            </w:pPr>
            <w:r>
              <w:rPr>
                <w:b/>
                <w:color w:val="FFFFFF"/>
                <w:sz w:val="20"/>
              </w:rPr>
              <w:t>Propósito</w:t>
            </w:r>
          </w:p>
        </w:tc>
      </w:tr>
      <w:tr>
        <w:tc>
          <w:tcPr>
            <w:tcW w:type="dxa" w:w="3041"/>
          </w:tcPr>
          <w:p>
            <w:r>
              <w:rPr>
                <w:b/>
                <w:sz w:val="19"/>
              </w:rPr>
              <w:t>DB_CONNECTION</w:t>
            </w:r>
          </w:p>
        </w:tc>
        <w:tc>
          <w:tcPr>
            <w:tcW w:type="dxa" w:w="3041"/>
          </w:tcPr>
          <w:p>
            <w:r>
              <w:rPr>
                <w:sz w:val="19"/>
              </w:rPr>
              <w:t>pgsql</w:t>
            </w:r>
          </w:p>
        </w:tc>
        <w:tc>
          <w:tcPr>
            <w:tcW w:type="dxa" w:w="3041"/>
          </w:tcPr>
          <w:p>
            <w:r>
              <w:rPr>
                <w:sz w:val="19"/>
              </w:rPr>
              <w:t>Motor de base de datos</w:t>
            </w:r>
          </w:p>
        </w:tc>
      </w:tr>
      <w:tr>
        <w:tc>
          <w:tcPr>
            <w:tcW w:type="dxa" w:w="3041"/>
          </w:tcPr>
          <w:p>
            <w:r>
              <w:rPr>
                <w:b/>
                <w:sz w:val="19"/>
              </w:rPr>
              <w:t>DB_HOST / DB_PORT / DB_DATABASE</w:t>
            </w:r>
          </w:p>
        </w:tc>
        <w:tc>
          <w:tcPr>
            <w:tcW w:type="dxa" w:w="3041"/>
          </w:tcPr>
          <w:p>
            <w:r>
              <w:rPr>
                <w:sz w:val="19"/>
              </w:rPr>
              <w:t>—</w:t>
            </w:r>
          </w:p>
        </w:tc>
        <w:tc>
          <w:tcPr>
            <w:tcW w:type="dxa" w:w="3041"/>
          </w:tcPr>
          <w:p>
            <w:r>
              <w:rPr>
                <w:sz w:val="19"/>
              </w:rPr>
              <w:t>Credenciales PostgreSQL</w:t>
            </w:r>
          </w:p>
        </w:tc>
      </w:tr>
      <w:tr>
        <w:tc>
          <w:tcPr>
            <w:tcW w:type="dxa" w:w="3041"/>
          </w:tcPr>
          <w:p>
            <w:r>
              <w:rPr>
                <w:b/>
                <w:sz w:val="19"/>
              </w:rPr>
              <w:t>APP_URL</w:t>
            </w:r>
          </w:p>
        </w:tc>
        <w:tc>
          <w:tcPr>
            <w:tcW w:type="dxa" w:w="3041"/>
          </w:tcPr>
          <w:p>
            <w:r>
              <w:rPr>
                <w:sz w:val="19"/>
              </w:rPr>
              <w:t>https://...</w:t>
            </w:r>
          </w:p>
        </w:tc>
        <w:tc>
          <w:tcPr>
            <w:tcW w:type="dxa" w:w="3041"/>
          </w:tcPr>
          <w:p>
            <w:r>
              <w:rPr>
                <w:sz w:val="19"/>
              </w:rPr>
              <w:t>URL pública del backend</w:t>
            </w:r>
          </w:p>
        </w:tc>
      </w:tr>
      <w:tr>
        <w:tc>
          <w:tcPr>
            <w:tcW w:type="dxa" w:w="3041"/>
          </w:tcPr>
          <w:p>
            <w:r>
              <w:rPr>
                <w:b/>
                <w:sz w:val="19"/>
              </w:rPr>
              <w:t>VITE_API_URL</w:t>
            </w:r>
          </w:p>
        </w:tc>
        <w:tc>
          <w:tcPr>
            <w:tcW w:type="dxa" w:w="3041"/>
          </w:tcPr>
          <w:p>
            <w:r>
              <w:rPr>
                <w:sz w:val="19"/>
              </w:rPr>
              <w:t>https://.../api</w:t>
            </w:r>
          </w:p>
        </w:tc>
        <w:tc>
          <w:tcPr>
            <w:tcW w:type="dxa" w:w="3041"/>
          </w:tcPr>
          <w:p>
            <w:r>
              <w:rPr>
                <w:sz w:val="19"/>
              </w:rPr>
              <w:t>URL base de la API (frontend)</w:t>
            </w:r>
          </w:p>
        </w:tc>
      </w:tr>
      <w:tr>
        <w:tc>
          <w:tcPr>
            <w:tcW w:type="dxa" w:w="3041"/>
          </w:tcPr>
          <w:p>
            <w:r>
              <w:rPr>
                <w:b/>
                <w:sz w:val="19"/>
              </w:rPr>
              <w:t>SESSION_DRIVER / CACHE_DRIVER</w:t>
            </w:r>
          </w:p>
        </w:tc>
        <w:tc>
          <w:tcPr>
            <w:tcW w:type="dxa" w:w="3041"/>
          </w:tcPr>
          <w:p>
            <w:r>
              <w:rPr>
                <w:sz w:val="19"/>
              </w:rPr>
              <w:t>database</w:t>
            </w:r>
          </w:p>
        </w:tc>
        <w:tc>
          <w:tcPr>
            <w:tcW w:type="dxa" w:w="3041"/>
          </w:tcPr>
          <w:p>
            <w:r>
              <w:rPr>
                <w:sz w:val="19"/>
              </w:rPr>
              <w:t>Driver de sesión y caché</w:t>
            </w:r>
          </w:p>
        </w:tc>
      </w:tr>
    </w:tbl>
    <w:p/>
    <w:p>
      <w:pPr>
        <w:pStyle w:val="Heading2"/>
      </w:pPr>
      <w:r>
        <w:t>9.2 Procedimiento de despliegue</w:t>
      </w:r>
    </w:p>
    <w:p>
      <w:r>
        <w:t>1. git push (desde equipo de desarrollo)</w:t>
      </w:r>
    </w:p>
    <w:p>
      <w:r>
        <w:t>2. git pull (en el servidor)</w:t>
      </w:r>
    </w:p>
    <w:p>
      <w:r>
        <w:t>3. npm run build (solo si hay cambios en .vue/.js/.css)</w:t>
      </w:r>
    </w:p>
    <w:p>
      <w:r>
        <w:t>4. php artisan migrate (solo si hay nuevas migraciones)</w:t>
      </w:r>
    </w:p>
    <w:p>
      <w:r>
        <w:t>5. php artisan storage:link (solo en primer despliegue o servidor nuevo)</w:t>
      </w:r>
    </w:p>
    <w:p/>
    <w:p>
      <w:pPr>
        <w:pStyle w:val="Heading2"/>
      </w:pPr>
      <w:r>
        <w:t>9.3 Configuración de Apache</w:t>
      </w:r>
    </w:p>
    <w:p>
      <w:r>
        <w:t>Apache hace proxy reverso: las rutas /api/* se redirigen al puerto 9000 donde corre PHP-FPM. La directiva TrustedProxies en bootstrap/app.php está configurada para leer el IP real del cliente desde el header X-Forwarded-For (necesario para la validación de VLANs en la marcación de asistencia).</w:t>
      </w:r>
    </w:p>
    <w:p>
      <w:r>
        <w:br w:type="page"/>
      </w:r>
    </w:p>
    <w:p>
      <w:pPr>
        <w:pStyle w:val="Heading1"/>
      </w:pPr>
      <w:r>
        <w:t>10. Consideraciones Técnicas Relevantes</w:t>
      </w:r>
    </w:p>
    <w:tbl>
      <w:tblPr>
        <w:tblStyle w:val="TableGrid"/>
        <w:tblW w:type="auto" w:w="0"/>
        <w:tblLook w:firstColumn="1" w:firstRow="1" w:lastColumn="0" w:lastRow="0" w:noHBand="0" w:noVBand="1" w:val="04A0"/>
      </w:tblPr>
      <w:tblGrid>
        <w:gridCol w:w="4561"/>
        <w:gridCol w:w="4561"/>
      </w:tblGrid>
      <w:tr>
        <w:tc>
          <w:tcPr>
            <w:tcW w:type="dxa" w:w="4561"/>
            <w:shd w:val="clear" w:color="auto" w:fill="0b5547"/>
          </w:tcPr>
          <w:p>
            <w:pPr>
              <w:jc w:val="center"/>
            </w:pPr>
            <w:r>
              <w:rPr>
                <w:b/>
                <w:color w:val="FFFFFF"/>
                <w:sz w:val="20"/>
              </w:rPr>
              <w:t>Tema</w:t>
            </w:r>
          </w:p>
        </w:tc>
        <w:tc>
          <w:tcPr>
            <w:tcW w:type="dxa" w:w="4561"/>
            <w:shd w:val="clear" w:color="auto" w:fill="0b5547"/>
          </w:tcPr>
          <w:p>
            <w:pPr>
              <w:jc w:val="center"/>
            </w:pPr>
            <w:r>
              <w:rPr>
                <w:b/>
                <w:color w:val="FFFFFF"/>
                <w:sz w:val="20"/>
              </w:rPr>
              <w:t>Detalle</w:t>
            </w:r>
          </w:p>
        </w:tc>
      </w:tr>
      <w:tr>
        <w:tc>
          <w:tcPr>
            <w:tcW w:type="dxa" w:w="4561"/>
          </w:tcPr>
          <w:p>
            <w:r>
              <w:rPr>
                <w:b/>
                <w:sz w:val="19"/>
              </w:rPr>
              <w:t>Tailwind CSS 4 + @apply</w:t>
            </w:r>
          </w:p>
        </w:tc>
        <w:tc>
          <w:tcPr>
            <w:tcW w:type="dxa" w:w="4561"/>
          </w:tcPr>
          <w:p>
            <w:r>
              <w:rPr>
                <w:sz w:val="19"/>
              </w:rPr>
              <w:t>Requiere @reference "tailwindcss"; al inicio de cada bloque &lt;style scoped&gt; que use @apply. Sin esta línea el build falla.</w:t>
            </w:r>
          </w:p>
        </w:tc>
      </w:tr>
      <w:tr>
        <w:tc>
          <w:tcPr>
            <w:tcW w:type="dxa" w:w="4561"/>
          </w:tcPr>
          <w:p>
            <w:r>
              <w:rPr>
                <w:b/>
                <w:sz w:val="19"/>
              </w:rPr>
              <w:t>PostgreSQL + Eloquent</w:t>
            </w:r>
          </w:p>
        </w:tc>
        <w:tc>
          <w:tcPr>
            <w:tcW w:type="dxa" w:w="4561"/>
          </w:tcPr>
          <w:p>
            <w:r>
              <w:rPr>
                <w:sz w:val="19"/>
              </w:rPr>
              <w:t>Tablas con prefijo de esquema (ej: adq.kardex) no son compatibles con Eloquent para UPDATE. Usar DB::table() siempre para actualizaciones de stock.</w:t>
            </w:r>
          </w:p>
        </w:tc>
      </w:tr>
      <w:tr>
        <w:tc>
          <w:tcPr>
            <w:tcW w:type="dxa" w:w="4561"/>
          </w:tcPr>
          <w:p>
            <w:r>
              <w:rPr>
                <w:b/>
                <w:sz w:val="19"/>
              </w:rPr>
              <w:t>Precio promedio ponderado</w:t>
            </w:r>
          </w:p>
        </w:tc>
        <w:tc>
          <w:tcPr>
            <w:tcW w:type="dxa" w:w="4561"/>
          </w:tcPr>
          <w:p>
            <w:r>
              <w:rPr>
                <w:sz w:val="19"/>
              </w:rPr>
              <w:t>Se calcula al confirmar un ingreso. La excepción es CAJA CHICA: siempre usa el último precio sin promediar.</w:t>
            </w:r>
          </w:p>
        </w:tc>
      </w:tr>
      <w:tr>
        <w:tc>
          <w:tcPr>
            <w:tcW w:type="dxa" w:w="4561"/>
          </w:tcPr>
          <w:p>
            <w:r>
              <w:rPr>
                <w:b/>
                <w:sz w:val="19"/>
              </w:rPr>
              <w:t>Validación de IP en asistencia</w:t>
            </w:r>
          </w:p>
        </w:tc>
        <w:tc>
          <w:tcPr>
            <w:tcW w:type="dxa" w:w="4561"/>
          </w:tcPr>
          <w:p>
            <w:r>
              <w:rPr>
                <w:sz w:val="19"/>
              </w:rPr>
              <w:t>La lista VLANS_PERMITIDAS en d2_configuracion usa prefijos con punto final separados por coma (ej: 10.10.12.,10.10.26.). Si está vacía, se permite cualquier IP.</w:t>
            </w:r>
          </w:p>
        </w:tc>
      </w:tr>
      <w:tr>
        <w:tc>
          <w:tcPr>
            <w:tcW w:type="dxa" w:w="4561"/>
          </w:tcPr>
          <w:p>
            <w:r>
              <w:rPr>
                <w:b/>
                <w:sz w:val="19"/>
              </w:rPr>
              <w:t>ZKTeco — PIN del empleado</w:t>
            </w:r>
          </w:p>
        </w:tc>
        <w:tc>
          <w:tcPr>
            <w:tcW w:type="dxa" w:w="4561"/>
          </w:tcPr>
          <w:p>
            <w:r>
              <w:rPr>
                <w:sz w:val="19"/>
              </w:rPr>
              <w:t>El PIN configurado en el reloj debe ser la cédula exacta (10 dígitos) igual a id_emp en ad_empleado.</w:t>
            </w:r>
          </w:p>
        </w:tc>
      </w:tr>
      <w:tr>
        <w:tc>
          <w:tcPr>
            <w:tcW w:type="dxa" w:w="4561"/>
          </w:tcPr>
          <w:p>
            <w:r>
              <w:rPr>
                <w:b/>
                <w:sz w:val="19"/>
              </w:rPr>
              <w:t>Alfresco — filtro de carpetas</w:t>
            </w:r>
          </w:p>
        </w:tc>
        <w:tc>
          <w:tcPr>
            <w:tcW w:type="dxa" w:w="4561"/>
          </w:tcPr>
          <w:p>
            <w:r>
              <w:rPr>
                <w:sz w:val="19"/>
              </w:rPr>
              <w:t>El filtro where=(isFolder=true AND name='X') de Alfresco es poco fiable. La implementación correcta trae todas las carpetas y filtra en PHP.</w:t>
            </w:r>
          </w:p>
        </w:tc>
      </w:tr>
      <w:tr>
        <w:tc>
          <w:tcPr>
            <w:tcW w:type="dxa" w:w="4561"/>
          </w:tcPr>
          <w:p>
            <w:r>
              <w:rPr>
                <w:b/>
                <w:sz w:val="19"/>
              </w:rPr>
              <w:t>v-for + v-if en Vue 3</w:t>
            </w:r>
          </w:p>
        </w:tc>
        <w:tc>
          <w:tcPr>
            <w:tcW w:type="dxa" w:w="4561"/>
          </w:tcPr>
          <w:p>
            <w:r>
              <w:rPr>
                <w:sz w:val="19"/>
              </w:rPr>
              <w:t>Nunca poner v-for y v-if en el mismo elemento. Vue 3 evalúa v-if primero. Usar &lt;template v-for&gt; con &lt;span v-if&gt; anidado.</w:t>
            </w:r>
          </w:p>
        </w:tc>
      </w:tr>
      <w:tr>
        <w:tc>
          <w:tcPr>
            <w:tcW w:type="dxa" w:w="4561"/>
          </w:tcPr>
          <w:p>
            <w:r>
              <w:rPr>
                <w:b/>
                <w:sz w:val="19"/>
              </w:rPr>
              <w:t>Descarga de documentos blob</w:t>
            </w:r>
          </w:p>
        </w:tc>
        <w:tc>
          <w:tcPr>
            <w:tcW w:type="dxa" w:w="4561"/>
          </w:tcPr>
          <w:p>
            <w:r>
              <w:rPr>
                <w:sz w:val="19"/>
              </w:rPr>
              <w:t>Usar URL.createObjectURL() + window.open() + setTimeout revoke 60s. No revocar inmediatamente.</w:t>
            </w:r>
          </w:p>
        </w:tc>
      </w:tr>
      <w:tr>
        <w:tc>
          <w:tcPr>
            <w:tcW w:type="dxa" w:w="4561"/>
          </w:tcPr>
          <w:p>
            <w:r>
              <w:rPr>
                <w:b/>
                <w:sz w:val="19"/>
              </w:rPr>
              <w:t>Depto 999</w:t>
            </w:r>
          </w:p>
        </w:tc>
        <w:tc>
          <w:tcPr>
            <w:tcW w:type="dxa" w:w="4561"/>
          </w:tcPr>
          <w:p>
            <w:r>
              <w:rPr>
                <w:sz w:val="19"/>
              </w:rPr>
              <w:t>Placeholder del sistema. Excluir de todas las consultas con WHERE id_depto != 999.</w:t>
            </w:r>
          </w:p>
        </w:tc>
      </w:tr>
      <w:tr>
        <w:tc>
          <w:tcPr>
            <w:tcW w:type="dxa" w:w="4561"/>
          </w:tcPr>
          <w:p>
            <w:r>
              <w:rPr>
                <w:b/>
                <w:sz w:val="19"/>
              </w:rPr>
              <w:t>Modal marcación biométrica</w:t>
            </w:r>
          </w:p>
        </w:tc>
        <w:tc>
          <w:tcPr>
            <w:tcW w:type="dxa" w:w="4561"/>
          </w:tcPr>
          <w:p>
            <w:r>
              <w:rPr>
                <w:sz w:val="19"/>
              </w:rPr>
              <w:t>El reloj BIOMETRICO y las marcaciones WEB/TELETRABAJO coexisten. El concepto se asigna por secuencia del día sin importar el origen.</w:t>
            </w:r>
          </w:p>
        </w:tc>
      </w:tr>
    </w:tbl>
    <w:p/>
    <w:p>
      <w:pPr>
        <w:jc w:val="center"/>
      </w:pPr>
      <w:r>
        <w:rPr>
          <w:i/>
          <w:color w:val="888888"/>
          <w:sz w:val="18"/>
        </w:rPr>
        <w:br/>
        <w:t>Consejo de Comunicación — Documento Confidencial de Uso Interno</w:t>
        <w:br/>
        <w:t>Generado el 11/06/2026</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54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54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554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