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ab/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Protótipo de tela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720"/>
        </w:tabs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 figura abaixo representa um protótipo da tela de atividade da criança. Nesta ela poderá fazer a montagem com as figuras, ter acesso às dicas, membros da equipe, número do grupo e demais informações do sistema.</w:t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720"/>
        </w:tabs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720"/>
        </w:tabs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4649787" cy="30176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49787" cy="301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720"/>
        </w:tabs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Figura 1.  Protótipo do “Traquejo”.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720"/>
        </w:tabs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Fonte:autoria própria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720"/>
        </w:tabs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720"/>
        </w:tabs>
        <w:spacing w:after="200" w:before="0" w:line="276" w:lineRule="auto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720"/>
        </w:tabs>
        <w:spacing w:after="200" w:before="0" w:line="276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plataforma do Traquejo facilita a visualização das atividades, das imagens disponíveis para construção do objeto para que o aluno selecione e arraste. A </w:t>
      </w:r>
      <w:r w:rsidDel="00000000" w:rsidR="00000000" w:rsidRPr="00000000">
        <w:rPr>
          <w:highlight w:val="white"/>
          <w:rtl w:val="0"/>
        </w:rPr>
        <w:t xml:space="preserve">interface será responsiva </w:t>
      </w:r>
      <w:r w:rsidDel="00000000" w:rsidR="00000000" w:rsidRPr="00000000">
        <w:rPr>
          <w:highlight w:val="white"/>
          <w:rtl w:val="0"/>
        </w:rPr>
        <w:t xml:space="preserve">para uso, também, em dispositivos móveis com imagens bem localizadas e pouco texto. A orientação do aplicativo será na horizontal.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720"/>
        </w:tabs>
        <w:spacing w:after="200" w:before="0" w:line="276" w:lineRule="auto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5.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720"/>
        </w:tabs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SANTOS, Fabiana Ferreira dos. </w:t>
      </w:r>
      <w:r w:rsidDel="00000000" w:rsidR="00000000" w:rsidRPr="00000000">
        <w:rPr>
          <w:b w:val="1"/>
          <w:highlight w:val="white"/>
          <w:rtl w:val="0"/>
        </w:rPr>
        <w:t xml:space="preserve">A relação entre o desenvolvimento motor e a linguagem da criança de 2 a 7 anos. </w:t>
      </w:r>
      <w:r w:rsidDel="00000000" w:rsidR="00000000" w:rsidRPr="00000000">
        <w:rPr>
          <w:highlight w:val="white"/>
          <w:rtl w:val="0"/>
        </w:rPr>
        <w:t xml:space="preserve">Orientador: Nilson Guedes de Freitas.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Trabalho de Conclusão de Curso  (Pós graduação em Psicopedagogia) - Universidade Candido Mendes, Rio de Janeiro, 2005. Disponível em:  </w:t>
      </w:r>
      <w:r w:rsidDel="00000000" w:rsidR="00000000" w:rsidRPr="00000000">
        <w:rPr>
          <w:highlight w:val="white"/>
          <w:rtl w:val="0"/>
        </w:rPr>
        <w:t xml:space="preserve">http://www.avm.edu.br/</w:t>
      </w:r>
      <w:r w:rsidDel="00000000" w:rsidR="00000000" w:rsidRPr="00000000">
        <w:rPr>
          <w:highlight w:val="white"/>
          <w:rtl w:val="0"/>
        </w:rPr>
        <w:t xml:space="preserve">. Acesso em: 22 abr. de 2019.</w:t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FONSECA, Vitor da. </w:t>
      </w:r>
      <w:r w:rsidDel="00000000" w:rsidR="00000000" w:rsidRPr="00000000">
        <w:rPr>
          <w:b w:val="1"/>
          <w:highlight w:val="white"/>
          <w:rtl w:val="0"/>
        </w:rPr>
        <w:t xml:space="preserve">Uma introdução às dificuldades de aprendizagem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125014-285. ed. Lisboa: Editorial Notícias, 1984.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NASSER, L. SANT’ANNA, N.F.P (</w:t>
      </w:r>
      <w:r w:rsidDel="00000000" w:rsidR="00000000" w:rsidRPr="00000000">
        <w:rPr>
          <w:highlight w:val="white"/>
          <w:rtl w:val="0"/>
        </w:rPr>
        <w:t xml:space="preserve">coordenadoras</w:t>
      </w:r>
      <w:r w:rsidDel="00000000" w:rsidR="00000000" w:rsidRPr="00000000">
        <w:rPr>
          <w:highlight w:val="white"/>
          <w:rtl w:val="0"/>
        </w:rPr>
        <w:t xml:space="preserve">). </w:t>
      </w:r>
      <w:r w:rsidDel="00000000" w:rsidR="00000000" w:rsidRPr="00000000">
        <w:rPr>
          <w:b w:val="1"/>
          <w:highlight w:val="white"/>
          <w:rtl w:val="0"/>
        </w:rPr>
        <w:t xml:space="preserve">Geometria segundo a teoria de Van Hiele</w:t>
      </w:r>
      <w:r w:rsidDel="00000000" w:rsidR="00000000" w:rsidRPr="00000000">
        <w:rPr>
          <w:highlight w:val="white"/>
          <w:rtl w:val="0"/>
        </w:rPr>
        <w:t xml:space="preserve">. Instituto de matemática – UFRJ. Rio de Janeiro, Projeto Fundão, 1997.</w:t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VEER, René Van Der &amp; VALSINER, Jaan. </w:t>
      </w:r>
      <w:r w:rsidDel="00000000" w:rsidR="00000000" w:rsidRPr="00000000">
        <w:rPr>
          <w:b w:val="1"/>
          <w:highlight w:val="white"/>
          <w:rtl w:val="0"/>
        </w:rPr>
        <w:t xml:space="preserve">Vygotsky: uma síntese</w:t>
      </w:r>
      <w:r w:rsidDel="00000000" w:rsidR="00000000" w:rsidRPr="00000000">
        <w:rPr>
          <w:highlight w:val="white"/>
          <w:rtl w:val="0"/>
        </w:rPr>
        <w:t xml:space="preserve">. Trad. Cecília C. Bartolotti. São Paulo: Edições Loyola, 1996.</w:t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LAKOMY, Ana Maria. </w:t>
      </w:r>
      <w:r w:rsidDel="00000000" w:rsidR="00000000" w:rsidRPr="00000000">
        <w:rPr>
          <w:b w:val="1"/>
          <w:highlight w:val="white"/>
          <w:rtl w:val="0"/>
        </w:rPr>
        <w:t xml:space="preserve">Teorias cognitivas da aprendizagem</w:t>
      </w:r>
      <w:r w:rsidDel="00000000" w:rsidR="00000000" w:rsidRPr="00000000">
        <w:rPr>
          <w:highlight w:val="white"/>
          <w:rtl w:val="0"/>
        </w:rPr>
        <w:t xml:space="preserve">. 2. ed. Curitiba: </w:t>
      </w:r>
      <w:r w:rsidDel="00000000" w:rsidR="00000000" w:rsidRPr="00000000">
        <w:rPr>
          <w:i w:val="1"/>
          <w:highlight w:val="white"/>
          <w:rtl w:val="0"/>
        </w:rPr>
        <w:t xml:space="preserve">IBPEX</w:t>
      </w:r>
      <w:r w:rsidDel="00000000" w:rsidR="00000000" w:rsidRPr="00000000">
        <w:rPr>
          <w:highlight w:val="white"/>
          <w:rtl w:val="0"/>
        </w:rPr>
        <w:t xml:space="preserve">, 2018.</w:t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720"/>
        </w:tabs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VYGOTSKY, Lev Semenovich;</w:t>
      </w:r>
      <w:r w:rsidDel="00000000" w:rsidR="00000000" w:rsidRPr="00000000">
        <w:rPr>
          <w:b w:val="1"/>
          <w:highlight w:val="white"/>
          <w:rtl w:val="0"/>
        </w:rPr>
        <w:t xml:space="preserve"> Pensamento e Linguagem.</w:t>
      </w:r>
      <w:r w:rsidDel="00000000" w:rsidR="00000000" w:rsidRPr="00000000">
        <w:rPr>
          <w:highlight w:val="white"/>
          <w:rtl w:val="0"/>
        </w:rPr>
        <w:t xml:space="preserve"> 1 ed.  Editora: Ridendo Castigat Mores, 2001. </w:t>
      </w:r>
      <w:r w:rsidDel="00000000" w:rsidR="00000000" w:rsidRPr="00000000">
        <w:rPr>
          <w:i w:val="1"/>
          <w:highlight w:val="white"/>
          <w:rtl w:val="0"/>
        </w:rPr>
        <w:t xml:space="preserve">E-book.</w:t>
      </w:r>
      <w:r w:rsidDel="00000000" w:rsidR="00000000" w:rsidRPr="00000000">
        <w:rPr>
          <w:highlight w:val="white"/>
          <w:rtl w:val="0"/>
        </w:rPr>
        <w:t xml:space="preserve"> Disponível em: http://www.ebooksbrasil.org/adobeebook/vigo.pdf. Acessado em: 22 abr. 2019.</w:t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20"/>
        </w:tabs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720"/>
        </w:tabs>
        <w:spacing w:after="140" w:before="300" w:line="310.3448275862069" w:lineRule="auto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MINISTÉRIO DA JUSTIÇA.</w:t>
      </w:r>
      <w:r w:rsidDel="00000000" w:rsidR="00000000" w:rsidRPr="00000000">
        <w:rPr>
          <w:b w:val="1"/>
          <w:highlight w:val="white"/>
          <w:rtl w:val="0"/>
        </w:rPr>
        <w:t xml:space="preserve"> Classificação Indicativa, Informação e liberdade de escolha</w:t>
      </w:r>
      <w:r w:rsidDel="00000000" w:rsidR="00000000" w:rsidRPr="00000000">
        <w:rPr>
          <w:highlight w:val="white"/>
          <w:rtl w:val="0"/>
        </w:rPr>
        <w:t xml:space="preserve">. Brasília, 2009. Disponível em: https://www.justica.gov.br/seus-direitos/classificacao/cartilh_informacaoliberdadeescolha.pdf</w:t>
      </w:r>
      <w:hyperlink r:id="rId7">
        <w:r w:rsidDel="00000000" w:rsidR="00000000" w:rsidRPr="00000000">
          <w:rPr>
            <w:highlight w:val="white"/>
            <w:u w:val="single"/>
            <w:rtl w:val="0"/>
          </w:rPr>
          <w:t xml:space="preserve">/</w:t>
        </w:r>
      </w:hyperlink>
      <w:r w:rsidDel="00000000" w:rsidR="00000000" w:rsidRPr="00000000">
        <w:rPr>
          <w:highlight w:val="white"/>
          <w:rtl w:val="0"/>
        </w:rPr>
        <w:t xml:space="preserve">. Acesso em: mai. 2019.</w:t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BIDELMAN, Eric. </w:t>
      </w:r>
      <w:r w:rsidDel="00000000" w:rsidR="00000000" w:rsidRPr="00000000">
        <w:rPr>
          <w:b w:val="1"/>
          <w:highlight w:val="white"/>
          <w:rtl w:val="0"/>
        </w:rPr>
        <w:t xml:space="preserve">Função Arrastar e soltar nativa do HTML5. São Francisco, 2010. </w:t>
      </w:r>
      <w:r w:rsidDel="00000000" w:rsidR="00000000" w:rsidRPr="00000000">
        <w:rPr>
          <w:highlight w:val="white"/>
          <w:rtl w:val="0"/>
        </w:rPr>
        <w:t xml:space="preserve">Disponível em:  </w:t>
      </w:r>
      <w:r w:rsidDel="00000000" w:rsidR="00000000" w:rsidRPr="00000000">
        <w:rPr>
          <w:highlight w:val="white"/>
          <w:rtl w:val="0"/>
        </w:rPr>
        <w:t xml:space="preserve">https://www.html5rocks.com/pt/tutorials/dnd/basics/</w:t>
      </w:r>
      <w:r w:rsidDel="00000000" w:rsidR="00000000" w:rsidRPr="00000000">
        <w:rPr>
          <w:highlight w:val="white"/>
          <w:rtl w:val="0"/>
        </w:rPr>
        <w:t xml:space="preserve">. Acesso em: 20 abr. 2019.</w:t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RIPPER, Afira V. </w:t>
      </w:r>
      <w:r w:rsidDel="00000000" w:rsidR="00000000" w:rsidRPr="00000000">
        <w:rPr>
          <w:b w:val="1"/>
          <w:highlight w:val="white"/>
          <w:rtl w:val="0"/>
        </w:rPr>
        <w:t xml:space="preserve">Significação e mediação por signo e instrumento</w:t>
      </w:r>
      <w:r w:rsidDel="00000000" w:rsidR="00000000" w:rsidRPr="00000000">
        <w:rPr>
          <w:highlight w:val="white"/>
          <w:rtl w:val="0"/>
        </w:rPr>
        <w:t xml:space="preserve">. Temas em psicologia. Ribeirão Preto,  v.1, n.1, abr. 1993.   Disponível em: http://pepsic.bvsalud.org/scielo.php?script=sci_arttext&amp;pid=S1413-389X1993000100005&amp;lng=pt&amp;nrm=iso. Acesso em:  22  abr.  2019.</w:t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720"/>
        </w:tabs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SOUZA, Gilcênio Vieira. </w:t>
      </w:r>
      <w:r w:rsidDel="00000000" w:rsidR="00000000" w:rsidRPr="00000000">
        <w:rPr>
          <w:b w:val="1"/>
          <w:highlight w:val="white"/>
          <w:rtl w:val="0"/>
        </w:rPr>
        <w:t xml:space="preserve">Teoria Histórico-Cultural e aprendizagem contextualizada</w:t>
      </w:r>
      <w:r w:rsidDel="00000000" w:rsidR="00000000" w:rsidRPr="00000000">
        <w:rPr>
          <w:highlight w:val="white"/>
          <w:rtl w:val="0"/>
        </w:rPr>
        <w:t xml:space="preserve">. Rio Grande do Sul, 2011. Disponível em: h</w:t>
      </w:r>
      <w:r w:rsidDel="00000000" w:rsidR="00000000" w:rsidRPr="00000000">
        <w:rPr>
          <w:highlight w:val="white"/>
          <w:rtl w:val="0"/>
        </w:rPr>
        <w:t xml:space="preserve">ttps://www.ufrgs.br/psicoeduc/gilvieira/2011/02/02/teoria-historico-cultural-e-aprendizagem-contextualizada/</w:t>
      </w:r>
      <w:r w:rsidDel="00000000" w:rsidR="00000000" w:rsidRPr="00000000">
        <w:rPr>
          <w:highlight w:val="white"/>
          <w:rtl w:val="0"/>
        </w:rPr>
        <w:t xml:space="preserve">. Acesso em: 20  abr. 2019.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REVISTA EDUCAÇÃO PÚBLICA. </w:t>
      </w:r>
      <w:r w:rsidDel="00000000" w:rsidR="00000000" w:rsidRPr="00000000">
        <w:rPr>
          <w:b w:val="1"/>
          <w:highlight w:val="white"/>
          <w:rtl w:val="0"/>
        </w:rPr>
        <w:t xml:space="preserve">Aprendizagem mediada por signos e a construção de conceitos em uma perspectiva vigotskiana</w:t>
      </w:r>
      <w:r w:rsidDel="00000000" w:rsidR="00000000" w:rsidRPr="00000000">
        <w:rPr>
          <w:highlight w:val="white"/>
          <w:rtl w:val="0"/>
        </w:rPr>
        <w:t xml:space="preserve">. Rio de Janeiro, 2017. Disponível em: https://educacaopublica.cederj.edu.br/artigos/17/8/aprendizagem-mediada-por-signos-e-a-construo-de-conceitos-em-uma-perspectiva-vigotskiana. Acesso em: 20 abr. 2019.</w:t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720"/>
        </w:tabs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720"/>
        </w:tabs>
        <w:spacing w:after="140" w:before="300" w:line="310.3448275862069" w:lineRule="auto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720"/>
        </w:tabs>
        <w:spacing w:after="140" w:before="300" w:line="310.344827586206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418" w:top="1985" w:left="1701" w:right="1701" w:header="963.7795275590553" w:footer="680.3149606299213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tabs>
        <w:tab w:val="left" w:leader="none" w:pos="720"/>
      </w:tabs>
      <w:spacing w:before="240" w:line="240" w:lineRule="auto"/>
      <w:jc w:val="left"/>
      <w:rPr>
        <w:b w:val="1"/>
        <w:sz w:val="16"/>
        <w:szCs w:val="16"/>
        <w:vertAlign w:val="superscript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tabs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ufrgs.br/psicoeduc/gilvieira/2011/02/02/teoria-historico-cultural-e-aprendizagem-contextualizada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