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inancial-report-2025"/>
    <w:p>
      <w:pPr>
        <w:pStyle w:val="Heading1"/>
      </w:pPr>
      <w:r>
        <w:t xml:space="preserve">FINANCIAL REPORT 2025</w:t>
      </w:r>
    </w:p>
    <w:bookmarkStart w:id="9" w:name="transparent-financial-management"/>
    <w:p>
      <w:pPr>
        <w:pStyle w:val="Heading2"/>
      </w:pPr>
      <w:r>
        <w:t xml:space="preserve">Transparent financial management</w:t>
      </w:r>
    </w:p>
    <w:p>
      <w:pPr>
        <w:pStyle w:val="FirstParagraph"/>
      </w:pPr>
      <w:r>
        <w:t xml:space="preserve">An important core value of NGO Mama Alice is a transparent and responsible financial policy. The guidelines for the organisation’s financial administration and control are laid down in the Administration Handbook.</w:t>
      </w:r>
    </w:p>
    <w:p>
      <w:pPr>
        <w:pStyle w:val="BodyText"/>
      </w:pPr>
      <w:r>
        <w:t xml:space="preserve">NGO Mama Alice receives donations and project funding from national and international donors. As most donors and funding organisations are based outside Ayacucho, we consider it particularly important to provide clear information about how these funds are used.</w:t>
      </w:r>
    </w:p>
    <w:p>
      <w:pPr>
        <w:pStyle w:val="BodyText"/>
      </w:pPr>
      <w:r>
        <w:t xml:space="preserve">Since the establishment of Mama Alice Peru in 2005, we have built long-term relationships of trust with donors and partner organisations through transparent and professional financial management. As in previous years, the annual financial statements are reviewed by an independent accountant/auditor.</w:t>
      </w:r>
    </w:p>
    <w:p>
      <w:pPr>
        <w:pStyle w:val="BodyText"/>
      </w:pPr>
      <w:r>
        <w:t xml:space="preserve">Mama Alice is registered with APCI (Agencia Peruana de Cooperación Internacional), the Peruvian government agency responsible for monitoring international cooperation. The organisation also complies with its reporting obligations to SUNAT, the Peruvian tax authority.</w:t>
      </w:r>
    </w:p>
    <w:p>
      <w:pPr>
        <w:pStyle w:val="BodyText"/>
      </w:pPr>
      <w:r>
        <w:t xml:space="preserve">Expenditure is made within the framework of approved budgets and project agreements. Additional expenditure related to specifically funded projects is accounted for separately.</w:t>
      </w:r>
    </w:p>
    <w:p>
      <w:r>
        <w:pict>
          <v:rect style="width:0;height:1.5pt" o:hralign="center" o:hrstd="t" o:hr="t"/>
        </w:pict>
      </w:r>
    </w:p>
    <w:bookmarkEnd w:id="9"/>
    <w:bookmarkEnd w:id="10"/>
    <w:bookmarkStart w:id="12" w:name="budget-2025"/>
    <w:p>
      <w:pPr>
        <w:pStyle w:val="Heading1"/>
      </w:pPr>
      <w:r>
        <w:t xml:space="preserve">BUDGET 2025</w:t>
      </w:r>
    </w:p>
    <w:p>
      <w:pPr>
        <w:pStyle w:val="FirstParagraph"/>
      </w:pPr>
      <w:r>
        <w:t xml:space="preserve">The financial year of NGO Mama Alice follows the calendar year. The regular annual budget is prepared in advance and covers the organisation’s core programmes and operating costs.</w:t>
      </w:r>
    </w:p>
    <w:p>
      <w:pPr>
        <w:pStyle w:val="BodyText"/>
      </w:pPr>
      <w:r>
        <w:t xml:space="preserve">The approved regular budget for 2025 was: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Programmes</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Pre-primary education</w:t>
            </w:r>
          </w:p>
        </w:tc>
        <w:tc>
          <w:tcPr/>
          <w:p>
            <w:pPr>
              <w:pStyle w:val="Compact"/>
              <w:jc w:val="right"/>
            </w:pPr>
            <w:r>
              <w:t xml:space="preserve">S/ 55,606.56</w:t>
            </w:r>
          </w:p>
        </w:tc>
        <w:tc>
          <w:tcPr/>
          <w:p>
            <w:pPr>
              <w:pStyle w:val="Compact"/>
              <w:jc w:val="right"/>
            </w:pPr>
            <w:r>
              <w:t xml:space="preserve">€ 14,828.42</w:t>
            </w:r>
          </w:p>
        </w:tc>
      </w:tr>
      <w:tr>
        <w:tc>
          <w:tcPr/>
          <w:p>
            <w:pPr>
              <w:pStyle w:val="Compact"/>
            </w:pPr>
            <w:r>
              <w:t xml:space="preserve">Primary education</w:t>
            </w:r>
          </w:p>
        </w:tc>
        <w:tc>
          <w:tcPr/>
          <w:p>
            <w:pPr>
              <w:pStyle w:val="Compact"/>
              <w:jc w:val="right"/>
            </w:pPr>
            <w:r>
              <w:t xml:space="preserve">S/ 239,135.21</w:t>
            </w:r>
          </w:p>
        </w:tc>
        <w:tc>
          <w:tcPr/>
          <w:p>
            <w:pPr>
              <w:pStyle w:val="Compact"/>
              <w:jc w:val="right"/>
            </w:pPr>
            <w:r>
              <w:t xml:space="preserve">€ 63,769.39</w:t>
            </w:r>
          </w:p>
        </w:tc>
      </w:tr>
      <w:tr>
        <w:tc>
          <w:tcPr/>
          <w:p>
            <w:pPr>
              <w:pStyle w:val="Compact"/>
            </w:pPr>
            <w:r>
              <w:t xml:space="preserve">Individual education</w:t>
            </w:r>
          </w:p>
        </w:tc>
        <w:tc>
          <w:tcPr/>
          <w:p>
            <w:pPr>
              <w:pStyle w:val="Compact"/>
              <w:jc w:val="right"/>
            </w:pPr>
            <w:r>
              <w:t xml:space="preserve">S/ 60,931.80</w:t>
            </w:r>
          </w:p>
        </w:tc>
        <w:tc>
          <w:tcPr/>
          <w:p>
            <w:pPr>
              <w:pStyle w:val="Compact"/>
              <w:jc w:val="right"/>
            </w:pPr>
            <w:r>
              <w:t xml:space="preserve">€ 16,248.48</w:t>
            </w:r>
          </w:p>
        </w:tc>
      </w:tr>
      <w:tr>
        <w:tc>
          <w:tcPr/>
          <w:p>
            <w:pPr>
              <w:pStyle w:val="Compact"/>
            </w:pPr>
            <w:r>
              <w:t xml:space="preserve">Individual psychosocial work with children</w:t>
            </w:r>
          </w:p>
        </w:tc>
        <w:tc>
          <w:tcPr/>
          <w:p>
            <w:pPr>
              <w:pStyle w:val="Compact"/>
              <w:jc w:val="right"/>
            </w:pPr>
            <w:r>
              <w:t xml:space="preserve">S/ 68,212.60</w:t>
            </w:r>
          </w:p>
        </w:tc>
        <w:tc>
          <w:tcPr/>
          <w:p>
            <w:pPr>
              <w:pStyle w:val="Compact"/>
              <w:jc w:val="right"/>
            </w:pPr>
            <w:r>
              <w:t xml:space="preserve">€ 18,190.03</w:t>
            </w:r>
          </w:p>
        </w:tc>
      </w:tr>
      <w:tr>
        <w:tc>
          <w:tcPr/>
          <w:p>
            <w:pPr>
              <w:pStyle w:val="Compact"/>
            </w:pPr>
            <w:r>
              <w:t xml:space="preserve">Prevention and direct treatment</w:t>
            </w:r>
          </w:p>
        </w:tc>
        <w:tc>
          <w:tcPr/>
          <w:p>
            <w:pPr>
              <w:pStyle w:val="Compact"/>
              <w:jc w:val="right"/>
            </w:pPr>
            <w:r>
              <w:t xml:space="preserve">S/ 84,829.18</w:t>
            </w:r>
          </w:p>
        </w:tc>
        <w:tc>
          <w:tcPr/>
          <w:p>
            <w:pPr>
              <w:pStyle w:val="Compact"/>
              <w:jc w:val="right"/>
            </w:pPr>
            <w:r>
              <w:t xml:space="preserve">€ 22,621.12</w:t>
            </w:r>
          </w:p>
        </w:tc>
      </w:tr>
      <w:tr>
        <w:tc>
          <w:tcPr/>
          <w:p>
            <w:pPr>
              <w:pStyle w:val="Compact"/>
            </w:pPr>
            <w:r>
              <w:t xml:space="preserve">Work with families</w:t>
            </w:r>
          </w:p>
        </w:tc>
        <w:tc>
          <w:tcPr/>
          <w:p>
            <w:pPr>
              <w:pStyle w:val="Compact"/>
              <w:jc w:val="right"/>
            </w:pPr>
            <w:r>
              <w:t xml:space="preserve">S/ 59,938.77</w:t>
            </w:r>
          </w:p>
        </w:tc>
        <w:tc>
          <w:tcPr/>
          <w:p>
            <w:pPr>
              <w:pStyle w:val="Compact"/>
              <w:jc w:val="right"/>
            </w:pPr>
            <w:r>
              <w:t xml:space="preserve">€ 15,983.67</w:t>
            </w:r>
          </w:p>
        </w:tc>
      </w:tr>
      <w:tr>
        <w:tc>
          <w:tcPr/>
          <w:p>
            <w:pPr>
              <w:pStyle w:val="Compact"/>
            </w:pPr>
            <w:r>
              <w:rPr>
                <w:b/>
                <w:bCs/>
              </w:rPr>
              <w:t xml:space="preserve">Subtotal core programmes</w:t>
            </w:r>
          </w:p>
        </w:tc>
        <w:tc>
          <w:tcPr/>
          <w:p>
            <w:pPr>
              <w:pStyle w:val="Compact"/>
              <w:jc w:val="right"/>
            </w:pPr>
            <w:r>
              <w:rPr>
                <w:b/>
                <w:bCs/>
              </w:rPr>
              <w:t xml:space="preserve">S/ 568,654.13</w:t>
            </w:r>
          </w:p>
        </w:tc>
        <w:tc>
          <w:tcPr/>
          <w:p>
            <w:pPr>
              <w:pStyle w:val="Compact"/>
              <w:jc w:val="right"/>
            </w:pPr>
            <w:r>
              <w:rPr>
                <w:b/>
                <w:bCs/>
              </w:rPr>
              <w:t xml:space="preserve">€ 151,641.10</w:t>
            </w:r>
          </w:p>
        </w:tc>
      </w:tr>
      <w:tr>
        <w:tc>
          <w:tcPr/>
          <w:p>
            <w:pPr>
              <w:pStyle w:val="Compact"/>
            </w:pPr>
            <w:r>
              <w:t xml:space="preserve">Vocational training – waiter/bartender/cook</w:t>
            </w:r>
          </w:p>
        </w:tc>
        <w:tc>
          <w:tcPr/>
          <w:p>
            <w:pPr>
              <w:pStyle w:val="Compact"/>
              <w:jc w:val="right"/>
            </w:pPr>
            <w:r>
              <w:t xml:space="preserve">S/ 162,992.00</w:t>
            </w:r>
          </w:p>
        </w:tc>
        <w:tc>
          <w:tcPr/>
          <w:p>
            <w:pPr>
              <w:pStyle w:val="Compact"/>
              <w:jc w:val="right"/>
            </w:pPr>
            <w:r>
              <w:t xml:space="preserve">€ 44,052.00</w:t>
            </w:r>
          </w:p>
        </w:tc>
      </w:tr>
      <w:tr>
        <w:tc>
          <w:tcPr/>
          <w:p>
            <w:pPr>
              <w:pStyle w:val="Compact"/>
            </w:pPr>
            <w:r>
              <w:rPr>
                <w:b/>
                <w:bCs/>
              </w:rPr>
              <w:t xml:space="preserve">Subtotal vocational training</w:t>
            </w:r>
          </w:p>
        </w:tc>
        <w:tc>
          <w:tcPr/>
          <w:p>
            <w:pPr>
              <w:pStyle w:val="Compact"/>
              <w:jc w:val="right"/>
            </w:pPr>
            <w:r>
              <w:rPr>
                <w:b/>
                <w:bCs/>
              </w:rPr>
              <w:t xml:space="preserve">S/ 162,992.00</w:t>
            </w:r>
          </w:p>
        </w:tc>
        <w:tc>
          <w:tcPr/>
          <w:p>
            <w:pPr>
              <w:pStyle w:val="Compact"/>
              <w:jc w:val="right"/>
            </w:pPr>
            <w:r>
              <w:rPr>
                <w:b/>
                <w:bCs/>
              </w:rPr>
              <w:t xml:space="preserve">€ 44,052.00</w:t>
            </w:r>
          </w:p>
        </w:tc>
      </w:tr>
      <w:tr>
        <w:tc>
          <w:tcPr/>
          <w:p>
            <w:pPr>
              <w:pStyle w:val="Compact"/>
            </w:pPr>
            <w:r>
              <w:t xml:space="preserve">Administration costs</w:t>
            </w:r>
          </w:p>
        </w:tc>
        <w:tc>
          <w:tcPr/>
          <w:p>
            <w:pPr>
              <w:pStyle w:val="Compact"/>
              <w:jc w:val="right"/>
            </w:pPr>
            <w:r>
              <w:t xml:space="preserve">S/ 70,097.50</w:t>
            </w:r>
          </w:p>
        </w:tc>
        <w:tc>
          <w:tcPr/>
          <w:p>
            <w:pPr>
              <w:pStyle w:val="Compact"/>
              <w:jc w:val="right"/>
            </w:pPr>
            <w:r>
              <w:t xml:space="preserve">€ 18,692.62</w:t>
            </w:r>
          </w:p>
        </w:tc>
      </w:tr>
      <w:tr>
        <w:tc>
          <w:tcPr/>
          <w:p>
            <w:pPr>
              <w:pStyle w:val="Compact"/>
            </w:pPr>
            <w:r>
              <w:t xml:space="preserve">HTC maintenance</w:t>
            </w:r>
          </w:p>
        </w:tc>
        <w:tc>
          <w:tcPr/>
          <w:p>
            <w:pPr>
              <w:pStyle w:val="Compact"/>
              <w:jc w:val="right"/>
            </w:pPr>
            <w:r>
              <w:t xml:space="preserve">S/ 2,000.00</w:t>
            </w:r>
          </w:p>
        </w:tc>
        <w:tc>
          <w:tcPr/>
          <w:p>
            <w:pPr>
              <w:pStyle w:val="Compact"/>
              <w:jc w:val="right"/>
            </w:pPr>
            <w:r>
              <w:t xml:space="preserve">€ 533.33</w:t>
            </w:r>
          </w:p>
        </w:tc>
      </w:tr>
      <w:tr>
        <w:tc>
          <w:tcPr/>
          <w:p>
            <w:pPr>
              <w:pStyle w:val="Compact"/>
            </w:pPr>
            <w:r>
              <w:t xml:space="preserve">Annual property tax (Autovalúo)</w:t>
            </w:r>
          </w:p>
        </w:tc>
        <w:tc>
          <w:tcPr/>
          <w:p>
            <w:pPr>
              <w:pStyle w:val="Compact"/>
              <w:jc w:val="right"/>
            </w:pPr>
            <w:r>
              <w:t xml:space="preserve">S/ 3,600.00</w:t>
            </w:r>
          </w:p>
        </w:tc>
        <w:tc>
          <w:tcPr/>
          <w:p>
            <w:pPr>
              <w:pStyle w:val="Compact"/>
              <w:jc w:val="right"/>
            </w:pPr>
            <w:r>
              <w:t xml:space="preserve">€ 960.00</w:t>
            </w:r>
          </w:p>
        </w:tc>
      </w:tr>
      <w:tr>
        <w:tc>
          <w:tcPr/>
          <w:p>
            <w:pPr>
              <w:pStyle w:val="Compact"/>
            </w:pPr>
            <w:r>
              <w:rPr>
                <w:b/>
                <w:bCs/>
              </w:rPr>
              <w:t xml:space="preserve">Subtotal extra costs</w:t>
            </w:r>
          </w:p>
        </w:tc>
        <w:tc>
          <w:tcPr/>
          <w:p>
            <w:pPr>
              <w:pStyle w:val="Compact"/>
              <w:jc w:val="right"/>
            </w:pPr>
            <w:r>
              <w:rPr>
                <w:b/>
                <w:bCs/>
              </w:rPr>
              <w:t xml:space="preserve">S/ 75,697.50</w:t>
            </w:r>
          </w:p>
        </w:tc>
        <w:tc>
          <w:tcPr/>
          <w:p>
            <w:pPr>
              <w:pStyle w:val="Compact"/>
              <w:jc w:val="right"/>
            </w:pPr>
            <w:r>
              <w:rPr>
                <w:b/>
                <w:bCs/>
              </w:rPr>
              <w:t xml:space="preserve">€ 20,186.00</w:t>
            </w:r>
          </w:p>
        </w:tc>
      </w:tr>
      <w:tr>
        <w:tc>
          <w:tcPr/>
          <w:p>
            <w:pPr>
              <w:pStyle w:val="Compact"/>
            </w:pPr>
            <w:r>
              <w:rPr>
                <w:b/>
                <w:bCs/>
              </w:rPr>
              <w:t xml:space="preserve">TOTAL REGULAR BUDGET 2025</w:t>
            </w:r>
          </w:p>
        </w:tc>
        <w:tc>
          <w:tcPr/>
          <w:p>
            <w:pPr>
              <w:pStyle w:val="Compact"/>
              <w:jc w:val="right"/>
            </w:pPr>
            <w:r>
              <w:rPr>
                <w:b/>
                <w:bCs/>
              </w:rPr>
              <w:t xml:space="preserve">S/ 807,343.63</w:t>
            </w:r>
          </w:p>
        </w:tc>
        <w:tc>
          <w:tcPr/>
          <w:p>
            <w:pPr>
              <w:pStyle w:val="Compact"/>
              <w:jc w:val="right"/>
            </w:pPr>
            <w:r>
              <w:rPr>
                <w:b/>
                <w:bCs/>
              </w:rPr>
              <w:t xml:space="preserve">€ 215,879.10</w:t>
            </w:r>
          </w:p>
        </w:tc>
      </w:tr>
    </w:tbl>
    <w:bookmarkStart w:id="11" w:name="important-note-on-the-2025-budget"/>
    <w:p>
      <w:pPr>
        <w:pStyle w:val="Heading3"/>
      </w:pPr>
      <w:r>
        <w:t xml:space="preserve">Important note on the 2025 budget</w:t>
      </w:r>
    </w:p>
    <w:p>
      <w:pPr>
        <w:pStyle w:val="FirstParagraph"/>
      </w:pPr>
      <w:r>
        <w:t xml:space="preserve">The regular 2025 budget did</w:t>
      </w:r>
      <w:r>
        <w:t xml:space="preserve"> </w:t>
      </w:r>
      <w:r>
        <w:rPr>
          <w:b/>
          <w:bCs/>
        </w:rPr>
        <w:t xml:space="preserve">not</w:t>
      </w:r>
      <w:r>
        <w:t xml:space="preserve"> </w:t>
      </w:r>
      <w:r>
        <w:t xml:space="preserve">include the construction project for the accommodation facilities at the Hospitality Training Centre, including rooms for vocational training students and hotel accommodation.</w:t>
      </w:r>
    </w:p>
    <w:p>
      <w:pPr>
        <w:pStyle w:val="BodyText"/>
      </w:pPr>
      <w:r>
        <w:t xml:space="preserve">These investments were financed as separate projects with specifically designated funding. They should therefore not be interpreted as an overspend against the regular 2025 operational budget.</w:t>
      </w:r>
    </w:p>
    <w:p>
      <w:pPr>
        <w:pStyle w:val="BodyText"/>
      </w:pPr>
      <w:r>
        <w:t xml:space="preserve">This distinction is particularly important when comparing the original annual budget with the total income and expenditure reported in the 2025 financial statements.</w:t>
      </w:r>
    </w:p>
    <w:p>
      <w:r>
        <w:pict>
          <v:rect style="width:0;height:1.5pt" o:hralign="center" o:hrstd="t" o:hr="t"/>
        </w:pict>
      </w:r>
    </w:p>
    <w:bookmarkEnd w:id="11"/>
    <w:bookmarkEnd w:id="12"/>
    <w:bookmarkStart w:id="14" w:name="balance-sheet-2025"/>
    <w:p>
      <w:pPr>
        <w:pStyle w:val="Heading1"/>
      </w:pPr>
      <w:r>
        <w:t xml:space="preserve">BALANCE SHEET 2025</w:t>
      </w:r>
    </w:p>
    <w:p>
      <w:pPr>
        <w:pStyle w:val="FirstParagraph"/>
      </w:pPr>
      <w:r>
        <w:t xml:space="preserve">The balance sheet provides an overview of the assets, equity and liabilities of NGO Mama Alice as of 31 December 2025, compared with 31 December 2024.</w:t>
      </w:r>
    </w:p>
    <w:bookmarkStart w:id="13" w:name="assets"/>
    <w:p>
      <w:pPr>
        <w:pStyle w:val="Heading2"/>
      </w:pPr>
      <w:r>
        <w:t xml:space="preserve">Assets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Description</w:t>
            </w:r>
          </w:p>
        </w:tc>
        <w:tc>
          <w:tcPr/>
          <w:p>
            <w:pPr>
              <w:pStyle w:val="Compact"/>
              <w:jc w:val="right"/>
            </w:pPr>
            <w:r>
              <w:t xml:space="preserve">31/12/2025 Soles</w:t>
            </w:r>
          </w:p>
        </w:tc>
        <w:tc>
          <w:tcPr/>
          <w:p>
            <w:pPr>
              <w:pStyle w:val="Compact"/>
              <w:jc w:val="right"/>
            </w:pPr>
            <w:r>
              <w:t xml:space="preserve">31/12/2025 Euros</w:t>
            </w:r>
          </w:p>
        </w:tc>
        <w:tc>
          <w:tcPr/>
          <w:p>
            <w:pPr>
              <w:pStyle w:val="Compact"/>
              <w:jc w:val="right"/>
            </w:pPr>
            <w:r>
              <w:t xml:space="preserve">31/12/2024 Soles</w:t>
            </w:r>
          </w:p>
        </w:tc>
        <w:tc>
          <w:tcPr/>
          <w:p>
            <w:pPr>
              <w:pStyle w:val="Compact"/>
              <w:jc w:val="right"/>
            </w:pPr>
            <w:r>
              <w:t xml:space="preserve">31/12/2024 Euros</w:t>
            </w:r>
          </w:p>
        </w:tc>
      </w:tr>
      <w:tr>
        <w:tc>
          <w:tcPr/>
          <w:p>
            <w:pPr>
              <w:pStyle w:val="Compact"/>
            </w:pPr>
            <w:r>
              <w:rPr>
                <w:b/>
                <w:bCs/>
              </w:rPr>
              <w:t xml:space="preserve">Current assets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Bank account NGO Mama Alice</w:t>
            </w:r>
          </w:p>
        </w:tc>
        <w:tc>
          <w:tcPr/>
          <w:p>
            <w:pPr>
              <w:pStyle w:val="Compact"/>
              <w:jc w:val="right"/>
            </w:pPr>
            <w:r>
              <w:t xml:space="preserve">S/ 349,995.11</w:t>
            </w:r>
          </w:p>
        </w:tc>
        <w:tc>
          <w:tcPr/>
          <w:p>
            <w:pPr>
              <w:pStyle w:val="Compact"/>
              <w:jc w:val="right"/>
            </w:pPr>
            <w:r>
              <w:t xml:space="preserve">€ 95,107.37</w:t>
            </w:r>
          </w:p>
        </w:tc>
        <w:tc>
          <w:tcPr/>
          <w:p>
            <w:pPr>
              <w:pStyle w:val="Compact"/>
              <w:jc w:val="right"/>
            </w:pPr>
            <w:r>
              <w:t xml:space="preserve">S/ 241,334.14</w:t>
            </w:r>
          </w:p>
        </w:tc>
        <w:tc>
          <w:tcPr/>
          <w:p>
            <w:pPr>
              <w:pStyle w:val="Compact"/>
              <w:jc w:val="right"/>
            </w:pPr>
            <w:r>
              <w:t xml:space="preserve">€ 62,360.24</w:t>
            </w:r>
          </w:p>
        </w:tc>
      </w:tr>
      <w:tr>
        <w:tc>
          <w:tcPr/>
          <w:p>
            <w:pPr>
              <w:pStyle w:val="Compact"/>
            </w:pPr>
            <w:r>
              <w:t xml:space="preserve">Prepaid expense / deposit</w:t>
            </w:r>
          </w:p>
        </w:tc>
        <w:tc>
          <w:tcPr/>
          <w:p>
            <w:pPr>
              <w:pStyle w:val="Compact"/>
              <w:jc w:val="right"/>
            </w:pPr>
            <w:r>
              <w:t xml:space="preserve">S/ 1,000.00</w:t>
            </w:r>
          </w:p>
        </w:tc>
        <w:tc>
          <w:tcPr/>
          <w:p>
            <w:pPr>
              <w:pStyle w:val="Compact"/>
              <w:jc w:val="right"/>
            </w:pPr>
            <w:r>
              <w:t xml:space="preserve">€ 271.74</w:t>
            </w:r>
          </w:p>
        </w:tc>
        <w:tc>
          <w:tcPr/>
          <w:p>
            <w:pPr>
              <w:pStyle w:val="Compact"/>
              <w:jc w:val="right"/>
            </w:pPr>
            <w:r>
              <w:t xml:space="preserve">S/ 1,000.00</w:t>
            </w:r>
          </w:p>
        </w:tc>
        <w:tc>
          <w:tcPr/>
          <w:p>
            <w:pPr>
              <w:pStyle w:val="Compact"/>
              <w:jc w:val="right"/>
            </w:pPr>
            <w:r>
              <w:t xml:space="preserve">€ 258.40</w:t>
            </w:r>
          </w:p>
        </w:tc>
      </w:tr>
      <w:tr>
        <w:tc>
          <w:tcPr/>
          <w:p>
            <w:pPr>
              <w:pStyle w:val="Compact"/>
            </w:pPr>
            <w:r>
              <w:rPr>
                <w:b/>
                <w:bCs/>
              </w:rPr>
              <w:t xml:space="preserve">Total current assets</w:t>
            </w:r>
          </w:p>
        </w:tc>
        <w:tc>
          <w:tcPr/>
          <w:p>
            <w:pPr>
              <w:pStyle w:val="Compact"/>
              <w:jc w:val="right"/>
            </w:pPr>
            <w:r>
              <w:rPr>
                <w:b/>
                <w:bCs/>
              </w:rPr>
              <w:t xml:space="preserve">S/ 350,995.11</w:t>
            </w:r>
          </w:p>
        </w:tc>
        <w:tc>
          <w:tcPr/>
          <w:p>
            <w:pPr>
              <w:pStyle w:val="Compact"/>
              <w:jc w:val="right"/>
            </w:pPr>
            <w:r>
              <w:rPr>
                <w:b/>
                <w:bCs/>
              </w:rPr>
              <w:t xml:space="preserve">€ 95,379.11</w:t>
            </w:r>
          </w:p>
        </w:tc>
        <w:tc>
          <w:tcPr/>
          <w:p>
            <w:pPr>
              <w:pStyle w:val="Compact"/>
              <w:jc w:val="right"/>
            </w:pPr>
            <w:r>
              <w:rPr>
                <w:b/>
                <w:bCs/>
              </w:rPr>
              <w:t xml:space="preserve">S/ 242,334.14</w:t>
            </w:r>
          </w:p>
        </w:tc>
        <w:tc>
          <w:tcPr/>
          <w:p>
            <w:pPr>
              <w:pStyle w:val="Compact"/>
              <w:jc w:val="right"/>
            </w:pPr>
            <w:r>
              <w:rPr>
                <w:b/>
                <w:bCs/>
              </w:rPr>
              <w:t xml:space="preserve">€ 62,618.64</w:t>
            </w:r>
          </w:p>
        </w:tc>
      </w:tr>
      <w:tr>
        <w:tc>
          <w:tcPr/>
          <w:p>
            <w:pPr>
              <w:pStyle w:val="Compact"/>
            </w:pPr>
            <w:r>
              <w:rPr>
                <w:b/>
                <w:bCs/>
              </w:rPr>
              <w:t xml:space="preserve">Long-term assets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Machines</w:t>
            </w:r>
          </w:p>
        </w:tc>
        <w:tc>
          <w:tcPr/>
          <w:p>
            <w:pPr>
              <w:pStyle w:val="Compact"/>
              <w:jc w:val="right"/>
            </w:pPr>
            <w:r>
              <w:t xml:space="preserve">S/ 19.00</w:t>
            </w:r>
          </w:p>
        </w:tc>
        <w:tc>
          <w:tcPr/>
          <w:p>
            <w:pPr>
              <w:pStyle w:val="Compact"/>
              <w:jc w:val="right"/>
            </w:pPr>
            <w:r>
              <w:t xml:space="preserve">€ 5.16</w:t>
            </w:r>
          </w:p>
        </w:tc>
        <w:tc>
          <w:tcPr/>
          <w:p>
            <w:pPr>
              <w:pStyle w:val="Compact"/>
              <w:jc w:val="right"/>
            </w:pPr>
            <w:r>
              <w:t xml:space="preserve">S/ 19.00</w:t>
            </w:r>
          </w:p>
        </w:tc>
        <w:tc>
          <w:tcPr/>
          <w:p>
            <w:pPr>
              <w:pStyle w:val="Compact"/>
              <w:jc w:val="right"/>
            </w:pPr>
            <w:r>
              <w:t xml:space="preserve">€ 4.91</w:t>
            </w:r>
          </w:p>
        </w:tc>
      </w:tr>
      <w:tr>
        <w:tc>
          <w:tcPr/>
          <w:p>
            <w:pPr>
              <w:pStyle w:val="Compact"/>
            </w:pPr>
            <w:r>
              <w:t xml:space="preserve">Vehicle 4x4</w:t>
            </w:r>
          </w:p>
        </w:tc>
        <w:tc>
          <w:tcPr/>
          <w:p>
            <w:pPr>
              <w:pStyle w:val="Compact"/>
              <w:jc w:val="right"/>
            </w:pPr>
            <w:r>
              <w:t xml:space="preserve">S/ 1.00</w:t>
            </w:r>
          </w:p>
        </w:tc>
        <w:tc>
          <w:tcPr/>
          <w:p>
            <w:pPr>
              <w:pStyle w:val="Compact"/>
              <w:jc w:val="right"/>
            </w:pPr>
            <w:r>
              <w:t xml:space="preserve">€ 0.27</w:t>
            </w:r>
          </w:p>
        </w:tc>
        <w:tc>
          <w:tcPr/>
          <w:p>
            <w:pPr>
              <w:pStyle w:val="Compact"/>
              <w:jc w:val="right"/>
            </w:pPr>
            <w:r>
              <w:t xml:space="preserve">S/ 1.00</w:t>
            </w:r>
          </w:p>
        </w:tc>
        <w:tc>
          <w:tcPr/>
          <w:p>
            <w:pPr>
              <w:pStyle w:val="Compact"/>
              <w:jc w:val="right"/>
            </w:pPr>
            <w:r>
              <w:t xml:space="preserve">€ 0.26</w:t>
            </w:r>
          </w:p>
        </w:tc>
      </w:tr>
      <w:tr>
        <w:tc>
          <w:tcPr/>
          <w:p>
            <w:pPr>
              <w:pStyle w:val="Compact"/>
            </w:pPr>
            <w:r>
              <w:t xml:space="preserve">Furniture</w:t>
            </w:r>
          </w:p>
        </w:tc>
        <w:tc>
          <w:tcPr/>
          <w:p>
            <w:pPr>
              <w:pStyle w:val="Compact"/>
              <w:jc w:val="right"/>
            </w:pPr>
            <w:r>
              <w:t xml:space="preserve">S/ 52,512.15</w:t>
            </w:r>
          </w:p>
        </w:tc>
        <w:tc>
          <w:tcPr/>
          <w:p>
            <w:pPr>
              <w:pStyle w:val="Compact"/>
              <w:jc w:val="right"/>
            </w:pPr>
            <w:r>
              <w:t xml:space="preserve">€ 14,269.61</w:t>
            </w:r>
          </w:p>
        </w:tc>
        <w:tc>
          <w:tcPr/>
          <w:p>
            <w:pPr>
              <w:pStyle w:val="Compact"/>
              <w:jc w:val="right"/>
            </w:pPr>
            <w:r>
              <w:t xml:space="preserve">S/ 58,128.59</w:t>
            </w:r>
          </w:p>
        </w:tc>
        <w:tc>
          <w:tcPr/>
          <w:p>
            <w:pPr>
              <w:pStyle w:val="Compact"/>
              <w:jc w:val="right"/>
            </w:pPr>
            <w:r>
              <w:t xml:space="preserve">€ 15,020.31</w:t>
            </w:r>
          </w:p>
        </w:tc>
      </w:tr>
      <w:tr>
        <w:tc>
          <w:tcPr/>
          <w:p>
            <w:pPr>
              <w:pStyle w:val="Compact"/>
            </w:pPr>
            <w:r>
              <w:t xml:space="preserve">IT equipment</w:t>
            </w:r>
          </w:p>
        </w:tc>
        <w:tc>
          <w:tcPr/>
          <w:p>
            <w:pPr>
              <w:pStyle w:val="Compact"/>
              <w:jc w:val="right"/>
            </w:pPr>
            <w:r>
              <w:t xml:space="preserve">S/ 17,624.50</w:t>
            </w:r>
          </w:p>
        </w:tc>
        <w:tc>
          <w:tcPr/>
          <w:p>
            <w:pPr>
              <w:pStyle w:val="Compact"/>
              <w:jc w:val="right"/>
            </w:pPr>
            <w:r>
              <w:t xml:space="preserve">€ 4,789.27</w:t>
            </w:r>
          </w:p>
        </w:tc>
        <w:tc>
          <w:tcPr/>
          <w:p>
            <w:pPr>
              <w:pStyle w:val="Compact"/>
              <w:jc w:val="right"/>
            </w:pPr>
            <w:r>
              <w:t xml:space="preserve">S/ 25,258.82</w:t>
            </w:r>
          </w:p>
        </w:tc>
        <w:tc>
          <w:tcPr/>
          <w:p>
            <w:pPr>
              <w:pStyle w:val="Compact"/>
              <w:jc w:val="right"/>
            </w:pPr>
            <w:r>
              <w:t xml:space="preserve">€ 6,526.83</w:t>
            </w:r>
          </w:p>
        </w:tc>
      </w:tr>
      <w:tr>
        <w:tc>
          <w:tcPr/>
          <w:p>
            <w:pPr>
              <w:pStyle w:val="Compact"/>
            </w:pPr>
            <w:r>
              <w:t xml:space="preserve">HTC terrain</w:t>
            </w:r>
          </w:p>
        </w:tc>
        <w:tc>
          <w:tcPr/>
          <w:p>
            <w:pPr>
              <w:pStyle w:val="Compact"/>
              <w:jc w:val="right"/>
            </w:pPr>
            <w:r>
              <w:t xml:space="preserve">S/ 290,000.00</w:t>
            </w:r>
          </w:p>
        </w:tc>
        <w:tc>
          <w:tcPr/>
          <w:p>
            <w:pPr>
              <w:pStyle w:val="Compact"/>
              <w:jc w:val="right"/>
            </w:pPr>
            <w:r>
              <w:t xml:space="preserve">€ 78,804.35</w:t>
            </w:r>
          </w:p>
        </w:tc>
        <w:tc>
          <w:tcPr/>
          <w:p>
            <w:pPr>
              <w:pStyle w:val="Compact"/>
              <w:jc w:val="right"/>
            </w:pPr>
            <w:r>
              <w:t xml:space="preserve">S/ 290,000.00</w:t>
            </w:r>
          </w:p>
        </w:tc>
        <w:tc>
          <w:tcPr/>
          <w:p>
            <w:pPr>
              <w:pStyle w:val="Compact"/>
              <w:jc w:val="right"/>
            </w:pPr>
            <w:r>
              <w:t xml:space="preserve">€ 74,935.40</w:t>
            </w:r>
          </w:p>
        </w:tc>
      </w:tr>
      <w:tr>
        <w:tc>
          <w:tcPr/>
          <w:p>
            <w:pPr>
              <w:pStyle w:val="Compact"/>
            </w:pPr>
            <w:r>
              <w:t xml:space="preserve">HTC building</w:t>
            </w:r>
          </w:p>
        </w:tc>
        <w:tc>
          <w:tcPr/>
          <w:p>
            <w:pPr>
              <w:pStyle w:val="Compact"/>
              <w:jc w:val="right"/>
            </w:pPr>
            <w:r>
              <w:t xml:space="preserve">S/ 931,133.71</w:t>
            </w:r>
          </w:p>
        </w:tc>
        <w:tc>
          <w:tcPr/>
          <w:p>
            <w:pPr>
              <w:pStyle w:val="Compact"/>
              <w:jc w:val="right"/>
            </w:pPr>
            <w:r>
              <w:t xml:space="preserve">€ 253,025.46</w:t>
            </w:r>
          </w:p>
        </w:tc>
        <w:tc>
          <w:tcPr/>
          <w:p>
            <w:pPr>
              <w:pStyle w:val="Compact"/>
              <w:jc w:val="right"/>
            </w:pPr>
            <w:r>
              <w:t xml:space="preserve">S/ 985,494.93</w:t>
            </w:r>
          </w:p>
        </w:tc>
        <w:tc>
          <w:tcPr/>
          <w:p>
            <w:pPr>
              <w:pStyle w:val="Compact"/>
              <w:jc w:val="right"/>
            </w:pPr>
            <w:r>
              <w:t xml:space="preserve">€ 254,649.85</w:t>
            </w:r>
          </w:p>
        </w:tc>
      </w:tr>
      <w:tr>
        <w:tc>
          <w:tcPr/>
          <w:p>
            <w:pPr>
              <w:pStyle w:val="Compact"/>
            </w:pPr>
            <w:r>
              <w:t xml:space="preserve">Natural-grass football pitch</w:t>
            </w:r>
          </w:p>
        </w:tc>
        <w:tc>
          <w:tcPr/>
          <w:p>
            <w:pPr>
              <w:pStyle w:val="Compact"/>
              <w:jc w:val="right"/>
            </w:pPr>
            <w:r>
              <w:t xml:space="preserve">S/ 120,062.04</w:t>
            </w:r>
          </w:p>
        </w:tc>
        <w:tc>
          <w:tcPr/>
          <w:p>
            <w:pPr>
              <w:pStyle w:val="Compact"/>
              <w:jc w:val="right"/>
            </w:pPr>
            <w:r>
              <w:t xml:space="preserve">€ 32,625.56</w:t>
            </w:r>
          </w:p>
        </w:tc>
        <w:tc>
          <w:tcPr/>
          <w:p>
            <w:pPr>
              <w:pStyle w:val="Compact"/>
              <w:jc w:val="right"/>
            </w:pPr>
            <w:r>
              <w:t xml:space="preserve">S/ 130,502.22</w:t>
            </w:r>
          </w:p>
        </w:tc>
        <w:tc>
          <w:tcPr/>
          <w:p>
            <w:pPr>
              <w:pStyle w:val="Compact"/>
              <w:jc w:val="right"/>
            </w:pPr>
            <w:r>
              <w:t xml:space="preserve">€ 35,270.87</w:t>
            </w:r>
          </w:p>
        </w:tc>
      </w:tr>
      <w:tr>
        <w:tc>
          <w:tcPr/>
          <w:p>
            <w:pPr>
              <w:pStyle w:val="Compact"/>
            </w:pPr>
            <w:r>
              <w:t xml:space="preserve">10 accommodation modules, storage and laundry</w:t>
            </w:r>
          </w:p>
        </w:tc>
        <w:tc>
          <w:tcPr/>
          <w:p>
            <w:pPr>
              <w:pStyle w:val="Compact"/>
              <w:jc w:val="right"/>
            </w:pPr>
            <w:r>
              <w:t xml:space="preserve">S/ 730,525.34</w:t>
            </w:r>
          </w:p>
        </w:tc>
        <w:tc>
          <w:tcPr/>
          <w:p>
            <w:pPr>
              <w:pStyle w:val="Compact"/>
              <w:jc w:val="right"/>
            </w:pPr>
            <w:r>
              <w:t xml:space="preserve">€ 198,512.32</w:t>
            </w:r>
          </w:p>
        </w:tc>
        <w:tc>
          <w:tcPr/>
          <w:p>
            <w:pPr>
              <w:pStyle w:val="Compact"/>
              <w:jc w:val="right"/>
            </w:pPr>
            <w:r>
              <w:t xml:space="preserve">S/ 578,246.26</w:t>
            </w:r>
          </w:p>
        </w:tc>
        <w:tc>
          <w:tcPr/>
          <w:p>
            <w:pPr>
              <w:pStyle w:val="Compact"/>
              <w:jc w:val="right"/>
            </w:pPr>
            <w:r>
              <w:t xml:space="preserve">€ 156,282.77</w:t>
            </w:r>
          </w:p>
        </w:tc>
      </w:tr>
      <w:tr>
        <w:tc>
          <w:tcPr/>
          <w:p>
            <w:pPr>
              <w:pStyle w:val="Compact"/>
            </w:pPr>
            <w:r>
              <w:rPr>
                <w:b/>
                <w:bCs/>
              </w:rPr>
              <w:t xml:space="preserve">Total long-term assets</w:t>
            </w:r>
          </w:p>
        </w:tc>
        <w:tc>
          <w:tcPr/>
          <w:p>
            <w:pPr>
              <w:pStyle w:val="Compact"/>
              <w:jc w:val="right"/>
            </w:pPr>
            <w:r>
              <w:rPr>
                <w:b/>
                <w:bCs/>
              </w:rPr>
              <w:t xml:space="preserve">S/ 2,141,877.74</w:t>
            </w:r>
          </w:p>
        </w:tc>
        <w:tc>
          <w:tcPr/>
          <w:p>
            <w:pPr>
              <w:pStyle w:val="Compact"/>
              <w:jc w:val="right"/>
            </w:pPr>
            <w:r>
              <w:rPr>
                <w:b/>
                <w:bCs/>
              </w:rPr>
              <w:t xml:space="preserve">€ 582,032.00</w:t>
            </w:r>
          </w:p>
        </w:tc>
        <w:tc>
          <w:tcPr/>
          <w:p>
            <w:pPr>
              <w:pStyle w:val="Compact"/>
              <w:jc w:val="right"/>
            </w:pPr>
            <w:r>
              <w:rPr>
                <w:b/>
                <w:bCs/>
              </w:rPr>
              <w:t xml:space="preserve">S/ 2,067,650.82</w:t>
            </w:r>
          </w:p>
        </w:tc>
        <w:tc>
          <w:tcPr/>
          <w:p>
            <w:pPr>
              <w:pStyle w:val="Compact"/>
              <w:jc w:val="right"/>
            </w:pPr>
            <w:r>
              <w:rPr>
                <w:b/>
                <w:bCs/>
              </w:rPr>
              <w:t xml:space="preserve">€ 542,691.20</w:t>
            </w:r>
          </w:p>
        </w:tc>
      </w:tr>
      <w:tr>
        <w:tc>
          <w:tcPr/>
          <w:p>
            <w:pPr>
              <w:pStyle w:val="Compact"/>
            </w:pPr>
            <w:r>
              <w:rPr>
                <w:b/>
                <w:bCs/>
              </w:rPr>
              <w:t xml:space="preserve">TOTAL ASSETS</w:t>
            </w:r>
          </w:p>
        </w:tc>
        <w:tc>
          <w:tcPr/>
          <w:p>
            <w:pPr>
              <w:pStyle w:val="Compact"/>
              <w:jc w:val="right"/>
            </w:pPr>
            <w:r>
              <w:rPr>
                <w:b/>
                <w:bCs/>
              </w:rPr>
              <w:t xml:space="preserve">S/ 2,492,872.85</w:t>
            </w:r>
          </w:p>
        </w:tc>
        <w:tc>
          <w:tcPr/>
          <w:p>
            <w:pPr>
              <w:pStyle w:val="Compact"/>
              <w:jc w:val="right"/>
            </w:pPr>
            <w:r>
              <w:rPr>
                <w:b/>
                <w:bCs/>
              </w:rPr>
              <w:t xml:space="preserve">€ 677,411.10</w:t>
            </w:r>
          </w:p>
        </w:tc>
        <w:tc>
          <w:tcPr/>
          <w:p>
            <w:pPr>
              <w:pStyle w:val="Compact"/>
              <w:jc w:val="right"/>
            </w:pPr>
            <w:r>
              <w:rPr>
                <w:b/>
                <w:bCs/>
              </w:rPr>
              <w:t xml:space="preserve">S/ 2,309,984.96</w:t>
            </w:r>
          </w:p>
        </w:tc>
        <w:tc>
          <w:tcPr/>
          <w:p>
            <w:pPr>
              <w:pStyle w:val="Compact"/>
              <w:jc w:val="right"/>
            </w:pPr>
            <w:r>
              <w:rPr>
                <w:b/>
                <w:bCs/>
              </w:rPr>
              <w:t xml:space="preserve">€ 596,895.34</w:t>
            </w:r>
          </w:p>
        </w:tc>
      </w:tr>
    </w:tbl>
    <w:p>
      <w:pPr>
        <w:pStyle w:val="BodyText"/>
      </w:pPr>
      <w:r>
        <w:t xml:space="preserve">The increase in total assets during 2025 is mainly related to the continued investment in the accommodation facilities at the Hospitality Training Centre and the higher cash balance at year-end.</w:t>
      </w:r>
    </w:p>
    <w:p>
      <w:pPr>
        <w:pStyle w:val="BodyText"/>
      </w:pPr>
      <w:r>
        <w:t xml:space="preserve">The accommodation facilities are an important long-term investment. They make it possible to accommodate young people participating in vocational training while the hotel component is intended to contribute to the long-term sustainability of the Hospitality Training Centre.</w:t>
      </w:r>
    </w:p>
    <w:p>
      <w:r>
        <w:pict>
          <v:rect style="width:0;height:1.5pt" o:hralign="center" o:hrstd="t" o:hr="t"/>
        </w:pict>
      </w:r>
    </w:p>
    <w:bookmarkEnd w:id="13"/>
    <w:bookmarkEnd w:id="14"/>
    <w:bookmarkStart w:id="15" w:name="equity-and-liabilities"/>
    <w:p>
      <w:pPr>
        <w:pStyle w:val="Heading1"/>
      </w:pPr>
      <w:r>
        <w:t xml:space="preserve">EQUITY AND LIABILITIES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Description</w:t>
            </w:r>
          </w:p>
        </w:tc>
        <w:tc>
          <w:tcPr/>
          <w:p>
            <w:pPr>
              <w:pStyle w:val="Compact"/>
              <w:jc w:val="right"/>
            </w:pPr>
            <w:r>
              <w:t xml:space="preserve">31/12/2025 Soles</w:t>
            </w:r>
          </w:p>
        </w:tc>
        <w:tc>
          <w:tcPr/>
          <w:p>
            <w:pPr>
              <w:pStyle w:val="Compact"/>
              <w:jc w:val="right"/>
            </w:pPr>
            <w:r>
              <w:t xml:space="preserve">31/12/2025 Euros</w:t>
            </w:r>
          </w:p>
        </w:tc>
        <w:tc>
          <w:tcPr/>
          <w:p>
            <w:pPr>
              <w:pStyle w:val="Compact"/>
              <w:jc w:val="right"/>
            </w:pPr>
            <w:r>
              <w:t xml:space="preserve">31/12/2024 Soles</w:t>
            </w:r>
          </w:p>
        </w:tc>
        <w:tc>
          <w:tcPr/>
          <w:p>
            <w:pPr>
              <w:pStyle w:val="Compact"/>
              <w:jc w:val="right"/>
            </w:pPr>
            <w:r>
              <w:t xml:space="preserve">31/12/2024 Euros</w:t>
            </w:r>
          </w:p>
        </w:tc>
      </w:tr>
      <w:tr>
        <w:tc>
          <w:tcPr/>
          <w:p>
            <w:pPr>
              <w:pStyle w:val="Compact"/>
            </w:pPr>
            <w:r>
              <w:t xml:space="preserve">Long-term assets / equity</w:t>
            </w:r>
          </w:p>
        </w:tc>
        <w:tc>
          <w:tcPr/>
          <w:p>
            <w:pPr>
              <w:pStyle w:val="Compact"/>
              <w:jc w:val="right"/>
            </w:pPr>
            <w:r>
              <w:t xml:space="preserve">S/ 2,141,877.74</w:t>
            </w:r>
          </w:p>
        </w:tc>
        <w:tc>
          <w:tcPr/>
          <w:p>
            <w:pPr>
              <w:pStyle w:val="Compact"/>
              <w:jc w:val="right"/>
            </w:pPr>
            <w:r>
              <w:t xml:space="preserve">€ 582,032.00</w:t>
            </w:r>
          </w:p>
        </w:tc>
        <w:tc>
          <w:tcPr/>
          <w:p>
            <w:pPr>
              <w:pStyle w:val="Compact"/>
              <w:jc w:val="right"/>
            </w:pPr>
            <w:r>
              <w:t xml:space="preserve">S/ 2,067,650.82</w:t>
            </w:r>
          </w:p>
        </w:tc>
        <w:tc>
          <w:tcPr/>
          <w:p>
            <w:pPr>
              <w:pStyle w:val="Compact"/>
              <w:jc w:val="right"/>
            </w:pPr>
            <w:r>
              <w:t xml:space="preserve">€ 542,691.20</w:t>
            </w:r>
          </w:p>
        </w:tc>
      </w:tr>
      <w:tr>
        <w:tc>
          <w:tcPr/>
          <w:p>
            <w:pPr>
              <w:pStyle w:val="Compact"/>
            </w:pPr>
            <w:r>
              <w:t xml:space="preserve">Education</w:t>
            </w:r>
          </w:p>
        </w:tc>
        <w:tc>
          <w:tcPr/>
          <w:p>
            <w:pPr>
              <w:pStyle w:val="Compact"/>
              <w:jc w:val="right"/>
            </w:pPr>
            <w:r>
              <w:t xml:space="preserve">S/ 232,956.52</w:t>
            </w:r>
          </w:p>
        </w:tc>
        <w:tc>
          <w:tcPr/>
          <w:p>
            <w:pPr>
              <w:pStyle w:val="Compact"/>
              <w:jc w:val="right"/>
            </w:pPr>
            <w:r>
              <w:t xml:space="preserve">€ 63,303.40</w:t>
            </w:r>
          </w:p>
        </w:tc>
        <w:tc>
          <w:tcPr/>
          <w:p>
            <w:pPr>
              <w:pStyle w:val="Compact"/>
              <w:jc w:val="right"/>
            </w:pPr>
            <w:r>
              <w:t xml:space="preserve">S/ 248,153.13</w:t>
            </w:r>
          </w:p>
        </w:tc>
        <w:tc>
          <w:tcPr/>
          <w:p>
            <w:pPr>
              <w:pStyle w:val="Compact"/>
              <w:jc w:val="right"/>
            </w:pPr>
            <w:r>
              <w:t xml:space="preserve">€ 64,122.26</w:t>
            </w:r>
          </w:p>
        </w:tc>
      </w:tr>
      <w:tr>
        <w:tc>
          <w:tcPr/>
          <w:p>
            <w:pPr>
              <w:pStyle w:val="Compact"/>
            </w:pPr>
            <w:r>
              <w:t xml:space="preserve">Well-being</w:t>
            </w:r>
          </w:p>
        </w:tc>
        <w:tc>
          <w:tcPr/>
          <w:p>
            <w:pPr>
              <w:pStyle w:val="Compact"/>
              <w:jc w:val="right"/>
            </w:pPr>
            <w:r>
              <w:t xml:space="preserve">S/ 65,323.00</w:t>
            </w:r>
          </w:p>
        </w:tc>
        <w:tc>
          <w:tcPr/>
          <w:p>
            <w:pPr>
              <w:pStyle w:val="Compact"/>
              <w:jc w:val="right"/>
            </w:pPr>
            <w:r>
              <w:t xml:space="preserve">€ 17,750.82</w:t>
            </w:r>
          </w:p>
        </w:tc>
        <w:tc>
          <w:tcPr/>
          <w:p>
            <w:pPr>
              <w:pStyle w:val="Compact"/>
              <w:jc w:val="right"/>
            </w:pPr>
            <w:r>
              <w:t xml:space="preserve">S/ 203,034.37</w:t>
            </w:r>
          </w:p>
        </w:tc>
        <w:tc>
          <w:tcPr/>
          <w:p>
            <w:pPr>
              <w:pStyle w:val="Compact"/>
              <w:jc w:val="right"/>
            </w:pPr>
            <w:r>
              <w:t xml:space="preserve">€ 52,463.66</w:t>
            </w:r>
          </w:p>
        </w:tc>
      </w:tr>
      <w:tr>
        <w:tc>
          <w:tcPr/>
          <w:p>
            <w:pPr>
              <w:pStyle w:val="Compact"/>
            </w:pPr>
            <w:r>
              <w:t xml:space="preserve">Vocational training</w:t>
            </w:r>
          </w:p>
        </w:tc>
        <w:tc>
          <w:tcPr/>
          <w:p>
            <w:pPr>
              <w:pStyle w:val="Compact"/>
              <w:jc w:val="right"/>
            </w:pPr>
            <w:r>
              <w:t xml:space="preserve">S/ 186,524.46</w:t>
            </w:r>
          </w:p>
        </w:tc>
        <w:tc>
          <w:tcPr/>
          <w:p>
            <w:pPr>
              <w:pStyle w:val="Compact"/>
              <w:jc w:val="right"/>
            </w:pPr>
            <w:r>
              <w:t xml:space="preserve">€ 50,685.99</w:t>
            </w:r>
          </w:p>
        </w:tc>
        <w:tc>
          <w:tcPr/>
          <w:p>
            <w:pPr>
              <w:pStyle w:val="Compact"/>
              <w:jc w:val="right"/>
            </w:pPr>
            <w:r>
              <w:t xml:space="preserve">S/ 0.00</w:t>
            </w:r>
          </w:p>
        </w:tc>
        <w:tc>
          <w:tcPr/>
          <w:p>
            <w:pPr>
              <w:pStyle w:val="Compact"/>
              <w:jc w:val="right"/>
            </w:pPr>
            <w:r>
              <w:t xml:space="preserve">€ 0.00</w:t>
            </w:r>
          </w:p>
        </w:tc>
      </w:tr>
      <w:tr>
        <w:tc>
          <w:tcPr/>
          <w:p>
            <w:pPr>
              <w:pStyle w:val="Compact"/>
            </w:pPr>
            <w:r>
              <w:t xml:space="preserve">HTC accommodation construction</w:t>
            </w:r>
          </w:p>
        </w:tc>
        <w:tc>
          <w:tcPr/>
          <w:p>
            <w:pPr>
              <w:pStyle w:val="Compact"/>
              <w:jc w:val="right"/>
            </w:pPr>
            <w:r>
              <w:t xml:space="preserve">S/ -163,631.62</w:t>
            </w:r>
          </w:p>
        </w:tc>
        <w:tc>
          <w:tcPr/>
          <w:p>
            <w:pPr>
              <w:pStyle w:val="Compact"/>
              <w:jc w:val="right"/>
            </w:pPr>
            <w:r>
              <w:t xml:space="preserve">€ -44,465.11</w:t>
            </w:r>
          </w:p>
        </w:tc>
        <w:tc>
          <w:tcPr/>
          <w:p>
            <w:pPr>
              <w:pStyle w:val="Compact"/>
              <w:jc w:val="right"/>
            </w:pPr>
            <w:r>
              <w:t xml:space="preserve">S/ -241,517.65</w:t>
            </w:r>
          </w:p>
        </w:tc>
        <w:tc>
          <w:tcPr/>
          <w:p>
            <w:pPr>
              <w:pStyle w:val="Compact"/>
              <w:jc w:val="right"/>
            </w:pPr>
            <w:r>
              <w:t xml:space="preserve">€ -62,407.66</w:t>
            </w:r>
          </w:p>
        </w:tc>
      </w:tr>
      <w:tr>
        <w:tc>
          <w:tcPr/>
          <w:p>
            <w:pPr>
              <w:pStyle w:val="Compact"/>
            </w:pPr>
            <w:r>
              <w:t xml:space="preserve">HTC road maintenance</w:t>
            </w:r>
          </w:p>
        </w:tc>
        <w:tc>
          <w:tcPr/>
          <w:p>
            <w:pPr>
              <w:pStyle w:val="Compact"/>
              <w:jc w:val="right"/>
            </w:pPr>
            <w:r>
              <w:t xml:space="preserve">S/ 6,766.70</w:t>
            </w:r>
          </w:p>
        </w:tc>
        <w:tc>
          <w:tcPr/>
          <w:p>
            <w:pPr>
              <w:pStyle w:val="Compact"/>
              <w:jc w:val="right"/>
            </w:pPr>
            <w:r>
              <w:t xml:space="preserve">€ 1,838.78</w:t>
            </w:r>
          </w:p>
        </w:tc>
        <w:tc>
          <w:tcPr/>
          <w:p>
            <w:pPr>
              <w:pStyle w:val="Compact"/>
              <w:jc w:val="right"/>
            </w:pPr>
            <w:r>
              <w:t xml:space="preserve">S/ 6,766.70</w:t>
            </w:r>
          </w:p>
        </w:tc>
        <w:tc>
          <w:tcPr/>
          <w:p>
            <w:pPr>
              <w:pStyle w:val="Compact"/>
              <w:jc w:val="right"/>
            </w:pPr>
            <w:r>
              <w:t xml:space="preserve">€ 1,748.50</w:t>
            </w:r>
          </w:p>
        </w:tc>
      </w:tr>
      <w:tr>
        <w:tc>
          <w:tcPr/>
          <w:p>
            <w:pPr>
              <w:pStyle w:val="Compact"/>
            </w:pPr>
            <w:r>
              <w:rPr>
                <w:b/>
                <w:bCs/>
              </w:rPr>
              <w:t xml:space="preserve">Total equity</w:t>
            </w:r>
          </w:p>
        </w:tc>
        <w:tc>
          <w:tcPr/>
          <w:p>
            <w:pPr>
              <w:pStyle w:val="Compact"/>
              <w:jc w:val="right"/>
            </w:pPr>
            <w:r>
              <w:rPr>
                <w:b/>
                <w:bCs/>
              </w:rPr>
              <w:t xml:space="preserve">S/ 2,469,816.80</w:t>
            </w:r>
          </w:p>
        </w:tc>
        <w:tc>
          <w:tcPr/>
          <w:p>
            <w:pPr>
              <w:pStyle w:val="Compact"/>
              <w:jc w:val="right"/>
            </w:pPr>
            <w:r>
              <w:rPr>
                <w:b/>
                <w:bCs/>
              </w:rPr>
              <w:t xml:space="preserve">€ 671,145.87</w:t>
            </w:r>
          </w:p>
        </w:tc>
        <w:tc>
          <w:tcPr/>
          <w:p>
            <w:pPr>
              <w:pStyle w:val="Compact"/>
              <w:jc w:val="right"/>
            </w:pPr>
            <w:r>
              <w:rPr>
                <w:b/>
                <w:bCs/>
              </w:rPr>
              <w:t xml:space="preserve">S/ 2,284,087.37</w:t>
            </w:r>
          </w:p>
        </w:tc>
        <w:tc>
          <w:tcPr/>
          <w:p>
            <w:pPr>
              <w:pStyle w:val="Compact"/>
              <w:jc w:val="right"/>
            </w:pPr>
            <w:r>
              <w:rPr>
                <w:b/>
                <w:bCs/>
              </w:rPr>
              <w:t xml:space="preserve">€ 590,203.45</w:t>
            </w:r>
          </w:p>
        </w:tc>
      </w:tr>
      <w:tr>
        <w:tc>
          <w:tcPr/>
          <w:p>
            <w:pPr>
              <w:pStyle w:val="Compact"/>
            </w:pPr>
            <w:r>
              <w:rPr>
                <w:b/>
                <w:bCs/>
              </w:rPr>
              <w:t xml:space="preserve">Current liabilities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Remuneration payable</w:t>
            </w:r>
          </w:p>
        </w:tc>
        <w:tc>
          <w:tcPr/>
          <w:p>
            <w:pPr>
              <w:pStyle w:val="Compact"/>
              <w:jc w:val="right"/>
            </w:pPr>
            <w:r>
              <w:t xml:space="preserve">S/ 4,391.72</w:t>
            </w:r>
          </w:p>
        </w:tc>
        <w:tc>
          <w:tcPr/>
          <w:p>
            <w:pPr>
              <w:pStyle w:val="Compact"/>
              <w:jc w:val="right"/>
            </w:pPr>
            <w:r>
              <w:t xml:space="preserve">€ 1,193.40</w:t>
            </w:r>
          </w:p>
        </w:tc>
        <w:tc>
          <w:tcPr/>
          <w:p>
            <w:pPr>
              <w:pStyle w:val="Compact"/>
              <w:jc w:val="right"/>
            </w:pPr>
            <w:r>
              <w:t xml:space="preserve">S/ 3,907.30</w:t>
            </w:r>
          </w:p>
        </w:tc>
        <w:tc>
          <w:tcPr/>
          <w:p>
            <w:pPr>
              <w:pStyle w:val="Compact"/>
              <w:jc w:val="right"/>
            </w:pPr>
            <w:r>
              <w:t xml:space="preserve">€ 1,009.64</w:t>
            </w:r>
          </w:p>
        </w:tc>
      </w:tr>
      <w:tr>
        <w:tc>
          <w:tcPr/>
          <w:p>
            <w:pPr>
              <w:pStyle w:val="Compact"/>
            </w:pPr>
            <w:r>
              <w:t xml:space="preserve">Payable to third parties</w:t>
            </w:r>
          </w:p>
        </w:tc>
        <w:tc>
          <w:tcPr/>
          <w:p>
            <w:pPr>
              <w:pStyle w:val="Compact"/>
              <w:jc w:val="right"/>
            </w:pPr>
            <w:r>
              <w:t xml:space="preserve">S/ 18,664.33</w:t>
            </w:r>
          </w:p>
        </w:tc>
        <w:tc>
          <w:tcPr/>
          <w:p>
            <w:pPr>
              <w:pStyle w:val="Compact"/>
              <w:jc w:val="right"/>
            </w:pPr>
            <w:r>
              <w:t xml:space="preserve">€ 5,071.83</w:t>
            </w:r>
          </w:p>
        </w:tc>
        <w:tc>
          <w:tcPr/>
          <w:p>
            <w:pPr>
              <w:pStyle w:val="Compact"/>
              <w:jc w:val="right"/>
            </w:pPr>
            <w:r>
              <w:t xml:space="preserve">S/ 21,990.29</w:t>
            </w:r>
          </w:p>
        </w:tc>
        <w:tc>
          <w:tcPr/>
          <w:p>
            <w:pPr>
              <w:pStyle w:val="Compact"/>
              <w:jc w:val="right"/>
            </w:pPr>
            <w:r>
              <w:t xml:space="preserve">€ 5,682.25</w:t>
            </w:r>
          </w:p>
        </w:tc>
      </w:tr>
      <w:tr>
        <w:tc>
          <w:tcPr/>
          <w:p>
            <w:pPr>
              <w:pStyle w:val="Compact"/>
            </w:pPr>
            <w:r>
              <w:rPr>
                <w:b/>
                <w:bCs/>
              </w:rPr>
              <w:t xml:space="preserve">Total current liabilities</w:t>
            </w:r>
          </w:p>
        </w:tc>
        <w:tc>
          <w:tcPr/>
          <w:p>
            <w:pPr>
              <w:pStyle w:val="Compact"/>
              <w:jc w:val="right"/>
            </w:pPr>
            <w:r>
              <w:rPr>
                <w:b/>
                <w:bCs/>
              </w:rPr>
              <w:t xml:space="preserve">S/ 23,056.05</w:t>
            </w:r>
          </w:p>
        </w:tc>
        <w:tc>
          <w:tcPr/>
          <w:p>
            <w:pPr>
              <w:pStyle w:val="Compact"/>
              <w:jc w:val="right"/>
            </w:pPr>
            <w:r>
              <w:rPr>
                <w:b/>
                <w:bCs/>
              </w:rPr>
              <w:t xml:space="preserve">€ 6,265.23</w:t>
            </w:r>
          </w:p>
        </w:tc>
        <w:tc>
          <w:tcPr/>
          <w:p>
            <w:pPr>
              <w:pStyle w:val="Compact"/>
              <w:jc w:val="right"/>
            </w:pPr>
            <w:r>
              <w:rPr>
                <w:b/>
                <w:bCs/>
              </w:rPr>
              <w:t xml:space="preserve">S/ 25,897.59</w:t>
            </w:r>
          </w:p>
        </w:tc>
        <w:tc>
          <w:tcPr/>
          <w:p>
            <w:pPr>
              <w:pStyle w:val="Compact"/>
              <w:jc w:val="right"/>
            </w:pPr>
            <w:r>
              <w:rPr>
                <w:b/>
                <w:bCs/>
              </w:rPr>
              <w:t xml:space="preserve">€ 6,691.88</w:t>
            </w:r>
          </w:p>
        </w:tc>
      </w:tr>
      <w:tr>
        <w:tc>
          <w:tcPr/>
          <w:p>
            <w:pPr>
              <w:pStyle w:val="Compact"/>
            </w:pPr>
            <w:r>
              <w:rPr>
                <w:b/>
                <w:bCs/>
              </w:rPr>
              <w:t xml:space="preserve">TOTAL EQUITY AND LIABILITIES</w:t>
            </w:r>
          </w:p>
        </w:tc>
        <w:tc>
          <w:tcPr/>
          <w:p>
            <w:pPr>
              <w:pStyle w:val="Compact"/>
              <w:jc w:val="right"/>
            </w:pPr>
            <w:r>
              <w:rPr>
                <w:b/>
                <w:bCs/>
              </w:rPr>
              <w:t xml:space="preserve">S/ 2,492,872.85</w:t>
            </w:r>
          </w:p>
        </w:tc>
        <w:tc>
          <w:tcPr/>
          <w:p>
            <w:pPr>
              <w:pStyle w:val="Compact"/>
              <w:jc w:val="right"/>
            </w:pPr>
            <w:r>
              <w:rPr>
                <w:b/>
                <w:bCs/>
              </w:rPr>
              <w:t xml:space="preserve">€ 677,411.10</w:t>
            </w:r>
          </w:p>
        </w:tc>
        <w:tc>
          <w:tcPr/>
          <w:p>
            <w:pPr>
              <w:pStyle w:val="Compact"/>
              <w:jc w:val="right"/>
            </w:pPr>
            <w:r>
              <w:rPr>
                <w:b/>
                <w:bCs/>
              </w:rPr>
              <w:t xml:space="preserve">S/ 2,309,984.96</w:t>
            </w:r>
          </w:p>
        </w:tc>
        <w:tc>
          <w:tcPr/>
          <w:p>
            <w:pPr>
              <w:pStyle w:val="Compact"/>
              <w:jc w:val="right"/>
            </w:pPr>
            <w:r>
              <w:rPr>
                <w:b/>
                <w:bCs/>
              </w:rPr>
              <w:t xml:space="preserve">€ 596,895.34</w:t>
            </w:r>
          </w:p>
        </w:tc>
      </w:tr>
    </w:tbl>
    <w:p>
      <w:pPr>
        <w:pStyle w:val="BodyText"/>
      </w:pPr>
      <w:r>
        <w:t xml:space="preserve">The balance sheet remained strong at the end of 2025. Current liabilities decreased slightly compared with the previous year, while total assets and equity increased.</w:t>
      </w:r>
    </w:p>
    <w:p>
      <w:r>
        <w:pict>
          <v:rect style="width:0;height:1.5pt" o:hralign="center" o:hrstd="t" o:hr="t"/>
        </w:pict>
      </w:r>
    </w:p>
    <w:bookmarkEnd w:id="15"/>
    <w:bookmarkStart w:id="21" w:name="income-statement-2025"/>
    <w:p>
      <w:pPr>
        <w:pStyle w:val="Heading1"/>
      </w:pPr>
      <w:r>
        <w:t xml:space="preserve">INCOME STATEMENT 2025</w:t>
      </w:r>
    </w:p>
    <w:p>
      <w:pPr>
        <w:pStyle w:val="FirstParagraph"/>
      </w:pPr>
      <w:r>
        <w:t xml:space="preserve">The income statement provides an overview of the income and expenditure of NGO Mama Alice during 2025.</w:t>
      </w:r>
    </w:p>
    <w:bookmarkStart w:id="20" w:name="income"/>
    <w:p>
      <w:pPr>
        <w:pStyle w:val="Heading2"/>
      </w:pPr>
      <w:r>
        <w:t xml:space="preserve">Income</w:t>
      </w:r>
    </w:p>
    <w:bookmarkStart w:id="16" w:name="core-programmes-and-vocational-training"/>
    <w:p>
      <w:pPr>
        <w:pStyle w:val="Heading3"/>
      </w:pPr>
      <w:r>
        <w:t xml:space="preserve">Core programmes and vocational training</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Funding source</w:t>
            </w:r>
          </w:p>
        </w:tc>
        <w:tc>
          <w:tcPr/>
          <w:p>
            <w:pPr>
              <w:pStyle w:val="Compact"/>
            </w:pPr>
            <w:r>
              <w:t xml:space="preserve">Purpose</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Stichting Mamita Alice</w:t>
            </w:r>
          </w:p>
        </w:tc>
        <w:tc>
          <w:tcPr/>
          <w:p>
            <w:pPr>
              <w:pStyle w:val="Compact"/>
            </w:pPr>
            <w:r>
              <w:t xml:space="preserve">Primary education</w:t>
            </w:r>
          </w:p>
        </w:tc>
        <w:tc>
          <w:tcPr/>
          <w:p>
            <w:pPr>
              <w:pStyle w:val="Compact"/>
              <w:jc w:val="right"/>
            </w:pPr>
            <w:r>
              <w:t xml:space="preserve">S/ 117,504.68</w:t>
            </w:r>
          </w:p>
        </w:tc>
        <w:tc>
          <w:tcPr/>
          <w:p>
            <w:pPr>
              <w:pStyle w:val="Compact"/>
              <w:jc w:val="right"/>
            </w:pPr>
            <w:r>
              <w:t xml:space="preserve">€ 55,936.70</w:t>
            </w:r>
          </w:p>
        </w:tc>
      </w:tr>
      <w:tr>
        <w:tc>
          <w:tcPr/>
          <w:p>
            <w:pPr>
              <w:pStyle w:val="Compact"/>
            </w:pPr>
            <w:r>
              <w:t xml:space="preserve">Stichting Kinderen van de Zon</w:t>
            </w:r>
          </w:p>
        </w:tc>
        <w:tc>
          <w:tcPr/>
          <w:p>
            <w:pPr>
              <w:pStyle w:val="Compact"/>
            </w:pPr>
            <w:r>
              <w:t xml:space="preserve">Pre-primary and individual education</w:t>
            </w:r>
          </w:p>
        </w:tc>
        <w:tc>
          <w:tcPr/>
          <w:p>
            <w:pPr>
              <w:pStyle w:val="Compact"/>
              <w:jc w:val="right"/>
            </w:pPr>
            <w:r>
              <w:t xml:space="preserve">S/ 115,811.72</w:t>
            </w:r>
          </w:p>
        </w:tc>
        <w:tc>
          <w:tcPr/>
          <w:p>
            <w:pPr>
              <w:pStyle w:val="Compact"/>
              <w:jc w:val="right"/>
            </w:pPr>
            <w:r>
              <w:t xml:space="preserve">€ 31,470.58</w:t>
            </w:r>
          </w:p>
        </w:tc>
      </w:tr>
      <w:tr>
        <w:tc>
          <w:tcPr/>
          <w:p>
            <w:pPr>
              <w:pStyle w:val="Compact"/>
            </w:pPr>
            <w:r>
              <w:t xml:space="preserve">Stichting Kinderen van de Zon</w:t>
            </w:r>
          </w:p>
        </w:tc>
        <w:tc>
          <w:tcPr/>
          <w:p>
            <w:pPr>
              <w:pStyle w:val="Compact"/>
            </w:pPr>
            <w:r>
              <w:t xml:space="preserve">Individual psychosocial work with children</w:t>
            </w:r>
          </w:p>
        </w:tc>
        <w:tc>
          <w:tcPr/>
          <w:p>
            <w:pPr>
              <w:pStyle w:val="Compact"/>
              <w:jc w:val="right"/>
            </w:pPr>
            <w:r>
              <w:t xml:space="preserve">S/ 60,562.38</w:t>
            </w:r>
          </w:p>
        </w:tc>
        <w:tc>
          <w:tcPr/>
          <w:p>
            <w:pPr>
              <w:pStyle w:val="Compact"/>
              <w:jc w:val="right"/>
            </w:pPr>
            <w:r>
              <w:t xml:space="preserve">€ 16,457.17</w:t>
            </w:r>
          </w:p>
        </w:tc>
      </w:tr>
      <w:tr>
        <w:tc>
          <w:tcPr/>
          <w:p>
            <w:pPr>
              <w:pStyle w:val="Compact"/>
            </w:pPr>
            <w:r>
              <w:t xml:space="preserve">Stichting Kinderen van de Zon</w:t>
            </w:r>
          </w:p>
        </w:tc>
        <w:tc>
          <w:tcPr/>
          <w:p>
            <w:pPr>
              <w:pStyle w:val="Compact"/>
            </w:pPr>
            <w:r>
              <w:t xml:space="preserve">Work with families</w:t>
            </w:r>
          </w:p>
        </w:tc>
        <w:tc>
          <w:tcPr/>
          <w:p>
            <w:pPr>
              <w:pStyle w:val="Compact"/>
              <w:jc w:val="right"/>
            </w:pPr>
            <w:r>
              <w:t xml:space="preserve">S/ 53,379.00</w:t>
            </w:r>
          </w:p>
        </w:tc>
        <w:tc>
          <w:tcPr/>
          <w:p>
            <w:pPr>
              <w:pStyle w:val="Compact"/>
              <w:jc w:val="right"/>
            </w:pPr>
            <w:r>
              <w:t xml:space="preserve">€ 14,505.16</w:t>
            </w:r>
          </w:p>
        </w:tc>
      </w:tr>
      <w:tr>
        <w:tc>
          <w:tcPr/>
          <w:p>
            <w:pPr>
              <w:pStyle w:val="Compact"/>
            </w:pPr>
            <w:r>
              <w:t xml:space="preserve">Stichting Kinderen van de Zon</w:t>
            </w:r>
          </w:p>
        </w:tc>
        <w:tc>
          <w:tcPr/>
          <w:p>
            <w:pPr>
              <w:pStyle w:val="Compact"/>
            </w:pPr>
            <w:r>
              <w:t xml:space="preserve">Prevention and direct treatment</w:t>
            </w:r>
          </w:p>
        </w:tc>
        <w:tc>
          <w:tcPr/>
          <w:p>
            <w:pPr>
              <w:pStyle w:val="Compact"/>
              <w:jc w:val="right"/>
            </w:pPr>
            <w:r>
              <w:t xml:space="preserve">S/ 74,985.02</w:t>
            </w:r>
          </w:p>
        </w:tc>
        <w:tc>
          <w:tcPr/>
          <w:p>
            <w:pPr>
              <w:pStyle w:val="Compact"/>
              <w:jc w:val="right"/>
            </w:pPr>
            <w:r>
              <w:t xml:space="preserve">€ 20,376.36</w:t>
            </w:r>
          </w:p>
        </w:tc>
      </w:tr>
      <w:tr>
        <w:tc>
          <w:tcPr/>
          <w:p>
            <w:pPr>
              <w:pStyle w:val="Compact"/>
            </w:pPr>
            <w:r>
              <w:t xml:space="preserve">Various private donors</w:t>
            </w:r>
          </w:p>
        </w:tc>
        <w:tc>
          <w:tcPr/>
          <w:p>
            <w:pPr>
              <w:pStyle w:val="Compact"/>
            </w:pPr>
            <w:r>
              <w:t xml:space="preserve">Primary education</w:t>
            </w:r>
          </w:p>
        </w:tc>
        <w:tc>
          <w:tcPr/>
          <w:p>
            <w:pPr>
              <w:pStyle w:val="Compact"/>
              <w:jc w:val="right"/>
            </w:pPr>
            <w:r>
              <w:t xml:space="preserve">S/ 68,770.12</w:t>
            </w:r>
          </w:p>
        </w:tc>
        <w:tc>
          <w:tcPr/>
          <w:p>
            <w:pPr>
              <w:pStyle w:val="Compact"/>
              <w:jc w:val="right"/>
            </w:pPr>
            <w:r>
              <w:t xml:space="preserve">€ 10,000.00</w:t>
            </w:r>
          </w:p>
        </w:tc>
      </w:tr>
      <w:tr>
        <w:tc>
          <w:tcPr/>
          <w:p>
            <w:pPr>
              <w:pStyle w:val="Compact"/>
            </w:pPr>
            <w:r>
              <w:t xml:space="preserve">VAT refund</w:t>
            </w:r>
          </w:p>
        </w:tc>
        <w:tc>
          <w:tcPr/>
          <w:p>
            <w:pPr>
              <w:pStyle w:val="Compact"/>
            </w:pPr>
            <w:r>
              <w:t xml:space="preserve">Primary education</w:t>
            </w:r>
          </w:p>
        </w:tc>
        <w:tc>
          <w:tcPr/>
          <w:p>
            <w:pPr>
              <w:pStyle w:val="Compact"/>
              <w:jc w:val="right"/>
            </w:pPr>
            <w:r>
              <w:t xml:space="preserve">S/ 9,923.00</w:t>
            </w:r>
          </w:p>
        </w:tc>
        <w:tc>
          <w:tcPr/>
          <w:p>
            <w:pPr>
              <w:pStyle w:val="Compact"/>
              <w:jc w:val="right"/>
            </w:pPr>
            <w:r>
              <w:t xml:space="preserve">€ 2,696.47</w:t>
            </w:r>
          </w:p>
        </w:tc>
      </w:tr>
      <w:tr>
        <w:tc>
          <w:tcPr/>
          <w:p>
            <w:pPr>
              <w:pStyle w:val="Compact"/>
            </w:pPr>
            <w:r>
              <w:t xml:space="preserve">Various private donors</w:t>
            </w:r>
          </w:p>
        </w:tc>
        <w:tc>
          <w:tcPr/>
          <w:p>
            <w:pPr>
              <w:pStyle w:val="Compact"/>
            </w:pPr>
            <w:r>
              <w:t xml:space="preserve">Vocational cooking training / external study costs</w:t>
            </w:r>
          </w:p>
        </w:tc>
        <w:tc>
          <w:tcPr/>
          <w:p>
            <w:pPr>
              <w:pStyle w:val="Compact"/>
              <w:jc w:val="right"/>
            </w:pPr>
            <w:r>
              <w:t xml:space="preserve">S/ 64,327.00</w:t>
            </w:r>
          </w:p>
        </w:tc>
        <w:tc>
          <w:tcPr/>
          <w:p>
            <w:pPr>
              <w:pStyle w:val="Compact"/>
              <w:jc w:val="right"/>
            </w:pPr>
            <w:r>
              <w:t xml:space="preserve">€ 17,480.16</w:t>
            </w:r>
          </w:p>
        </w:tc>
      </w:tr>
      <w:tr>
        <w:tc>
          <w:tcPr/>
          <w:p>
            <w:pPr>
              <w:pStyle w:val="Compact"/>
            </w:pPr>
            <w:r>
              <w:t xml:space="preserve">Stichting Mamita Alice</w:t>
            </w:r>
          </w:p>
        </w:tc>
        <w:tc>
          <w:tcPr/>
          <w:p>
            <w:pPr>
              <w:pStyle w:val="Compact"/>
            </w:pPr>
            <w:r>
              <w:t xml:space="preserve">Vocational cooking training</w:t>
            </w:r>
          </w:p>
        </w:tc>
        <w:tc>
          <w:tcPr/>
          <w:p>
            <w:pPr>
              <w:pStyle w:val="Compact"/>
              <w:jc w:val="right"/>
            </w:pPr>
            <w:r>
              <w:t xml:space="preserve">S/ 162,345.53</w:t>
            </w:r>
          </w:p>
        </w:tc>
        <w:tc>
          <w:tcPr/>
          <w:p>
            <w:pPr>
              <w:pStyle w:val="Compact"/>
              <w:jc w:val="right"/>
            </w:pPr>
            <w:r>
              <w:t xml:space="preserve">€ 20,000.00</w:t>
            </w:r>
          </w:p>
        </w:tc>
      </w:tr>
      <w:tr>
        <w:tc>
          <w:tcPr/>
          <w:p>
            <w:pPr>
              <w:pStyle w:val="Compact"/>
            </w:pPr>
            <w:r>
              <w:t xml:space="preserve">Stichting Kinderen van de Zon</w:t>
            </w:r>
          </w:p>
        </w:tc>
        <w:tc>
          <w:tcPr/>
          <w:p>
            <w:pPr>
              <w:pStyle w:val="Compact"/>
            </w:pPr>
            <w:r>
              <w:t xml:space="preserve">Vocational cooking training</w:t>
            </w:r>
          </w:p>
        </w:tc>
        <w:tc>
          <w:tcPr/>
          <w:p>
            <w:pPr>
              <w:pStyle w:val="Compact"/>
              <w:jc w:val="right"/>
            </w:pPr>
            <w:r>
              <w:t xml:space="preserve">S/ 143,390.54</w:t>
            </w:r>
          </w:p>
        </w:tc>
        <w:tc>
          <w:tcPr/>
          <w:p>
            <w:pPr>
              <w:pStyle w:val="Compact"/>
              <w:jc w:val="right"/>
            </w:pPr>
            <w:r>
              <w:t xml:space="preserve">€ 38,964.82</w:t>
            </w:r>
          </w:p>
        </w:tc>
      </w:tr>
      <w:tr>
        <w:tc>
          <w:tcPr/>
          <w:p>
            <w:pPr>
              <w:pStyle w:val="Compact"/>
            </w:pPr>
            <w:r>
              <w:t xml:space="preserve">Mark</w:t>
            </w:r>
          </w:p>
        </w:tc>
        <w:tc>
          <w:tcPr/>
          <w:p>
            <w:pPr>
              <w:pStyle w:val="Compact"/>
            </w:pPr>
            <w:r>
              <w:t xml:space="preserve">Equipment for vocational training</w:t>
            </w:r>
          </w:p>
        </w:tc>
        <w:tc>
          <w:tcPr/>
          <w:p>
            <w:pPr>
              <w:pStyle w:val="Compact"/>
              <w:jc w:val="right"/>
            </w:pPr>
            <w:r>
              <w:t xml:space="preserve">S/ 17,165.00</w:t>
            </w:r>
          </w:p>
        </w:tc>
        <w:tc>
          <w:tcPr/>
          <w:p>
            <w:pPr>
              <w:pStyle w:val="Compact"/>
              <w:jc w:val="right"/>
            </w:pPr>
            <w:r>
              <w:t xml:space="preserve">€ 4,664.40</w:t>
            </w:r>
          </w:p>
        </w:tc>
      </w:tr>
      <w:tr>
        <w:tc>
          <w:tcPr/>
          <w:p>
            <w:pPr>
              <w:pStyle w:val="Compact"/>
            </w:pPr>
            <w:r>
              <w:t xml:space="preserve">Rotary Club</w:t>
            </w:r>
          </w:p>
        </w:tc>
        <w:tc>
          <w:tcPr/>
          <w:p>
            <w:pPr>
              <w:pStyle w:val="Compact"/>
            </w:pPr>
            <w:r>
              <w:t xml:space="preserve">Equipment for cooking training</w:t>
            </w:r>
          </w:p>
        </w:tc>
        <w:tc>
          <w:tcPr/>
          <w:p>
            <w:pPr>
              <w:pStyle w:val="Compact"/>
              <w:jc w:val="right"/>
            </w:pPr>
            <w:r>
              <w:t xml:space="preserve">S/ 22,839.88</w:t>
            </w:r>
          </w:p>
        </w:tc>
        <w:tc>
          <w:tcPr/>
          <w:p>
            <w:pPr>
              <w:pStyle w:val="Compact"/>
              <w:jc w:val="right"/>
            </w:pPr>
            <w:r>
              <w:t xml:space="preserve">€ 6,000.00</w:t>
            </w:r>
          </w:p>
        </w:tc>
      </w:tr>
      <w:tr>
        <w:tc>
          <w:tcPr/>
          <w:p>
            <w:pPr>
              <w:pStyle w:val="Compact"/>
            </w:pPr>
            <w:r>
              <w:t xml:space="preserve">Altipacha</w:t>
            </w:r>
          </w:p>
        </w:tc>
        <w:tc>
          <w:tcPr/>
          <w:p>
            <w:pPr>
              <w:pStyle w:val="Compact"/>
            </w:pPr>
            <w:r>
              <w:t xml:space="preserve">Equipment/accommodation for vocational training</w:t>
            </w:r>
          </w:p>
        </w:tc>
        <w:tc>
          <w:tcPr/>
          <w:p>
            <w:pPr>
              <w:pStyle w:val="Compact"/>
              <w:jc w:val="right"/>
            </w:pPr>
            <w:r>
              <w:t xml:space="preserve">S/ 23,268.00</w:t>
            </w:r>
          </w:p>
        </w:tc>
        <w:tc>
          <w:tcPr/>
          <w:p>
            <w:pPr>
              <w:pStyle w:val="Compact"/>
              <w:jc w:val="right"/>
            </w:pPr>
            <w:r>
              <w:t xml:space="preserve">€ 6,322.83</w:t>
            </w:r>
          </w:p>
        </w:tc>
      </w:tr>
      <w:tr>
        <w:tc>
          <w:tcPr/>
          <w:p>
            <w:pPr>
              <w:pStyle w:val="Compact"/>
            </w:pPr>
            <w:r>
              <w:rPr>
                <w:b/>
                <w:bCs/>
              </w:rPr>
              <w:t xml:space="preserve">Subtotal</w:t>
            </w:r>
          </w:p>
        </w:tc>
        <w:tc>
          <w:tcPr/>
          <w:p>
            <w:pPr>
              <w:pStyle w:val="Compact"/>
            </w:pPr>
          </w:p>
        </w:tc>
        <w:tc>
          <w:tcPr/>
          <w:p>
            <w:pPr>
              <w:pStyle w:val="Compact"/>
              <w:jc w:val="right"/>
            </w:pPr>
            <w:r>
              <w:rPr>
                <w:b/>
                <w:bCs/>
              </w:rPr>
              <w:t xml:space="preserve">S/ 934,271.87</w:t>
            </w:r>
          </w:p>
        </w:tc>
        <w:tc>
          <w:tcPr/>
          <w:p>
            <w:pPr>
              <w:pStyle w:val="Compact"/>
              <w:jc w:val="right"/>
            </w:pPr>
            <w:r>
              <w:rPr>
                <w:b/>
                <w:bCs/>
              </w:rPr>
              <w:t xml:space="preserve">€ 244,874.65</w:t>
            </w:r>
          </w:p>
        </w:tc>
      </w:tr>
    </w:tbl>
    <w:bookmarkEnd w:id="16"/>
    <w:bookmarkStart w:id="17" w:name="Xf2f936a3f4d0d3ea3d688ef62ea2cfce4f3f54e"/>
    <w:p>
      <w:pPr>
        <w:pStyle w:val="Heading3"/>
      </w:pPr>
      <w:r>
        <w:t xml:space="preserve">Natural-grass football pitch and Rock &amp; Water</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Funding source</w:t>
            </w:r>
          </w:p>
        </w:tc>
        <w:tc>
          <w:tcPr/>
          <w:p>
            <w:pPr>
              <w:pStyle w:val="Compact"/>
            </w:pPr>
            <w:r>
              <w:t xml:space="preserve">Purpose</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World of Children Foundation</w:t>
            </w:r>
          </w:p>
        </w:tc>
        <w:tc>
          <w:tcPr/>
          <w:p>
            <w:pPr>
              <w:pStyle w:val="Compact"/>
            </w:pPr>
            <w:r>
              <w:t xml:space="preserve">Reimbursement of costs related to the natural-grass pitch and Rock &amp; Water programme</w:t>
            </w:r>
          </w:p>
        </w:tc>
        <w:tc>
          <w:tcPr/>
          <w:p>
            <w:pPr>
              <w:pStyle w:val="Compact"/>
              <w:jc w:val="right"/>
            </w:pPr>
            <w:r>
              <w:t xml:space="preserve">S/ 86,549.35</w:t>
            </w:r>
          </w:p>
        </w:tc>
        <w:tc>
          <w:tcPr/>
          <w:p>
            <w:pPr>
              <w:pStyle w:val="Compact"/>
              <w:jc w:val="right"/>
            </w:pPr>
            <w:r>
              <w:t xml:space="preserve">€ 25,052.00</w:t>
            </w:r>
          </w:p>
        </w:tc>
      </w:tr>
      <w:tr>
        <w:tc>
          <w:tcPr/>
          <w:p>
            <w:pPr>
              <w:pStyle w:val="Compact"/>
            </w:pPr>
            <w:r>
              <w:rPr>
                <w:b/>
                <w:bCs/>
              </w:rPr>
              <w:t xml:space="preserve">Subtotal</w:t>
            </w:r>
          </w:p>
        </w:tc>
        <w:tc>
          <w:tcPr/>
          <w:p>
            <w:pPr>
              <w:pStyle w:val="Compact"/>
            </w:pPr>
          </w:p>
        </w:tc>
        <w:tc>
          <w:tcPr/>
          <w:p>
            <w:pPr>
              <w:pStyle w:val="Compact"/>
              <w:jc w:val="right"/>
            </w:pPr>
            <w:r>
              <w:rPr>
                <w:b/>
                <w:bCs/>
              </w:rPr>
              <w:t xml:space="preserve">S/ 86,549.35</w:t>
            </w:r>
          </w:p>
        </w:tc>
        <w:tc>
          <w:tcPr/>
          <w:p>
            <w:pPr>
              <w:pStyle w:val="Compact"/>
              <w:jc w:val="right"/>
            </w:pPr>
            <w:r>
              <w:rPr>
                <w:b/>
                <w:bCs/>
              </w:rPr>
              <w:t xml:space="preserve">€ 25,052.00</w:t>
            </w:r>
          </w:p>
        </w:tc>
      </w:tr>
    </w:tbl>
    <w:bookmarkEnd w:id="17"/>
    <w:bookmarkStart w:id="18" w:name="X379fc1784971887fda64e16911c44ecbfee5455"/>
    <w:p>
      <w:pPr>
        <w:pStyle w:val="Heading3"/>
      </w:pPr>
      <w:r>
        <w:t xml:space="preserve">Formación para Todos – completion of accommodation facilities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Funding source</w:t>
            </w:r>
          </w:p>
        </w:tc>
        <w:tc>
          <w:tcPr/>
          <w:p>
            <w:pPr>
              <w:pStyle w:val="Compact"/>
            </w:pPr>
            <w:r>
              <w:t xml:space="preserve">Purpose</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Foundation Wilde Ganzen</w:t>
            </w:r>
          </w:p>
        </w:tc>
        <w:tc>
          <w:tcPr/>
          <w:p>
            <w:pPr>
              <w:pStyle w:val="Compact"/>
            </w:pPr>
            <w:r>
              <w:t xml:space="preserve">Completion of accommodation modules</w:t>
            </w:r>
          </w:p>
        </w:tc>
        <w:tc>
          <w:tcPr/>
          <w:p>
            <w:pPr>
              <w:pStyle w:val="Compact"/>
              <w:jc w:val="right"/>
            </w:pPr>
            <w:r>
              <w:t xml:space="preserve">S/ 186,825.00</w:t>
            </w:r>
          </w:p>
        </w:tc>
        <w:tc>
          <w:tcPr/>
          <w:p>
            <w:pPr>
              <w:pStyle w:val="Compact"/>
              <w:jc w:val="right"/>
            </w:pPr>
            <w:r>
              <w:t xml:space="preserve">€ 50,000.00</w:t>
            </w:r>
          </w:p>
        </w:tc>
      </w:tr>
      <w:tr>
        <w:tc>
          <w:tcPr/>
          <w:p>
            <w:pPr>
              <w:pStyle w:val="Compact"/>
            </w:pPr>
            <w:r>
              <w:t xml:space="preserve">Peter and Huub</w:t>
            </w:r>
          </w:p>
        </w:tc>
        <w:tc>
          <w:tcPr/>
          <w:p>
            <w:pPr>
              <w:pStyle w:val="Compact"/>
            </w:pPr>
            <w:r>
              <w:t xml:space="preserve">Completion of accommodation modules</w:t>
            </w:r>
          </w:p>
        </w:tc>
        <w:tc>
          <w:tcPr/>
          <w:p>
            <w:pPr>
              <w:pStyle w:val="Compact"/>
              <w:jc w:val="right"/>
            </w:pPr>
            <w:r>
              <w:t xml:space="preserve">S/ 53,197.50</w:t>
            </w:r>
          </w:p>
        </w:tc>
        <w:tc>
          <w:tcPr/>
          <w:p>
            <w:pPr>
              <w:pStyle w:val="Compact"/>
              <w:jc w:val="right"/>
            </w:pPr>
            <w:r>
              <w:t xml:space="preserve">€ 13,000.00</w:t>
            </w:r>
          </w:p>
        </w:tc>
      </w:tr>
      <w:tr>
        <w:tc>
          <w:tcPr/>
          <w:p>
            <w:pPr>
              <w:pStyle w:val="Compact"/>
            </w:pPr>
            <w:r>
              <w:rPr>
                <w:b/>
                <w:bCs/>
              </w:rPr>
              <w:t xml:space="preserve">Subtotal</w:t>
            </w:r>
          </w:p>
        </w:tc>
        <w:tc>
          <w:tcPr/>
          <w:p>
            <w:pPr>
              <w:pStyle w:val="Compact"/>
            </w:pPr>
          </w:p>
        </w:tc>
        <w:tc>
          <w:tcPr/>
          <w:p>
            <w:pPr>
              <w:pStyle w:val="Compact"/>
              <w:jc w:val="right"/>
            </w:pPr>
            <w:r>
              <w:rPr>
                <w:b/>
                <w:bCs/>
              </w:rPr>
              <w:t xml:space="preserve">S/ 240,022.50</w:t>
            </w:r>
          </w:p>
        </w:tc>
        <w:tc>
          <w:tcPr/>
          <w:p>
            <w:pPr>
              <w:pStyle w:val="Compact"/>
              <w:jc w:val="right"/>
            </w:pPr>
            <w:r>
              <w:rPr>
                <w:b/>
                <w:bCs/>
              </w:rPr>
              <w:t xml:space="preserve">€ 63,000.00</w:t>
            </w:r>
          </w:p>
        </w:tc>
      </w:tr>
    </w:tbl>
    <w:bookmarkEnd w:id="18"/>
    <w:bookmarkStart w:id="19" w:name="htc-road-maintenance"/>
    <w:p>
      <w:pPr>
        <w:pStyle w:val="Heading3"/>
      </w:pPr>
      <w:r>
        <w:t xml:space="preserve">HTC road maintenance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Funding source</w:t>
            </w:r>
          </w:p>
        </w:tc>
        <w:tc>
          <w:tcPr/>
          <w:p>
            <w:pPr>
              <w:pStyle w:val="Compact"/>
            </w:pPr>
            <w:r>
              <w:t xml:space="preserve">Purpose</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Hans Boot</w:t>
            </w:r>
          </w:p>
        </w:tc>
        <w:tc>
          <w:tcPr/>
          <w:p>
            <w:pPr>
              <w:pStyle w:val="Compact"/>
            </w:pPr>
            <w:r>
              <w:t xml:space="preserve">Maintenance of the road to the HTC</w:t>
            </w:r>
          </w:p>
        </w:tc>
        <w:tc>
          <w:tcPr/>
          <w:p>
            <w:pPr>
              <w:pStyle w:val="Compact"/>
              <w:jc w:val="right"/>
            </w:pPr>
            <w:r>
              <w:t xml:space="preserve">S/ 17,671.62</w:t>
            </w:r>
          </w:p>
        </w:tc>
        <w:tc>
          <w:tcPr/>
          <w:p>
            <w:pPr>
              <w:pStyle w:val="Compact"/>
              <w:jc w:val="right"/>
            </w:pPr>
            <w:r>
              <w:t xml:space="preserve">€ 5,000.00</w:t>
            </w:r>
          </w:p>
        </w:tc>
      </w:tr>
      <w:tr>
        <w:tc>
          <w:tcPr/>
          <w:p>
            <w:pPr>
              <w:pStyle w:val="Compact"/>
            </w:pPr>
            <w:r>
              <w:rPr>
                <w:b/>
                <w:bCs/>
              </w:rPr>
              <w:t xml:space="preserve">Subtotal</w:t>
            </w:r>
          </w:p>
        </w:tc>
        <w:tc>
          <w:tcPr/>
          <w:p>
            <w:pPr>
              <w:pStyle w:val="Compact"/>
            </w:pPr>
          </w:p>
        </w:tc>
        <w:tc>
          <w:tcPr/>
          <w:p>
            <w:pPr>
              <w:pStyle w:val="Compact"/>
              <w:jc w:val="right"/>
            </w:pPr>
            <w:r>
              <w:rPr>
                <w:b/>
                <w:bCs/>
              </w:rPr>
              <w:t xml:space="preserve">S/ 17,671.62</w:t>
            </w:r>
          </w:p>
        </w:tc>
        <w:tc>
          <w:tcPr/>
          <w:p>
            <w:pPr>
              <w:pStyle w:val="Compact"/>
              <w:jc w:val="right"/>
            </w:pPr>
            <w:r>
              <w:rPr>
                <w:b/>
                <w:bCs/>
              </w:rPr>
              <w:t xml:space="preserve">€ 5,000.00</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Soles</w:t>
            </w:r>
          </w:p>
        </w:tc>
        <w:tc>
          <w:tcPr/>
          <w:p>
            <w:pPr>
              <w:pStyle w:val="Compact"/>
              <w:jc w:val="right"/>
            </w:pPr>
            <w:r>
              <w:t xml:space="preserve">Euros*</w:t>
            </w:r>
          </w:p>
        </w:tc>
      </w:tr>
      <w:tr>
        <w:tc>
          <w:tcPr/>
          <w:p>
            <w:pPr>
              <w:pStyle w:val="Compact"/>
            </w:pPr>
            <w:r>
              <w:rPr>
                <w:b/>
                <w:bCs/>
              </w:rPr>
              <w:t xml:space="preserve">TOTAL INCOME 2025</w:t>
            </w:r>
          </w:p>
        </w:tc>
        <w:tc>
          <w:tcPr/>
          <w:p>
            <w:pPr>
              <w:pStyle w:val="Compact"/>
              <w:jc w:val="right"/>
            </w:pPr>
            <w:r>
              <w:rPr>
                <w:b/>
                <w:bCs/>
              </w:rPr>
              <w:t xml:space="preserve">S/ 1,278,515.34</w:t>
            </w:r>
          </w:p>
        </w:tc>
        <w:tc>
          <w:tcPr/>
          <w:p>
            <w:pPr>
              <w:pStyle w:val="Compact"/>
              <w:jc w:val="right"/>
            </w:pPr>
            <w:r>
              <w:rPr>
                <w:b/>
                <w:bCs/>
              </w:rPr>
              <w:t xml:space="preserve">€ 312,874.65</w:t>
            </w:r>
          </w:p>
        </w:tc>
      </w:tr>
    </w:tbl>
    <w:p>
      <w:pPr>
        <w:pStyle w:val="BodyText"/>
      </w:pPr>
      <w:r>
        <w:t xml:space="preserve">*The euro amounts above have been reproduced from the 2025 financial working document. Because some income was received in different currencies and/or at different exchange rates, the euro figures should be checked against the underlying bank records and accounting before publication.</w:t>
      </w:r>
    </w:p>
    <w:p>
      <w:pPr>
        <w:pStyle w:val="BodyText"/>
      </w:pPr>
      <w:r>
        <w:t xml:space="preserve">Income in 2025 came from a combination of long-term partner organisations, foundations, private donors and specifically funded projects. A substantial part of the income was earmarked for vocational training and the completion and implementation of accommodation facilities.</w:t>
      </w:r>
    </w:p>
    <w:p>
      <w:pPr>
        <w:pStyle w:val="BodyText"/>
      </w:pPr>
      <w:r>
        <w:t xml:space="preserve">This explains why total income cannot be compared directly with the regular annual budget of S/ 807,343.63: several of these income streams were specifically designated for investments and projects outside the regular operating budget.</w:t>
      </w:r>
    </w:p>
    <w:p>
      <w:r>
        <w:pict>
          <v:rect style="width:0;height:1.5pt" o:hralign="center" o:hrstd="t" o:hr="t"/>
        </w:pict>
      </w:r>
    </w:p>
    <w:bookmarkEnd w:id="19"/>
    <w:bookmarkEnd w:id="20"/>
    <w:bookmarkEnd w:id="21"/>
    <w:bookmarkStart w:id="25" w:name="expenditure-2025"/>
    <w:p>
      <w:pPr>
        <w:pStyle w:val="Heading1"/>
      </w:pPr>
      <w:r>
        <w:t xml:space="preserve">EXPENDITURE 2025</w:t>
      </w:r>
    </w:p>
    <w:bookmarkStart w:id="22" w:name="main-mama-alice-programmes"/>
    <w:p>
      <w:pPr>
        <w:pStyle w:val="Heading2"/>
      </w:pPr>
      <w:r>
        <w:t xml:space="preserve">Main Mama Alice programmes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Category</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Salaries</w:t>
            </w:r>
          </w:p>
        </w:tc>
        <w:tc>
          <w:tcPr/>
          <w:p>
            <w:pPr>
              <w:pStyle w:val="Compact"/>
              <w:jc w:val="right"/>
            </w:pPr>
            <w:r>
              <w:t xml:space="preserve">S/ 371,282.96</w:t>
            </w:r>
          </w:p>
        </w:tc>
        <w:tc>
          <w:tcPr/>
          <w:p>
            <w:pPr>
              <w:pStyle w:val="Compact"/>
              <w:jc w:val="right"/>
            </w:pPr>
            <w:r>
              <w:t xml:space="preserve">€ 100,892.11</w:t>
            </w:r>
          </w:p>
        </w:tc>
      </w:tr>
      <w:tr>
        <w:tc>
          <w:tcPr/>
          <w:p>
            <w:pPr>
              <w:pStyle w:val="Compact"/>
            </w:pPr>
            <w:r>
              <w:t xml:space="preserve">Staff training</w:t>
            </w:r>
          </w:p>
        </w:tc>
        <w:tc>
          <w:tcPr/>
          <w:p>
            <w:pPr>
              <w:pStyle w:val="Compact"/>
              <w:jc w:val="right"/>
            </w:pPr>
            <w:r>
              <w:t xml:space="preserve">S/ 2,887.50</w:t>
            </w:r>
          </w:p>
        </w:tc>
        <w:tc>
          <w:tcPr/>
          <w:p>
            <w:pPr>
              <w:pStyle w:val="Compact"/>
              <w:jc w:val="right"/>
            </w:pPr>
            <w:r>
              <w:t xml:space="preserve">€ 784.65</w:t>
            </w:r>
          </w:p>
        </w:tc>
      </w:tr>
      <w:tr>
        <w:tc>
          <w:tcPr/>
          <w:p>
            <w:pPr>
              <w:pStyle w:val="Compact"/>
            </w:pPr>
            <w:r>
              <w:t xml:space="preserve">Transportation</w:t>
            </w:r>
          </w:p>
        </w:tc>
        <w:tc>
          <w:tcPr/>
          <w:p>
            <w:pPr>
              <w:pStyle w:val="Compact"/>
              <w:jc w:val="right"/>
            </w:pPr>
            <w:r>
              <w:t xml:space="preserve">S/ 30,367.69</w:t>
            </w:r>
          </w:p>
        </w:tc>
        <w:tc>
          <w:tcPr/>
          <w:p>
            <w:pPr>
              <w:pStyle w:val="Compact"/>
              <w:jc w:val="right"/>
            </w:pPr>
            <w:r>
              <w:t xml:space="preserve">€ 8,252.09</w:t>
            </w:r>
          </w:p>
        </w:tc>
      </w:tr>
      <w:tr>
        <w:tc>
          <w:tcPr/>
          <w:p>
            <w:pPr>
              <w:pStyle w:val="Compact"/>
            </w:pPr>
            <w:r>
              <w:t xml:space="preserve">Costs in Lima</w:t>
            </w:r>
          </w:p>
        </w:tc>
        <w:tc>
          <w:tcPr/>
          <w:p>
            <w:pPr>
              <w:pStyle w:val="Compact"/>
              <w:jc w:val="right"/>
            </w:pPr>
            <w:r>
              <w:t xml:space="preserve">S/ 2,660.89</w:t>
            </w:r>
          </w:p>
        </w:tc>
        <w:tc>
          <w:tcPr/>
          <w:p>
            <w:pPr>
              <w:pStyle w:val="Compact"/>
              <w:jc w:val="right"/>
            </w:pPr>
            <w:r>
              <w:t xml:space="preserve">€ 723.07</w:t>
            </w:r>
          </w:p>
        </w:tc>
      </w:tr>
      <w:tr>
        <w:tc>
          <w:tcPr/>
          <w:p>
            <w:pPr>
              <w:pStyle w:val="Compact"/>
            </w:pPr>
            <w:r>
              <w:t xml:space="preserve">Staff fees</w:t>
            </w:r>
          </w:p>
        </w:tc>
        <w:tc>
          <w:tcPr/>
          <w:p>
            <w:pPr>
              <w:pStyle w:val="Compact"/>
              <w:jc w:val="right"/>
            </w:pPr>
            <w:r>
              <w:t xml:space="preserve">S/ 150,081.21</w:t>
            </w:r>
          </w:p>
        </w:tc>
        <w:tc>
          <w:tcPr/>
          <w:p>
            <w:pPr>
              <w:pStyle w:val="Compact"/>
              <w:jc w:val="right"/>
            </w:pPr>
            <w:r>
              <w:t xml:space="preserve">€ 40,782.94</w:t>
            </w:r>
          </w:p>
        </w:tc>
      </w:tr>
      <w:tr>
        <w:tc>
          <w:tcPr/>
          <w:p>
            <w:pPr>
              <w:pStyle w:val="Compact"/>
            </w:pPr>
            <w:r>
              <w:t xml:space="preserve">External professional and technical services</w:t>
            </w:r>
          </w:p>
        </w:tc>
        <w:tc>
          <w:tcPr/>
          <w:p>
            <w:pPr>
              <w:pStyle w:val="Compact"/>
              <w:jc w:val="right"/>
            </w:pPr>
            <w:r>
              <w:t xml:space="preserve">S/ 56,237.30</w:t>
            </w:r>
          </w:p>
        </w:tc>
        <w:tc>
          <w:tcPr/>
          <w:p>
            <w:pPr>
              <w:pStyle w:val="Compact"/>
              <w:jc w:val="right"/>
            </w:pPr>
            <w:r>
              <w:t xml:space="preserve">€ 15,281.88</w:t>
            </w:r>
          </w:p>
        </w:tc>
      </w:tr>
      <w:tr>
        <w:tc>
          <w:tcPr/>
          <w:p>
            <w:pPr>
              <w:pStyle w:val="Compact"/>
            </w:pPr>
            <w:r>
              <w:t xml:space="preserve">Accounting/auditor fees</w:t>
            </w:r>
          </w:p>
        </w:tc>
        <w:tc>
          <w:tcPr/>
          <w:p>
            <w:pPr>
              <w:pStyle w:val="Compact"/>
              <w:jc w:val="right"/>
            </w:pPr>
            <w:r>
              <w:t xml:space="preserve">S/ 4,700.00</w:t>
            </w:r>
          </w:p>
        </w:tc>
        <w:tc>
          <w:tcPr/>
          <w:p>
            <w:pPr>
              <w:pStyle w:val="Compact"/>
              <w:jc w:val="right"/>
            </w:pPr>
            <w:r>
              <w:t xml:space="preserve">€ 1,277.17</w:t>
            </w:r>
          </w:p>
        </w:tc>
      </w:tr>
      <w:tr>
        <w:tc>
          <w:tcPr/>
          <w:p>
            <w:pPr>
              <w:pStyle w:val="Compact"/>
            </w:pPr>
            <w:r>
              <w:t xml:space="preserve">Legal expenses</w:t>
            </w:r>
          </w:p>
        </w:tc>
        <w:tc>
          <w:tcPr/>
          <w:p>
            <w:pPr>
              <w:pStyle w:val="Compact"/>
              <w:jc w:val="right"/>
            </w:pPr>
            <w:r>
              <w:t xml:space="preserve">S/ 2,000.00</w:t>
            </w:r>
          </w:p>
        </w:tc>
        <w:tc>
          <w:tcPr/>
          <w:p>
            <w:pPr>
              <w:pStyle w:val="Compact"/>
              <w:jc w:val="right"/>
            </w:pPr>
            <w:r>
              <w:t xml:space="preserve">€ 543.48</w:t>
            </w:r>
          </w:p>
        </w:tc>
      </w:tr>
      <w:tr>
        <w:tc>
          <w:tcPr/>
          <w:p>
            <w:pPr>
              <w:pStyle w:val="Compact"/>
            </w:pPr>
            <w:r>
              <w:t xml:space="preserve">Premises rental</w:t>
            </w:r>
          </w:p>
        </w:tc>
        <w:tc>
          <w:tcPr/>
          <w:p>
            <w:pPr>
              <w:pStyle w:val="Compact"/>
              <w:jc w:val="right"/>
            </w:pPr>
            <w:r>
              <w:t xml:space="preserve">S/ 11,012.00</w:t>
            </w:r>
          </w:p>
        </w:tc>
        <w:tc>
          <w:tcPr/>
          <w:p>
            <w:pPr>
              <w:pStyle w:val="Compact"/>
              <w:jc w:val="right"/>
            </w:pPr>
            <w:r>
              <w:t xml:space="preserve">€ 2,992.39</w:t>
            </w:r>
          </w:p>
        </w:tc>
      </w:tr>
      <w:tr>
        <w:tc>
          <w:tcPr/>
          <w:p>
            <w:pPr>
              <w:pStyle w:val="Compact"/>
            </w:pPr>
            <w:r>
              <w:t xml:space="preserve">Machinery rental</w:t>
            </w:r>
          </w:p>
        </w:tc>
        <w:tc>
          <w:tcPr/>
          <w:p>
            <w:pPr>
              <w:pStyle w:val="Compact"/>
              <w:jc w:val="right"/>
            </w:pPr>
            <w:r>
              <w:t xml:space="preserve">S/ 1,820.00</w:t>
            </w:r>
          </w:p>
        </w:tc>
        <w:tc>
          <w:tcPr/>
          <w:p>
            <w:pPr>
              <w:pStyle w:val="Compact"/>
              <w:jc w:val="right"/>
            </w:pPr>
            <w:r>
              <w:t xml:space="preserve">€ 494.57</w:t>
            </w:r>
          </w:p>
        </w:tc>
      </w:tr>
      <w:tr>
        <w:tc>
          <w:tcPr/>
          <w:p>
            <w:pPr>
              <w:pStyle w:val="Compact"/>
            </w:pPr>
            <w:r>
              <w:t xml:space="preserve">Basic services – water, electricity, telephone and internet</w:t>
            </w:r>
          </w:p>
        </w:tc>
        <w:tc>
          <w:tcPr/>
          <w:p>
            <w:pPr>
              <w:pStyle w:val="Compact"/>
              <w:jc w:val="right"/>
            </w:pPr>
            <w:r>
              <w:t xml:space="preserve">S/ 16,032.94</w:t>
            </w:r>
          </w:p>
        </w:tc>
        <w:tc>
          <w:tcPr/>
          <w:p>
            <w:pPr>
              <w:pStyle w:val="Compact"/>
              <w:jc w:val="right"/>
            </w:pPr>
            <w:r>
              <w:t xml:space="preserve">€ 4,356.78</w:t>
            </w:r>
          </w:p>
        </w:tc>
      </w:tr>
      <w:tr>
        <w:tc>
          <w:tcPr/>
          <w:p>
            <w:pPr>
              <w:pStyle w:val="Compact"/>
            </w:pPr>
            <w:r>
              <w:t xml:space="preserve">School supplies, books, copies, creative materials and games</w:t>
            </w:r>
          </w:p>
        </w:tc>
        <w:tc>
          <w:tcPr/>
          <w:p>
            <w:pPr>
              <w:pStyle w:val="Compact"/>
              <w:jc w:val="right"/>
            </w:pPr>
            <w:r>
              <w:t xml:space="preserve">S/ 14,621.81</w:t>
            </w:r>
          </w:p>
        </w:tc>
        <w:tc>
          <w:tcPr/>
          <w:p>
            <w:pPr>
              <w:pStyle w:val="Compact"/>
              <w:jc w:val="right"/>
            </w:pPr>
            <w:r>
              <w:t xml:space="preserve">€ 3,973.32</w:t>
            </w:r>
          </w:p>
        </w:tc>
      </w:tr>
      <w:tr>
        <w:tc>
          <w:tcPr/>
          <w:p>
            <w:pPr>
              <w:pStyle w:val="Compact"/>
            </w:pPr>
            <w:r>
              <w:t xml:space="preserve">Food and supplies for cooking classes</w:t>
            </w:r>
          </w:p>
        </w:tc>
        <w:tc>
          <w:tcPr/>
          <w:p>
            <w:pPr>
              <w:pStyle w:val="Compact"/>
              <w:jc w:val="right"/>
            </w:pPr>
            <w:r>
              <w:t xml:space="preserve">S/ 116,931.78</w:t>
            </w:r>
          </w:p>
        </w:tc>
        <w:tc>
          <w:tcPr/>
          <w:p>
            <w:pPr>
              <w:pStyle w:val="Compact"/>
              <w:jc w:val="right"/>
            </w:pPr>
            <w:r>
              <w:t xml:space="preserve">€ 31,774.94</w:t>
            </w:r>
          </w:p>
        </w:tc>
      </w:tr>
      <w:tr>
        <w:tc>
          <w:tcPr/>
          <w:p>
            <w:pPr>
              <w:pStyle w:val="Compact"/>
            </w:pPr>
            <w:r>
              <w:t xml:space="preserve">Medicines</w:t>
            </w:r>
          </w:p>
        </w:tc>
        <w:tc>
          <w:tcPr/>
          <w:p>
            <w:pPr>
              <w:pStyle w:val="Compact"/>
              <w:jc w:val="right"/>
            </w:pPr>
            <w:r>
              <w:t xml:space="preserve">S/ 605.51</w:t>
            </w:r>
          </w:p>
        </w:tc>
        <w:tc>
          <w:tcPr/>
          <w:p>
            <w:pPr>
              <w:pStyle w:val="Compact"/>
              <w:jc w:val="right"/>
            </w:pPr>
            <w:r>
              <w:t xml:space="preserve">€ 164.54</w:t>
            </w:r>
          </w:p>
        </w:tc>
      </w:tr>
      <w:tr>
        <w:tc>
          <w:tcPr/>
          <w:p>
            <w:pPr>
              <w:pStyle w:val="Compact"/>
            </w:pPr>
            <w:r>
              <w:t xml:space="preserve">Cleaning materials</w:t>
            </w:r>
          </w:p>
        </w:tc>
        <w:tc>
          <w:tcPr/>
          <w:p>
            <w:pPr>
              <w:pStyle w:val="Compact"/>
              <w:jc w:val="right"/>
            </w:pPr>
            <w:r>
              <w:t xml:space="preserve">S/ 4,786.97</w:t>
            </w:r>
          </w:p>
        </w:tc>
        <w:tc>
          <w:tcPr/>
          <w:p>
            <w:pPr>
              <w:pStyle w:val="Compact"/>
              <w:jc w:val="right"/>
            </w:pPr>
            <w:r>
              <w:t xml:space="preserve">€ 1,300.81</w:t>
            </w:r>
          </w:p>
        </w:tc>
      </w:tr>
      <w:tr>
        <w:tc>
          <w:tcPr/>
          <w:p>
            <w:pPr>
              <w:pStyle w:val="Compact"/>
            </w:pPr>
            <w:r>
              <w:t xml:space="preserve">Audiovisual and IT facilities for children in Yanama</w:t>
            </w:r>
          </w:p>
        </w:tc>
        <w:tc>
          <w:tcPr/>
          <w:p>
            <w:pPr>
              <w:pStyle w:val="Compact"/>
              <w:jc w:val="right"/>
            </w:pPr>
            <w:r>
              <w:t xml:space="preserve">S/ 62,300.00</w:t>
            </w:r>
          </w:p>
        </w:tc>
        <w:tc>
          <w:tcPr/>
          <w:p>
            <w:pPr>
              <w:pStyle w:val="Compact"/>
              <w:jc w:val="right"/>
            </w:pPr>
            <w:r>
              <w:t xml:space="preserve">€ 16,929.35</w:t>
            </w:r>
          </w:p>
        </w:tc>
      </w:tr>
      <w:tr>
        <w:tc>
          <w:tcPr/>
          <w:p>
            <w:pPr>
              <w:pStyle w:val="Compact"/>
            </w:pPr>
            <w:r>
              <w:t xml:space="preserve">Furnishing rooms for vocational training participants</w:t>
            </w:r>
          </w:p>
        </w:tc>
        <w:tc>
          <w:tcPr/>
          <w:p>
            <w:pPr>
              <w:pStyle w:val="Compact"/>
              <w:jc w:val="right"/>
            </w:pPr>
            <w:r>
              <w:t xml:space="preserve">S/ 30,351.67</w:t>
            </w:r>
          </w:p>
        </w:tc>
        <w:tc>
          <w:tcPr/>
          <w:p>
            <w:pPr>
              <w:pStyle w:val="Compact"/>
              <w:jc w:val="right"/>
            </w:pPr>
            <w:r>
              <w:t xml:space="preserve">€ 8,247.74</w:t>
            </w:r>
          </w:p>
        </w:tc>
      </w:tr>
      <w:tr>
        <w:tc>
          <w:tcPr/>
          <w:p>
            <w:pPr>
              <w:pStyle w:val="Compact"/>
            </w:pPr>
            <w:r>
              <w:t xml:space="preserve">Scholarships for former students studying at another institution</w:t>
            </w:r>
          </w:p>
        </w:tc>
        <w:tc>
          <w:tcPr/>
          <w:p>
            <w:pPr>
              <w:pStyle w:val="Compact"/>
              <w:jc w:val="right"/>
            </w:pPr>
            <w:r>
              <w:t xml:space="preserve">S/ 5,320.00</w:t>
            </w:r>
          </w:p>
        </w:tc>
        <w:tc>
          <w:tcPr/>
          <w:p>
            <w:pPr>
              <w:pStyle w:val="Compact"/>
              <w:jc w:val="right"/>
            </w:pPr>
            <w:r>
              <w:t xml:space="preserve">€ 1,445.65</w:t>
            </w:r>
          </w:p>
        </w:tc>
      </w:tr>
      <w:tr>
        <w:tc>
          <w:tcPr/>
          <w:p>
            <w:pPr>
              <w:pStyle w:val="Compact"/>
            </w:pPr>
            <w:r>
              <w:t xml:space="preserve">Documentary procedures and external insurance</w:t>
            </w:r>
          </w:p>
        </w:tc>
        <w:tc>
          <w:tcPr/>
          <w:p>
            <w:pPr>
              <w:pStyle w:val="Compact"/>
              <w:jc w:val="right"/>
            </w:pPr>
            <w:r>
              <w:t xml:space="preserve">S/ 17,542.14</w:t>
            </w:r>
          </w:p>
        </w:tc>
        <w:tc>
          <w:tcPr/>
          <w:p>
            <w:pPr>
              <w:pStyle w:val="Compact"/>
              <w:jc w:val="right"/>
            </w:pPr>
            <w:r>
              <w:t xml:space="preserve">€ 4,766.89</w:t>
            </w:r>
          </w:p>
        </w:tc>
      </w:tr>
      <w:tr>
        <w:tc>
          <w:tcPr/>
          <w:p>
            <w:pPr>
              <w:pStyle w:val="Compact"/>
            </w:pPr>
            <w:r>
              <w:t xml:space="preserve">Municipal taxes and property tax</w:t>
            </w:r>
          </w:p>
        </w:tc>
        <w:tc>
          <w:tcPr/>
          <w:p>
            <w:pPr>
              <w:pStyle w:val="Compact"/>
              <w:jc w:val="right"/>
            </w:pPr>
            <w:r>
              <w:t xml:space="preserve">S/ 1,497.92</w:t>
            </w:r>
          </w:p>
        </w:tc>
        <w:tc>
          <w:tcPr/>
          <w:p>
            <w:pPr>
              <w:pStyle w:val="Compact"/>
              <w:jc w:val="right"/>
            </w:pPr>
            <w:r>
              <w:t xml:space="preserve">€ 407.04</w:t>
            </w:r>
          </w:p>
        </w:tc>
      </w:tr>
      <w:tr>
        <w:tc>
          <w:tcPr/>
          <w:p>
            <w:pPr>
              <w:pStyle w:val="Compact"/>
            </w:pPr>
            <w:r>
              <w:t xml:space="preserve">Vehicle expenses</w:t>
            </w:r>
          </w:p>
        </w:tc>
        <w:tc>
          <w:tcPr/>
          <w:p>
            <w:pPr>
              <w:pStyle w:val="Compact"/>
              <w:jc w:val="right"/>
            </w:pPr>
            <w:r>
              <w:t xml:space="preserve">S/ 4,900.20</w:t>
            </w:r>
          </w:p>
        </w:tc>
        <w:tc>
          <w:tcPr/>
          <w:p>
            <w:pPr>
              <w:pStyle w:val="Compact"/>
              <w:jc w:val="right"/>
            </w:pPr>
            <w:r>
              <w:t xml:space="preserve">€ 1,331.58</w:t>
            </w:r>
          </w:p>
        </w:tc>
      </w:tr>
      <w:tr>
        <w:tc>
          <w:tcPr/>
          <w:p>
            <w:pPr>
              <w:pStyle w:val="Compact"/>
            </w:pPr>
            <w:r>
              <w:t xml:space="preserve">Bank expenses</w:t>
            </w:r>
          </w:p>
        </w:tc>
        <w:tc>
          <w:tcPr/>
          <w:p>
            <w:pPr>
              <w:pStyle w:val="Compact"/>
              <w:jc w:val="right"/>
            </w:pPr>
            <w:r>
              <w:t xml:space="preserve">S/ 1,188.84</w:t>
            </w:r>
          </w:p>
        </w:tc>
        <w:tc>
          <w:tcPr/>
          <w:p>
            <w:pPr>
              <w:pStyle w:val="Compact"/>
              <w:jc w:val="right"/>
            </w:pPr>
            <w:r>
              <w:t xml:space="preserve">€ 323.05</w:t>
            </w:r>
          </w:p>
        </w:tc>
      </w:tr>
      <w:tr>
        <w:tc>
          <w:tcPr/>
          <w:p>
            <w:pPr>
              <w:pStyle w:val="Compact"/>
            </w:pPr>
            <w:r>
              <w:t xml:space="preserve">Depreciation of Mama Alice fixed assets</w:t>
            </w:r>
          </w:p>
        </w:tc>
        <w:tc>
          <w:tcPr/>
          <w:p>
            <w:pPr>
              <w:pStyle w:val="Compact"/>
              <w:jc w:val="right"/>
            </w:pPr>
            <w:r>
              <w:t xml:space="preserve">S/ 13,907.70</w:t>
            </w:r>
          </w:p>
        </w:tc>
        <w:tc>
          <w:tcPr/>
          <w:p>
            <w:pPr>
              <w:pStyle w:val="Compact"/>
              <w:jc w:val="right"/>
            </w:pPr>
            <w:r>
              <w:t xml:space="preserve">€ 3,779.27</w:t>
            </w:r>
          </w:p>
        </w:tc>
      </w:tr>
      <w:tr>
        <w:tc>
          <w:tcPr/>
          <w:p>
            <w:pPr>
              <w:pStyle w:val="Compact"/>
            </w:pPr>
            <w:r>
              <w:rPr>
                <w:b/>
                <w:bCs/>
              </w:rPr>
              <w:t xml:space="preserve">Subtotal main programmes</w:t>
            </w:r>
          </w:p>
        </w:tc>
        <w:tc>
          <w:tcPr/>
          <w:p>
            <w:pPr>
              <w:pStyle w:val="Compact"/>
              <w:jc w:val="right"/>
            </w:pPr>
            <w:r>
              <w:rPr>
                <w:b/>
                <w:bCs/>
              </w:rPr>
              <w:t xml:space="preserve">S/ 923,037.03</w:t>
            </w:r>
          </w:p>
        </w:tc>
        <w:tc>
          <w:tcPr/>
          <w:p>
            <w:pPr>
              <w:pStyle w:val="Compact"/>
              <w:jc w:val="right"/>
            </w:pPr>
            <w:r>
              <w:rPr>
                <w:b/>
                <w:bCs/>
              </w:rPr>
              <w:t xml:space="preserve">€ 250,825.28</w:t>
            </w:r>
          </w:p>
        </w:tc>
      </w:tr>
    </w:tbl>
    <w:bookmarkEnd w:id="22"/>
    <w:bookmarkStart w:id="23" w:name="hospitality-training-centre"/>
    <w:p>
      <w:pPr>
        <w:pStyle w:val="Heading2"/>
      </w:pPr>
      <w:r>
        <w:t xml:space="preserve">Hospitality Training Centre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Water-pipe maintenance HTC</w:t>
            </w:r>
          </w:p>
        </w:tc>
        <w:tc>
          <w:tcPr/>
          <w:p>
            <w:pPr>
              <w:pStyle w:val="Compact"/>
              <w:jc w:val="right"/>
            </w:pPr>
            <w:r>
              <w:t xml:space="preserve">S/ 4,928.88</w:t>
            </w:r>
          </w:p>
        </w:tc>
        <w:tc>
          <w:tcPr/>
          <w:p>
            <w:pPr>
              <w:pStyle w:val="Compact"/>
              <w:jc w:val="right"/>
            </w:pPr>
            <w:r>
              <w:t xml:space="preserve">€ 1,339.37</w:t>
            </w:r>
          </w:p>
        </w:tc>
      </w:tr>
      <w:tr>
        <w:tc>
          <w:tcPr/>
          <w:p>
            <w:pPr>
              <w:pStyle w:val="Compact"/>
            </w:pPr>
            <w:r>
              <w:t xml:space="preserve">Construction of HTC wall</w:t>
            </w:r>
          </w:p>
        </w:tc>
        <w:tc>
          <w:tcPr/>
          <w:p>
            <w:pPr>
              <w:pStyle w:val="Compact"/>
              <w:jc w:val="right"/>
            </w:pPr>
            <w:r>
              <w:t xml:space="preserve">S/ 24,900.00</w:t>
            </w:r>
          </w:p>
        </w:tc>
        <w:tc>
          <w:tcPr/>
          <w:p>
            <w:pPr>
              <w:pStyle w:val="Compact"/>
              <w:jc w:val="right"/>
            </w:pPr>
            <w:r>
              <w:t xml:space="preserve">€ 6,766.30</w:t>
            </w:r>
          </w:p>
        </w:tc>
      </w:tr>
      <w:tr>
        <w:tc>
          <w:tcPr/>
          <w:p>
            <w:pPr>
              <w:pStyle w:val="Compact"/>
            </w:pPr>
            <w:r>
              <w:t xml:space="preserve">Road maintenance HTC</w:t>
            </w:r>
          </w:p>
        </w:tc>
        <w:tc>
          <w:tcPr/>
          <w:p>
            <w:pPr>
              <w:pStyle w:val="Compact"/>
              <w:jc w:val="right"/>
            </w:pPr>
            <w:r>
              <w:t xml:space="preserve">S/ 14,583.60</w:t>
            </w:r>
          </w:p>
        </w:tc>
        <w:tc>
          <w:tcPr/>
          <w:p>
            <w:pPr>
              <w:pStyle w:val="Compact"/>
              <w:jc w:val="right"/>
            </w:pPr>
            <w:r>
              <w:t xml:space="preserve">€ 3,962.93</w:t>
            </w:r>
          </w:p>
        </w:tc>
      </w:tr>
      <w:tr>
        <w:tc>
          <w:tcPr/>
          <w:p>
            <w:pPr>
              <w:pStyle w:val="Compact"/>
            </w:pPr>
            <w:r>
              <w:t xml:space="preserve">Depreciation HTC fixed assets</w:t>
            </w:r>
          </w:p>
        </w:tc>
        <w:tc>
          <w:tcPr/>
          <w:p>
            <w:pPr>
              <w:pStyle w:val="Compact"/>
              <w:jc w:val="right"/>
            </w:pPr>
            <w:r>
              <w:t xml:space="preserve">S/ 80,344.31</w:t>
            </w:r>
          </w:p>
        </w:tc>
        <w:tc>
          <w:tcPr/>
          <w:p>
            <w:pPr>
              <w:pStyle w:val="Compact"/>
              <w:jc w:val="right"/>
            </w:pPr>
            <w:r>
              <w:t xml:space="preserve">€ 21,832.69</w:t>
            </w:r>
          </w:p>
        </w:tc>
      </w:tr>
      <w:tr>
        <w:tc>
          <w:tcPr/>
          <w:p>
            <w:pPr>
              <w:pStyle w:val="Compact"/>
            </w:pPr>
            <w:r>
              <w:rPr>
                <w:b/>
                <w:bCs/>
              </w:rPr>
              <w:t xml:space="preserve">Subtotal HTC</w:t>
            </w:r>
          </w:p>
        </w:tc>
        <w:tc>
          <w:tcPr/>
          <w:p>
            <w:pPr>
              <w:pStyle w:val="Compact"/>
              <w:jc w:val="right"/>
            </w:pPr>
            <w:r>
              <w:rPr>
                <w:b/>
                <w:bCs/>
              </w:rPr>
              <w:t xml:space="preserve">S/ 124,756.79</w:t>
            </w:r>
          </w:p>
        </w:tc>
        <w:tc>
          <w:tcPr/>
          <w:p>
            <w:pPr>
              <w:pStyle w:val="Compact"/>
              <w:jc w:val="right"/>
            </w:pPr>
            <w:r>
              <w:rPr>
                <w:b/>
                <w:bCs/>
              </w:rPr>
              <w:t xml:space="preserve">€ 33,901.30</w:t>
            </w:r>
          </w:p>
        </w:tc>
      </w:tr>
      <w:tr>
        <w:tc>
          <w:tcPr/>
          <w:p>
            <w:pPr>
              <w:pStyle w:val="Compact"/>
            </w:pPr>
            <w:r>
              <w:rPr>
                <w:b/>
                <w:bCs/>
              </w:rPr>
              <w:t xml:space="preserve">TOTAL EXPENDITURE 2025</w:t>
            </w:r>
          </w:p>
        </w:tc>
        <w:tc>
          <w:tcPr/>
          <w:p>
            <w:pPr>
              <w:pStyle w:val="Compact"/>
              <w:jc w:val="right"/>
            </w:pPr>
            <w:r>
              <w:rPr>
                <w:b/>
                <w:bCs/>
              </w:rPr>
              <w:t xml:space="preserve">S/ 1,047,793.82</w:t>
            </w:r>
          </w:p>
        </w:tc>
        <w:tc>
          <w:tcPr/>
          <w:p>
            <w:pPr>
              <w:pStyle w:val="Compact"/>
              <w:jc w:val="right"/>
            </w:pPr>
            <w:r>
              <w:rPr>
                <w:b/>
                <w:bCs/>
              </w:rPr>
              <w:t xml:space="preserve">€ 270,747.76</w:t>
            </w:r>
          </w:p>
        </w:tc>
      </w:tr>
    </w:tbl>
    <w:bookmarkEnd w:id="23"/>
    <w:bookmarkStart w:id="24" w:name="result-for-the-year"/>
    <w:p>
      <w:pPr>
        <w:pStyle w:val="Heading2"/>
      </w:pPr>
      <w:r>
        <w:t xml:space="preserve">Result for the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Soles</w:t>
            </w:r>
          </w:p>
        </w:tc>
        <w:tc>
          <w:tcPr/>
          <w:p>
            <w:pPr>
              <w:pStyle w:val="Compact"/>
              <w:jc w:val="right"/>
            </w:pPr>
            <w:r>
              <w:t xml:space="preserve">Euros</w:t>
            </w:r>
          </w:p>
        </w:tc>
      </w:tr>
      <w:tr>
        <w:tc>
          <w:tcPr/>
          <w:p>
            <w:pPr>
              <w:pStyle w:val="Compact"/>
            </w:pPr>
            <w:r>
              <w:t xml:space="preserve">Total income</w:t>
            </w:r>
          </w:p>
        </w:tc>
        <w:tc>
          <w:tcPr/>
          <w:p>
            <w:pPr>
              <w:pStyle w:val="Compact"/>
              <w:jc w:val="right"/>
            </w:pPr>
            <w:r>
              <w:t xml:space="preserve">S/ 1,278,515.34</w:t>
            </w:r>
          </w:p>
        </w:tc>
        <w:tc>
          <w:tcPr/>
          <w:p>
            <w:pPr>
              <w:pStyle w:val="Compact"/>
              <w:jc w:val="right"/>
            </w:pPr>
            <w:r>
              <w:t xml:space="preserve">€ 312,874.65</w:t>
            </w:r>
          </w:p>
        </w:tc>
      </w:tr>
      <w:tr>
        <w:tc>
          <w:tcPr/>
          <w:p>
            <w:pPr>
              <w:pStyle w:val="Compact"/>
            </w:pPr>
            <w:r>
              <w:t xml:space="preserve">Total expenditure</w:t>
            </w:r>
          </w:p>
        </w:tc>
        <w:tc>
          <w:tcPr/>
          <w:p>
            <w:pPr>
              <w:pStyle w:val="Compact"/>
              <w:jc w:val="right"/>
            </w:pPr>
            <w:r>
              <w:t xml:space="preserve">S/ 1,047,793.82</w:t>
            </w:r>
          </w:p>
        </w:tc>
        <w:tc>
          <w:tcPr/>
          <w:p>
            <w:pPr>
              <w:pStyle w:val="Compact"/>
              <w:jc w:val="right"/>
            </w:pPr>
            <w:r>
              <w:t xml:space="preserve">€ 270,747.76</w:t>
            </w:r>
          </w:p>
        </w:tc>
      </w:tr>
      <w:tr>
        <w:tc>
          <w:tcPr/>
          <w:p>
            <w:pPr>
              <w:pStyle w:val="Compact"/>
            </w:pPr>
            <w:r>
              <w:rPr>
                <w:b/>
                <w:bCs/>
              </w:rPr>
              <w:t xml:space="preserve">Balance / result 2025</w:t>
            </w:r>
          </w:p>
        </w:tc>
        <w:tc>
          <w:tcPr/>
          <w:p>
            <w:pPr>
              <w:pStyle w:val="Compact"/>
              <w:jc w:val="right"/>
            </w:pPr>
            <w:r>
              <w:rPr>
                <w:b/>
                <w:bCs/>
              </w:rPr>
              <w:t xml:space="preserve">S/ 230,721.52</w:t>
            </w:r>
          </w:p>
        </w:tc>
        <w:tc>
          <w:tcPr/>
          <w:p>
            <w:pPr>
              <w:pStyle w:val="Compact"/>
              <w:jc w:val="right"/>
            </w:pPr>
            <w:r>
              <w:rPr>
                <w:b/>
                <w:bCs/>
              </w:rPr>
              <w:t xml:space="preserve">€ 62,696.07</w:t>
            </w:r>
          </w:p>
        </w:tc>
      </w:tr>
    </w:tbl>
    <w:p>
      <w:pPr>
        <w:pStyle w:val="BodyText"/>
      </w:pPr>
      <w:r>
        <w:t xml:space="preserve">The positive year-end balance does not represent unrestricted profit. NGO Mama Alice receives a significant proportion of its funding for specific programmes, investments and activities. Funds that have not yet been spent at year-end remain available for the activities and obligations for which they were designated.</w:t>
      </w:r>
    </w:p>
    <w:p>
      <w:r>
        <w:pict>
          <v:rect style="width:0;height:1.5pt" o:hralign="center" o:hrstd="t" o:hr="t"/>
        </w:pict>
      </w:r>
    </w:p>
    <w:bookmarkEnd w:id="24"/>
    <w:bookmarkEnd w:id="25"/>
    <w:bookmarkStart w:id="26" w:name="X8047fd7dec5f8b02d65e75240973291b0de3e0e"/>
    <w:p>
      <w:pPr>
        <w:pStyle w:val="Heading1"/>
      </w:pPr>
      <w:r>
        <w:t xml:space="preserve">EXPLANATION OF SELECTED EXPENDITURE ITEMS</w:t>
      </w:r>
    </w:p>
    <w:p>
      <w:pPr>
        <w:pStyle w:val="FirstParagraph"/>
      </w:pPr>
      <w:r>
        <w:rPr>
          <w:b/>
          <w:bCs/>
        </w:rPr>
        <w:t xml:space="preserve">Salaries</w:t>
      </w:r>
      <w:r>
        <w:br/>
      </w:r>
      <w:r>
        <w:t xml:space="preserve">This category includes remuneration of permanently contracted employees in accordance with Peruvian labour legislation, including applicable employment benefits.</w:t>
      </w:r>
    </w:p>
    <w:p>
      <w:pPr>
        <w:pStyle w:val="BodyText"/>
      </w:pPr>
      <w:r>
        <w:rPr>
          <w:b/>
          <w:bCs/>
        </w:rPr>
        <w:t xml:space="preserve">Staff training</w:t>
      </w:r>
      <w:r>
        <w:br/>
      </w:r>
      <w:r>
        <w:t xml:space="preserve">In 2025, expenditure was incurred to strengthen staff capacities, including training related to the Rock &amp; Water methodology.</w:t>
      </w:r>
    </w:p>
    <w:p>
      <w:pPr>
        <w:pStyle w:val="BodyText"/>
      </w:pPr>
      <w:r>
        <w:rPr>
          <w:b/>
          <w:bCs/>
        </w:rPr>
        <w:t xml:space="preserve">Transportation</w:t>
      </w:r>
      <w:r>
        <w:br/>
      </w:r>
      <w:r>
        <w:t xml:space="preserve">Transportation expenditure includes the movement of staff, beneficiaries, materials and equipment required for programme implementation.</w:t>
      </w:r>
    </w:p>
    <w:p>
      <w:pPr>
        <w:pStyle w:val="BodyText"/>
      </w:pPr>
      <w:r>
        <w:rPr>
          <w:b/>
          <w:bCs/>
        </w:rPr>
        <w:t xml:space="preserve">Costs in Lima</w:t>
      </w:r>
      <w:r>
        <w:br/>
      </w:r>
      <w:r>
        <w:t xml:space="preserve">These are costs incurred in Lima for purchases and administrative procedures related to the organisation and its projects.</w:t>
      </w:r>
    </w:p>
    <w:p>
      <w:pPr>
        <w:pStyle w:val="BodyText"/>
      </w:pPr>
      <w:r>
        <w:rPr>
          <w:b/>
          <w:bCs/>
        </w:rPr>
        <w:t xml:space="preserve">Staff fees</w:t>
      </w:r>
      <w:r>
        <w:br/>
      </w:r>
      <w:r>
        <w:t xml:space="preserve">These include payments for professional services provided by teachers, nurses, cooking instructors, assistants, cleaning staff and other personnel contributing to the operation of the programmes.</w:t>
      </w:r>
    </w:p>
    <w:p>
      <w:pPr>
        <w:pStyle w:val="BodyText"/>
      </w:pPr>
      <w:r>
        <w:rPr>
          <w:b/>
          <w:bCs/>
        </w:rPr>
        <w:t xml:space="preserve">External professional and technical services</w:t>
      </w:r>
      <w:r>
        <w:br/>
      </w:r>
      <w:r>
        <w:t xml:space="preserve">This category includes specialised services provided by independent professionals and tradespeople, including maintenance and repairs, consultancy and other specific technical services.</w:t>
      </w:r>
    </w:p>
    <w:p>
      <w:pPr>
        <w:pStyle w:val="BodyText"/>
      </w:pPr>
      <w:r>
        <w:rPr>
          <w:b/>
          <w:bCs/>
        </w:rPr>
        <w:t xml:space="preserve">Accounting and audit fees</w:t>
      </w:r>
      <w:r>
        <w:br/>
      </w:r>
      <w:r>
        <w:t xml:space="preserve">These are costs related to external accounting and audit services for the review of the organisation’s financial statements and compliance with applicable accounting requirements.</w:t>
      </w:r>
    </w:p>
    <w:p>
      <w:pPr>
        <w:pStyle w:val="BodyText"/>
      </w:pPr>
      <w:r>
        <w:rPr>
          <w:b/>
          <w:bCs/>
        </w:rPr>
        <w:t xml:space="preserve">Legal expenses</w:t>
      </w:r>
      <w:r>
        <w:br/>
      </w:r>
      <w:r>
        <w:t xml:space="preserve">Legal expenses include legal advice, preparation of contracts, legal procedures and representation of the organisation.</w:t>
      </w:r>
    </w:p>
    <w:p>
      <w:pPr>
        <w:pStyle w:val="BodyText"/>
      </w:pPr>
      <w:r>
        <w:rPr>
          <w:b/>
          <w:bCs/>
        </w:rPr>
        <w:t xml:space="preserve">Premises rental</w:t>
      </w:r>
      <w:r>
        <w:br/>
      </w:r>
      <w:r>
        <w:t xml:space="preserve">This concerns the rental of the premises in Yanama used for Mama Alice’s activities.</w:t>
      </w:r>
    </w:p>
    <w:p>
      <w:pPr>
        <w:pStyle w:val="BodyText"/>
      </w:pPr>
      <w:r>
        <w:rPr>
          <w:b/>
          <w:bCs/>
        </w:rPr>
        <w:t xml:space="preserve">Audiovisual and IT facilities in Yanama</w:t>
      </w:r>
      <w:r>
        <w:br/>
      </w:r>
      <w:r>
        <w:t xml:space="preserve">In 2025, Mama Alice invested in computer and information-technology education for participating children and in audiovisual facilities that can be used for educational activities with children and adolescents.</w:t>
      </w:r>
    </w:p>
    <w:p>
      <w:pPr>
        <w:pStyle w:val="BodyText"/>
      </w:pPr>
      <w:r>
        <w:rPr>
          <w:b/>
          <w:bCs/>
        </w:rPr>
        <w:t xml:space="preserve">Accommodation for vocational training participants</w:t>
      </w:r>
      <w:r>
        <w:br/>
      </w:r>
      <w:r>
        <w:t xml:space="preserve">The accommodation modules were equipped in preparation for receiving young people participating in vocational cooking and hospitality training. Expenditure included the implementation and furnishing required to make the rooms operational.</w:t>
      </w:r>
    </w:p>
    <w:p>
      <w:r>
        <w:pict>
          <v:rect style="width:0;height:1.5pt" o:hralign="center" o:hrstd="t" o:hr="t"/>
        </w:pict>
      </w:r>
    </w:p>
    <w:bookmarkEnd w:id="26"/>
    <w:bookmarkStart w:id="27" w:name="budget-2026"/>
    <w:p>
      <w:pPr>
        <w:pStyle w:val="Heading1"/>
      </w:pPr>
      <w:r>
        <w:t xml:space="preserve">BUDGET 2026</w:t>
      </w:r>
    </w:p>
    <w:p>
      <w:pPr>
        <w:pStyle w:val="FirstParagraph"/>
      </w:pPr>
      <w:r>
        <w:t xml:space="preserve">The proposed regular budget for 2026 is: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Programmes</w:t>
            </w:r>
          </w:p>
        </w:tc>
        <w:tc>
          <w:tcPr/>
          <w:p>
            <w:pPr>
              <w:pStyle w:val="Compact"/>
              <w:jc w:val="right"/>
            </w:pPr>
            <w:r>
              <w:t xml:space="preserve">Soles</w:t>
            </w:r>
          </w:p>
        </w:tc>
        <w:tc>
          <w:tcPr/>
          <w:p>
            <w:pPr>
              <w:pStyle w:val="Compact"/>
              <w:jc w:val="right"/>
            </w:pPr>
            <w:r>
              <w:t xml:space="preserve">Euros</w:t>
            </w:r>
          </w:p>
        </w:tc>
      </w:tr>
      <w:tr>
        <w:tc>
          <w:tcPr/>
          <w:p>
            <w:pPr>
              <w:pStyle w:val="Compact"/>
            </w:pPr>
            <w:r>
              <w:t xml:space="preserve">Pre-primary education</w:t>
            </w:r>
          </w:p>
        </w:tc>
        <w:tc>
          <w:tcPr/>
          <w:p>
            <w:pPr>
              <w:pStyle w:val="Compact"/>
              <w:jc w:val="right"/>
            </w:pPr>
            <w:r>
              <w:t xml:space="preserve">S/ 66,368.76</w:t>
            </w:r>
          </w:p>
        </w:tc>
        <w:tc>
          <w:tcPr/>
          <w:p>
            <w:pPr>
              <w:pStyle w:val="Compact"/>
              <w:jc w:val="right"/>
            </w:pPr>
            <w:r>
              <w:t xml:space="preserve">€ 17,937.50</w:t>
            </w:r>
          </w:p>
        </w:tc>
      </w:tr>
      <w:tr>
        <w:tc>
          <w:tcPr/>
          <w:p>
            <w:pPr>
              <w:pStyle w:val="Compact"/>
            </w:pPr>
            <w:r>
              <w:t xml:space="preserve">Primary education</w:t>
            </w:r>
          </w:p>
        </w:tc>
        <w:tc>
          <w:tcPr/>
          <w:p>
            <w:pPr>
              <w:pStyle w:val="Compact"/>
              <w:jc w:val="right"/>
            </w:pPr>
            <w:r>
              <w:t xml:space="preserve">S/ 263,136.44</w:t>
            </w:r>
          </w:p>
        </w:tc>
        <w:tc>
          <w:tcPr/>
          <w:p>
            <w:pPr>
              <w:pStyle w:val="Compact"/>
              <w:jc w:val="right"/>
            </w:pPr>
            <w:r>
              <w:t xml:space="preserve">€ 71,117.96</w:t>
            </w:r>
          </w:p>
        </w:tc>
      </w:tr>
      <w:tr>
        <w:tc>
          <w:tcPr/>
          <w:p>
            <w:pPr>
              <w:pStyle w:val="Compact"/>
            </w:pPr>
            <w:r>
              <w:t xml:space="preserve">Individual education</w:t>
            </w:r>
          </w:p>
        </w:tc>
        <w:tc>
          <w:tcPr/>
          <w:p>
            <w:pPr>
              <w:pStyle w:val="Compact"/>
              <w:jc w:val="right"/>
            </w:pPr>
            <w:r>
              <w:t xml:space="preserve">S/ 55,847.87</w:t>
            </w:r>
          </w:p>
        </w:tc>
        <w:tc>
          <w:tcPr/>
          <w:p>
            <w:pPr>
              <w:pStyle w:val="Compact"/>
              <w:jc w:val="right"/>
            </w:pPr>
            <w:r>
              <w:t xml:space="preserve">€ 15,094.02</w:t>
            </w:r>
          </w:p>
        </w:tc>
      </w:tr>
      <w:tr>
        <w:tc>
          <w:tcPr/>
          <w:p>
            <w:pPr>
              <w:pStyle w:val="Compact"/>
            </w:pPr>
            <w:r>
              <w:t xml:space="preserve">Individual psychosocial work with children</w:t>
            </w:r>
          </w:p>
        </w:tc>
        <w:tc>
          <w:tcPr/>
          <w:p>
            <w:pPr>
              <w:pStyle w:val="Compact"/>
              <w:jc w:val="right"/>
            </w:pPr>
            <w:r>
              <w:t xml:space="preserve">S/ 71,698.93</w:t>
            </w:r>
          </w:p>
        </w:tc>
        <w:tc>
          <w:tcPr/>
          <w:p>
            <w:pPr>
              <w:pStyle w:val="Compact"/>
              <w:jc w:val="right"/>
            </w:pPr>
            <w:r>
              <w:t xml:space="preserve">€ 19,378.09</w:t>
            </w:r>
          </w:p>
        </w:tc>
      </w:tr>
      <w:tr>
        <w:tc>
          <w:tcPr/>
          <w:p>
            <w:pPr>
              <w:pStyle w:val="Compact"/>
            </w:pPr>
            <w:r>
              <w:t xml:space="preserve">Prevention and direct treatment</w:t>
            </w:r>
          </w:p>
        </w:tc>
        <w:tc>
          <w:tcPr/>
          <w:p>
            <w:pPr>
              <w:pStyle w:val="Compact"/>
              <w:jc w:val="right"/>
            </w:pPr>
            <w:r>
              <w:t xml:space="preserve">S/ 91,622.42</w:t>
            </w:r>
          </w:p>
        </w:tc>
        <w:tc>
          <w:tcPr/>
          <w:p>
            <w:pPr>
              <w:pStyle w:val="Compact"/>
              <w:jc w:val="right"/>
            </w:pPr>
            <w:r>
              <w:t xml:space="preserve">€ 24,762.82</w:t>
            </w:r>
          </w:p>
        </w:tc>
      </w:tr>
      <w:tr>
        <w:tc>
          <w:tcPr/>
          <w:p>
            <w:pPr>
              <w:pStyle w:val="Compact"/>
            </w:pPr>
            <w:r>
              <w:t xml:space="preserve">Work with families</w:t>
            </w:r>
          </w:p>
        </w:tc>
        <w:tc>
          <w:tcPr/>
          <w:p>
            <w:pPr>
              <w:pStyle w:val="Compact"/>
              <w:jc w:val="right"/>
            </w:pPr>
            <w:r>
              <w:t xml:space="preserve">S/ 58,160.27</w:t>
            </w:r>
          </w:p>
        </w:tc>
        <w:tc>
          <w:tcPr/>
          <w:p>
            <w:pPr>
              <w:pStyle w:val="Compact"/>
              <w:jc w:val="right"/>
            </w:pPr>
            <w:r>
              <w:t xml:space="preserve">€ 15,718.99</w:t>
            </w:r>
          </w:p>
        </w:tc>
      </w:tr>
      <w:tr>
        <w:tc>
          <w:tcPr/>
          <w:p>
            <w:pPr>
              <w:pStyle w:val="Compact"/>
            </w:pPr>
            <w:r>
              <w:rPr>
                <w:b/>
                <w:bCs/>
              </w:rPr>
              <w:t xml:space="preserve">Subtotal core programmes</w:t>
            </w:r>
          </w:p>
        </w:tc>
        <w:tc>
          <w:tcPr/>
          <w:p>
            <w:pPr>
              <w:pStyle w:val="Compact"/>
              <w:jc w:val="right"/>
            </w:pPr>
            <w:r>
              <w:rPr>
                <w:b/>
                <w:bCs/>
              </w:rPr>
              <w:t xml:space="preserve">S/ 606,834.69</w:t>
            </w:r>
          </w:p>
        </w:tc>
        <w:tc>
          <w:tcPr/>
          <w:p>
            <w:pPr>
              <w:pStyle w:val="Compact"/>
              <w:jc w:val="right"/>
            </w:pPr>
            <w:r>
              <w:rPr>
                <w:b/>
                <w:bCs/>
              </w:rPr>
              <w:t xml:space="preserve">€ 164,009.38</w:t>
            </w:r>
          </w:p>
        </w:tc>
      </w:tr>
      <w:tr>
        <w:tc>
          <w:tcPr/>
          <w:p>
            <w:pPr>
              <w:pStyle w:val="Compact"/>
            </w:pPr>
            <w:r>
              <w:t xml:space="preserve">Vocational training – waiter/bartender/cook</w:t>
            </w:r>
          </w:p>
        </w:tc>
        <w:tc>
          <w:tcPr/>
          <w:p>
            <w:pPr>
              <w:pStyle w:val="Compact"/>
              <w:jc w:val="right"/>
            </w:pPr>
            <w:r>
              <w:t xml:space="preserve">S/ 204,760.00</w:t>
            </w:r>
          </w:p>
        </w:tc>
        <w:tc>
          <w:tcPr/>
          <w:p>
            <w:pPr>
              <w:pStyle w:val="Compact"/>
              <w:jc w:val="right"/>
            </w:pPr>
            <w:r>
              <w:t xml:space="preserve">€ 55,340.54</w:t>
            </w:r>
          </w:p>
        </w:tc>
      </w:tr>
      <w:tr>
        <w:tc>
          <w:tcPr/>
          <w:p>
            <w:pPr>
              <w:pStyle w:val="Compact"/>
            </w:pPr>
            <w:r>
              <w:rPr>
                <w:b/>
                <w:bCs/>
              </w:rPr>
              <w:t xml:space="preserve">Subtotal vocational training</w:t>
            </w:r>
          </w:p>
        </w:tc>
        <w:tc>
          <w:tcPr/>
          <w:p>
            <w:pPr>
              <w:pStyle w:val="Compact"/>
              <w:jc w:val="right"/>
            </w:pPr>
            <w:r>
              <w:rPr>
                <w:b/>
                <w:bCs/>
              </w:rPr>
              <w:t xml:space="preserve">S/ 204,760.00</w:t>
            </w:r>
          </w:p>
        </w:tc>
        <w:tc>
          <w:tcPr/>
          <w:p>
            <w:pPr>
              <w:pStyle w:val="Compact"/>
              <w:jc w:val="right"/>
            </w:pPr>
            <w:r>
              <w:rPr>
                <w:b/>
                <w:bCs/>
              </w:rPr>
              <w:t xml:space="preserve">€ 55,340.54</w:t>
            </w:r>
          </w:p>
        </w:tc>
      </w:tr>
      <w:tr>
        <w:tc>
          <w:tcPr/>
          <w:p>
            <w:pPr>
              <w:pStyle w:val="Compact"/>
            </w:pPr>
            <w:r>
              <w:t xml:space="preserve">HTC maintenance and property tax</w:t>
            </w:r>
          </w:p>
        </w:tc>
        <w:tc>
          <w:tcPr/>
          <w:p>
            <w:pPr>
              <w:pStyle w:val="Compact"/>
              <w:jc w:val="right"/>
            </w:pPr>
            <w:r>
              <w:t xml:space="preserve">S/ 4,400.00</w:t>
            </w:r>
          </w:p>
        </w:tc>
        <w:tc>
          <w:tcPr/>
          <w:p>
            <w:pPr>
              <w:pStyle w:val="Compact"/>
              <w:jc w:val="right"/>
            </w:pPr>
            <w:r>
              <w:t xml:space="preserve">€ 1,189.19</w:t>
            </w:r>
          </w:p>
        </w:tc>
      </w:tr>
      <w:tr>
        <w:tc>
          <w:tcPr/>
          <w:p>
            <w:pPr>
              <w:pStyle w:val="Compact"/>
            </w:pPr>
            <w:r>
              <w:rPr>
                <w:b/>
                <w:bCs/>
              </w:rPr>
              <w:t xml:space="preserve">TOTAL REGULAR BUDGET 2026</w:t>
            </w:r>
          </w:p>
        </w:tc>
        <w:tc>
          <w:tcPr/>
          <w:p>
            <w:pPr>
              <w:pStyle w:val="Compact"/>
              <w:jc w:val="right"/>
            </w:pPr>
            <w:r>
              <w:rPr>
                <w:b/>
                <w:bCs/>
              </w:rPr>
              <w:t xml:space="preserve">S/ 815,994.69</w:t>
            </w:r>
          </w:p>
        </w:tc>
        <w:tc>
          <w:tcPr/>
          <w:p>
            <w:pPr>
              <w:pStyle w:val="Compact"/>
              <w:jc w:val="right"/>
            </w:pPr>
            <w:r>
              <w:rPr>
                <w:b/>
                <w:bCs/>
              </w:rPr>
              <w:t xml:space="preserve">€ 220,539.11</w:t>
            </w:r>
          </w:p>
        </w:tc>
      </w:tr>
    </w:tbl>
    <w:p>
      <w:pPr>
        <w:pStyle w:val="BodyText"/>
      </w:pPr>
      <w:r>
        <w:t xml:space="preserve">As in 2025, this regular operating budget should be distinguished from separately financed investment projects or other additional projects for which specific funding may be secured during the year.</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