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Clase 03. Instrumentos de evaluación cuantitativa</w:t>
      </w:r>
    </w:p>
    <w:p>
      <w:pPr>
        <w:pStyle w:val="Heading1"/>
      </w:pPr>
      <w:r>
        <w:t>Propósito</w:t>
      </w:r>
    </w:p>
    <w:p>
      <w:r>
        <w:t>Diseñar, aplicar conceptualmente, analizar y justificar cuatro instrumentos: examen objetivo, quiz, lista de cotejo y rúbrica, con énfasis en la congruencia curricular, los criterios observables y la interpretación prudente de resultados.</w:t>
      </w:r>
    </w:p>
    <w:p>
      <w:pPr>
        <w:pStyle w:val="Heading1"/>
      </w:pPr>
      <w:r>
        <w:t>Resultados de aprendizaje</w:t>
      </w:r>
    </w:p>
    <w:p>
      <w:r>
        <w:t>1. Distinguir potencialidades y limitaciones de los cuatro instrumentos.</w:t>
      </w:r>
    </w:p>
    <w:p>
      <w:r>
        <w:t>2. Elaborar un reactivo con clave y distractores defendibles.</w:t>
      </w:r>
    </w:p>
    <w:p>
      <w:r>
        <w:t>3. Formular indicadores observables para una lista de cotejo.</w:t>
      </w:r>
    </w:p>
    <w:p>
      <w:r>
        <w:t>4. Construir descriptores discriminables de rúbrica analítica.</w:t>
      </w:r>
    </w:p>
    <w:p>
      <w:r>
        <w:t>5. Justificar decisiones pedagógicas derivadas de resultados.</w:t>
      </w:r>
    </w:p>
    <w:p>
      <w:pPr>
        <w:pStyle w:val="Heading1"/>
      </w:pPr>
      <w:r>
        <w:t>Marco conceptual y delimitación</w:t>
      </w:r>
    </w:p>
    <w:p>
      <w:r>
        <w:t>La publicación de la UNAM agrupa estos instrumentos en su sección de enfoque cuantitativo. Sin embargo, su integración en una práctica docente rigurosa puede acompañarse de análisis descriptivo y realimentación cualitativa. La elección debe partir del objetivo de aprendizaje. Una puntuación no constituye evidencia completa por sí misma: se deben explicitar las condiciones de aplicación, interpretación y decisiones pertinentes.</w:t>
      </w:r>
    </w:p>
    <w:p>
      <w:pPr>
        <w:pStyle w:val="Heading1"/>
      </w:pPr>
      <w:r>
        <w:t>I. Examen objetivo (capítulo 3, páginas 53 a 74)</w:t>
      </w:r>
    </w:p>
    <w:p>
      <w:r>
        <w:t>Es un instrumento escrito compuesto de reactivos con respuestas correctas identificables. Permite muestrear varios contenidos y calificar de forma consistente, siempre que los ítems estén bien construidos. Antes de escribir preguntas conviene establecer una tabla de especificaciones: tema, resultado esperado, nivel cognitivo, ponderación y número de reactivos. Su principal riesgo es reducir la competencia a reconocimiento o memorización o usar preguntas ambiguas. El análisis de resultados debe considerar patrones de error y funcionamiento de reactivos, no solamente una calificación global.</w:t>
      </w:r>
    </w:p>
    <w:p>
      <w:r>
        <w:t>Ejemplo didáctico: para evaluar la distinción entre retroalimentación formativa y nota sumativa, presentar un escenario con cuatro posibles acciones docentes y solicitar la más coherente con el propósito.</w:t>
      </w:r>
    </w:p>
    <w:p>
      <w:pPr>
        <w:pStyle w:val="Heading1"/>
      </w:pPr>
      <w:r>
        <w:t>II. Quiz (capítulo 4, páginas 75 a 88)</w:t>
      </w:r>
    </w:p>
    <w:p>
      <w:r>
        <w:t>Conjunto breve de preguntas sobre aprendizajes concretos. Su agilidad permite incorporar una verificación de conocimientos antes, durante o después de una experiencia de enseñanza. Puede automatizarse y ofrecer realimentación oportuna. Su cobertura es limitada; no debe inferirse dominio completo de una competencia a partir de pocas preguntas. Su potencial formativo depende de cómo se usan las respuestas.</w:t>
      </w:r>
    </w:p>
    <w:p>
      <w:r>
        <w:t>Ejemplo didáctico: tres preguntas posteriores a una lectura para reconocer definición, ejemplo y aplicación de criterios.</w:t>
      </w:r>
    </w:p>
    <w:p>
      <w:pPr>
        <w:pStyle w:val="Heading1"/>
      </w:pPr>
      <w:r>
        <w:t>III. Lista de cotejo (capítulo 5, páginas 89 a 108)</w:t>
      </w:r>
    </w:p>
    <w:p>
      <w:r>
        <w:t>Relación organizada de actuaciones o elementos específicos que se registran generalmente como presente/ausente. Conviene formular cada indicador de forma observable, unívoca y congruente con el procedimiento. No informa el grado de calidad de lo observado; por ello, para productos complejos puede complementarse con rúbrica.</w:t>
      </w:r>
    </w:p>
    <w:p>
      <w:r>
        <w:t>Ejemplo de indicadores: explicita objetivo; presenta evidencia; registra procedimiento; comunica resultado; propone revisión.</w:t>
      </w:r>
    </w:p>
    <w:p>
      <w:pPr>
        <w:pStyle w:val="Heading1"/>
      </w:pPr>
      <w:r>
        <w:t>IV. Rúbrica (capítulo 6, páginas 109 a 126)</w:t>
      </w:r>
    </w:p>
    <w:p>
      <w:r>
        <w:t>Instrumento organizado mediante criterios y niveles de desempeño. La rúbrica holística valora el conjunto; la analítica permite desagregar componentes. Una rúbrica útil evita adjetivos vagos como «excelente» sin evidencia observable: describe conductas o características distintas de cada nivel. Debe ser pública antes de la actividad y apoyar realimentación; diseñarla requiere revisión.</w:t>
      </w:r>
    </w:p>
    <w:p>
      <w:r>
        <w:t>Ejemplo: fundamentación de un proyecto. Alto: relaciona tres evidencias pertinentes con decisiones explícitas; Intermedio: relaciona parcialmente la evidencia y las decisiones; Inicial: presenta decisiones sin respaldo verificable. Estos descriptores son una propuesta didáctica, no texto literal del libro.</w:t>
      </w:r>
    </w:p>
    <w:p>
      <w:pPr>
        <w:pStyle w:val="Heading1"/>
      </w:pPr>
      <w:r>
        <w:t>Caso integrador (hipotético)</w:t>
      </w:r>
    </w:p>
    <w:p>
      <w:r>
        <w:t>Una docente solicita a sus estudiantes diseñar una intervención para disminuir el ausentismo en bachillerato. El cuestionario final solo solicita definir ausentismo y enumerar causas. Preguntas: ¿qué aprendizaje se evaluó realmente?, ¿qué constructo se infrarepresentó?, ¿qué instrumento permitiría observar calidad del diseño?, ¿qué pasos se pueden verificar con cotejo?, ¿qué utilidad tendría un quiz inicial? Construye una batería de instrumentos que mejore la alineación.</w:t>
      </w:r>
    </w:p>
    <w:p>
      <w:pPr>
        <w:pStyle w:val="Heading1"/>
      </w:pPr>
      <w:r>
        <w:t>Taller y secuencia de 90 minutos</w:t>
      </w:r>
    </w:p>
    <w:p>
      <w:r>
        <w:t>Minutos 0–10: diagnóstico y pregunta detonadora. Minutos 10–30: lectura dialogada y conceptos. Minutos 30–40: video breve y guía antes/durante/después. Minutos 40–65: auditoría de reactivos, lista de cotejo y rúbrica. Minutos 65–85: evidencia 03. Minutos 85–90: metacognición y respaldo digital.</w:t>
      </w:r>
    </w:p>
    <w:p>
      <w:pPr>
        <w:pStyle w:val="Heading1"/>
      </w:pPr>
      <w:r>
        <w:t>Evidencia 03: batería de instrumentos</w:t>
      </w:r>
    </w:p>
    <w:p>
      <w:r>
        <w:t>Seleccionar nivel/asignatura, competencia y resultados de aprendizaje. Elaborar matriz breve de especificaciones, tres preguntas objetivas con cuatro opciones y claves argumentadas, un quiz de tres preguntas con retroalimentación, una lista de cotejo de cinco indicadores observables y una rúbrica analítica de tres criterios y tres niveles. Cerrar con un protocolo breve de aplicación, interpretación, equidad y mejora. Rúbrica 20 puntos: alineación 4; reactivos/quiz 5; cotejo 3; rúbrica 5; interpretación y ética 3.</w:t>
      </w:r>
    </w:p>
    <w:p>
      <w:pPr>
        <w:pStyle w:val="Heading1"/>
      </w:pPr>
      <w:r>
        <w:t>Metacognición</w:t>
      </w:r>
    </w:p>
    <w:p>
      <w:r>
        <w:t>Responder: ¿cómo cambia una decisión pedagógica si además de registrar la presencia de una evidencia se valora su nivel de calidad? ¿Qué riesgo persiste si la interpretación se fundamenta solamente en la suma de puntos?</w:t>
      </w:r>
    </w:p>
    <w:p>
      <w:pPr>
        <w:pStyle w:val="Heading1"/>
      </w:pPr>
      <w:r>
        <w:t>Recomendaciones para IA y NotebookLM</w:t>
      </w:r>
    </w:p>
    <w:p>
      <w:r>
        <w:t>No atribuir al libro ejemplos creados para el artefacto. Evitar afirmar que las rúbricas garantizan objetividad absoluta o que todo instrumento sirve para cualquier competencia. No inventar estadísticas ni resultados empíricos. Usar español latinoamericano claro y académico. La producción audiovisual acompaña y no sustituye el texto fuente.</w:t>
      </w:r>
    </w:p>
    <w:p>
      <w:pPr>
        <w:pStyle w:val="Heading1"/>
      </w:pPr>
      <w:r>
        <w:t>Referencia</w:t>
      </w:r>
    </w:p>
    <w:p>
      <w:r>
        <w:t>Sánchez Mendiola, M., &amp; Martínez González, A. (Eds.). (2020). Evaluación del y para el aprendizaje: instrumentos y estrategias. Universidad Nacional Autónoma de México. Capítulos 3–6. Licencia CC BY-NC-SA 4.0.</w:t>
      </w:r>
    </w:p>
    <w:sectPr w:rsidR="00FC693F" w:rsidRPr="0006063C" w:rsidSect="00034616">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