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1C0" w14:textId="20552A06" w:rsidR="00F14CDC" w:rsidRDefault="00943A83" w:rsidP="00943A83">
      <w:pPr>
        <w:pStyle w:val="Ttulo1"/>
      </w:pPr>
      <w:r>
        <w:t xml:space="preserve">Semana 1 </w:t>
      </w:r>
    </w:p>
    <w:p w14:paraId="7E39EADD" w14:textId="5BFEC8F5" w:rsidR="00943A83" w:rsidRDefault="00943A83" w:rsidP="00943A83">
      <w:pPr>
        <w:pStyle w:val="Ttulo2"/>
      </w:pPr>
      <w:r>
        <w:t xml:space="preserve">Estrategias </w:t>
      </w:r>
      <w:proofErr w:type="spellStart"/>
      <w:r>
        <w:t>cuantitaivas</w:t>
      </w:r>
      <w:proofErr w:type="spellEnd"/>
      <w:r>
        <w:t xml:space="preserve"> </w:t>
      </w:r>
    </w:p>
    <w:p w14:paraId="77E2C19B" w14:textId="77777777" w:rsidR="00943A83" w:rsidRDefault="00943A83" w:rsidP="00943A83">
      <w:pPr>
        <w:pStyle w:val="Prrafodelista"/>
        <w:numPr>
          <w:ilvl w:val="0"/>
          <w:numId w:val="1"/>
        </w:numPr>
      </w:pPr>
      <w:r>
        <w:t>Cree un conjunto de reglas para generar órdenes comerciales y administrar el riesgo de posición con una intervención mínima</w:t>
      </w:r>
    </w:p>
    <w:p w14:paraId="512A5D81" w14:textId="77777777" w:rsidR="00943A83" w:rsidRDefault="00943A83" w:rsidP="00943A83">
      <w:pPr>
        <w:pStyle w:val="Prrafodelista"/>
        <w:numPr>
          <w:ilvl w:val="0"/>
          <w:numId w:val="1"/>
        </w:numPr>
      </w:pPr>
      <w:r>
        <w:t>Identifique el comportamiento de mercado estadísticamente significativo y repetible y explota para generar ganancias.</w:t>
      </w:r>
    </w:p>
    <w:p w14:paraId="58704F52" w14:textId="7C8B135E" w:rsidR="00943A83" w:rsidRDefault="00943A83" w:rsidP="00943A83">
      <w:pPr>
        <w:pStyle w:val="Prrafodelista"/>
        <w:numPr>
          <w:ilvl w:val="0"/>
          <w:numId w:val="1"/>
        </w:numPr>
      </w:pPr>
      <w:r>
        <w:t>Puede ser de baja frecuencia (semanal, diariamente) a alta frecuencia (segundos, milisegundos, ...)</w:t>
      </w:r>
    </w:p>
    <w:p w14:paraId="402DDEF3" w14:textId="77777777" w:rsidR="00943A83" w:rsidRDefault="00943A83" w:rsidP="00943A83">
      <w:pPr>
        <w:pStyle w:val="Prrafodelista"/>
        <w:numPr>
          <w:ilvl w:val="0"/>
          <w:numId w:val="1"/>
        </w:numPr>
      </w:pPr>
      <w:r>
        <w:t>Los métodos de pronóstico intentan predecir el valor futuro de un instrumento financiero * o la dirección de una propagación</w:t>
      </w:r>
    </w:p>
    <w:p w14:paraId="3ACED776" w14:textId="77777777" w:rsidR="00943A83" w:rsidRDefault="00943A83" w:rsidP="00943A83">
      <w:pPr>
        <w:pStyle w:val="Prrafodelista"/>
        <w:numPr>
          <w:ilvl w:val="0"/>
          <w:numId w:val="1"/>
        </w:numPr>
      </w:pPr>
      <w:r>
        <w:t>Reversión media negocia a la desviación de un precio extendido entre dos o más instrumentos financieros.</w:t>
      </w:r>
    </w:p>
    <w:p w14:paraId="2C2C92C6" w14:textId="77777777" w:rsidR="00943A83" w:rsidRDefault="00943A83" w:rsidP="00943A83">
      <w:pPr>
        <w:pStyle w:val="Prrafodelista"/>
        <w:numPr>
          <w:ilvl w:val="0"/>
          <w:numId w:val="1"/>
        </w:numPr>
      </w:pPr>
      <w:r>
        <w:t xml:space="preserve">  Utiliza pruebas de correlación y cointegración para identificar un comportamiento significativo de reversión media.</w:t>
      </w:r>
    </w:p>
    <w:p w14:paraId="7E72ED2A" w14:textId="5E1951CF" w:rsidR="00943A83" w:rsidRDefault="00943A83" w:rsidP="00943A83">
      <w:pPr>
        <w:ind w:left="360"/>
      </w:pPr>
      <w:r>
        <w:t>* Stock, bono, índice, futuro, tasa de interés, etc.</w:t>
      </w:r>
    </w:p>
    <w:p w14:paraId="0C6447FF" w14:textId="066953EE" w:rsidR="0099557A" w:rsidRDefault="0099557A" w:rsidP="005432FC">
      <w:r>
        <w:t xml:space="preserve">Correlación vs cointegración </w:t>
      </w:r>
    </w:p>
    <w:p w14:paraId="11C57DBF" w14:textId="5A217B04" w:rsidR="0099557A" w:rsidRDefault="0099557A" w:rsidP="0099557A">
      <w:r w:rsidRPr="0099557A">
        <w:t xml:space="preserve">Se considera que dos activos están correlacionados cuando los precios de una de ellas varían sistemáticamente con respecto a los precios de la otra: si tenemos dos activos como Arcelor Mittal y </w:t>
      </w:r>
      <w:proofErr w:type="spellStart"/>
      <w:r w:rsidRPr="0099557A">
        <w:t>Salzgitter</w:t>
      </w:r>
      <w:proofErr w:type="spellEnd"/>
      <w:r w:rsidRPr="0099557A">
        <w:t xml:space="preserve"> existe correlación entre ellas si al disminuir los precios de Arcelor Mittal también </w:t>
      </w:r>
      <w:proofErr w:type="spellStart"/>
      <w:r w:rsidRPr="0099557A">
        <w:t>Salzgitter</w:t>
      </w:r>
      <w:proofErr w:type="spellEnd"/>
      <w:r w:rsidRPr="0099557A">
        <w:t xml:space="preserve"> lo hace y viceversa.</w:t>
      </w:r>
    </w:p>
    <w:p w14:paraId="51792B82" w14:textId="5B80C6CC" w:rsidR="005432FC" w:rsidRDefault="005432FC" w:rsidP="0099557A">
      <w:r w:rsidRPr="005432FC">
        <w:rPr>
          <w:noProof/>
        </w:rPr>
        <w:drawing>
          <wp:inline distT="0" distB="0" distL="0" distR="0" wp14:anchorId="22DFE3CE" wp14:editId="47BA9206">
            <wp:extent cx="3487994" cy="1690719"/>
            <wp:effectExtent l="0" t="0" r="0" b="5080"/>
            <wp:docPr id="1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621" cy="16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90C" w14:textId="0D2A6D9E" w:rsidR="005432FC" w:rsidRDefault="005432FC" w:rsidP="0099557A">
      <w:r>
        <w:t>(mucha diferencia)</w:t>
      </w:r>
    </w:p>
    <w:p w14:paraId="1C35A89C" w14:textId="2FBBFD06" w:rsidR="005432FC" w:rsidRDefault="005432FC" w:rsidP="0099557A">
      <w:r w:rsidRPr="005432FC">
        <w:lastRenderedPageBreak/>
        <w:t xml:space="preserve">La cointegración es una característica estadística de las variables en las series de tiempo donde dos o más series de tiempo están </w:t>
      </w:r>
      <w:proofErr w:type="spellStart"/>
      <w:r w:rsidRPr="005432FC">
        <w:t>cointegradas</w:t>
      </w:r>
      <w:proofErr w:type="spellEnd"/>
      <w:r w:rsidRPr="005432FC">
        <w:t xml:space="preserve"> si comparten una tendencia estocástica común. Formalmente, si (X1, X2, ..., </w:t>
      </w:r>
      <w:proofErr w:type="spellStart"/>
      <w:r w:rsidRPr="005432FC">
        <w:t>Xk</w:t>
      </w:r>
      <w:proofErr w:type="spellEnd"/>
      <w:r w:rsidRPr="005432FC">
        <w:t xml:space="preserve">) están cada uno integrados de orden d, y existen coeficientes a, b, c tales que </w:t>
      </w:r>
      <w:proofErr w:type="spellStart"/>
      <w:r w:rsidRPr="005432FC">
        <w:t>aX</w:t>
      </w:r>
      <w:proofErr w:type="spellEnd"/>
      <w:r w:rsidRPr="005432FC">
        <w:t xml:space="preserve"> + </w:t>
      </w:r>
      <w:proofErr w:type="spellStart"/>
      <w:r w:rsidRPr="005432FC">
        <w:t>bY</w:t>
      </w:r>
      <w:proofErr w:type="spellEnd"/>
      <w:r w:rsidRPr="005432FC">
        <w:t xml:space="preserve"> + </w:t>
      </w:r>
      <w:proofErr w:type="spellStart"/>
      <w:r w:rsidRPr="005432FC">
        <w:t>cZ</w:t>
      </w:r>
      <w:proofErr w:type="spellEnd"/>
      <w:r w:rsidRPr="005432FC">
        <w:t xml:space="preserve"> está integrado en el orden 0, entonces X, Y </w:t>
      </w:r>
      <w:proofErr w:type="spellStart"/>
      <w:r w:rsidRPr="005432FC">
        <w:t>y</w:t>
      </w:r>
      <w:proofErr w:type="spellEnd"/>
      <w:r w:rsidRPr="005432FC">
        <w:t xml:space="preserve"> Z están </w:t>
      </w:r>
      <w:proofErr w:type="spellStart"/>
      <w:r w:rsidRPr="005432FC">
        <w:t>cointegrados</w:t>
      </w:r>
      <w:proofErr w:type="spellEnd"/>
    </w:p>
    <w:p w14:paraId="59E6929D" w14:textId="0C3739BE" w:rsidR="005432FC" w:rsidRDefault="005432FC" w:rsidP="0099557A">
      <w:r w:rsidRPr="005432FC">
        <w:rPr>
          <w:noProof/>
        </w:rPr>
        <w:drawing>
          <wp:inline distT="0" distB="0" distL="0" distR="0" wp14:anchorId="6F7B31E0" wp14:editId="3B5546AA">
            <wp:extent cx="4321278" cy="2240826"/>
            <wp:effectExtent l="0" t="0" r="3175" b="7620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321" cy="22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701" w14:textId="0FBAEE78" w:rsidR="005432FC" w:rsidRDefault="005432FC" w:rsidP="0099557A">
      <w:r w:rsidRPr="005432FC">
        <w:t>El impulso o el "seguimiento de la tendencia" dependen de la difusión lenta de la información vs la difusión instantánea asumida por la hipótesis del mercado eficiente</w:t>
      </w:r>
    </w:p>
    <w:p w14:paraId="4B7171A4" w14:textId="0AA69C3C" w:rsidR="005432FC" w:rsidRPr="0099557A" w:rsidRDefault="005432FC" w:rsidP="0099557A">
      <w:r w:rsidRPr="005432FC">
        <w:rPr>
          <w:noProof/>
        </w:rPr>
        <w:drawing>
          <wp:inline distT="0" distB="0" distL="0" distR="0" wp14:anchorId="34C45F26" wp14:editId="030CB607">
            <wp:extent cx="3762393" cy="2219633"/>
            <wp:effectExtent l="0" t="0" r="0" b="9525"/>
            <wp:docPr id="9" name="Imagen 9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700" cy="22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1F77" w14:textId="77777777" w:rsidR="00EF11F8" w:rsidRDefault="00EF11F8" w:rsidP="00EF11F8">
      <w:r>
        <w:t>1. Los mercados tienden a insuficiencia a noticias sobre una empresa.</w:t>
      </w:r>
    </w:p>
    <w:p w14:paraId="77DD1356" w14:textId="77777777" w:rsidR="00EF11F8" w:rsidRDefault="00EF11F8" w:rsidP="00EF11F8">
      <w:r>
        <w:t>2. Los mercados tienden a reaccionar de forma exagerada.</w:t>
      </w:r>
    </w:p>
    <w:p w14:paraId="773BB4CA" w14:textId="77777777" w:rsidR="00EF11F8" w:rsidRDefault="00EF11F8" w:rsidP="00EF11F8">
      <w:r>
        <w:t>3. El stock de impulso tiende a ser más riesgosos.</w:t>
      </w:r>
    </w:p>
    <w:p w14:paraId="0F06A204" w14:textId="5524EA6A" w:rsidR="00EF11F8" w:rsidRDefault="00EF11F8" w:rsidP="00EF11F8">
      <w:r>
        <w:lastRenderedPageBreak/>
        <w:t>4. El desempeño superior de las existencias de impulso ha atraído a los inversionistas que ha aumentado los precios.</w:t>
      </w:r>
    </w:p>
    <w:p w14:paraId="51918177" w14:textId="59880FA5" w:rsidR="00EF11F8" w:rsidRDefault="00EF11F8" w:rsidP="00EF11F8">
      <w:pPr>
        <w:pStyle w:val="Prrafodelista"/>
        <w:numPr>
          <w:ilvl w:val="0"/>
          <w:numId w:val="2"/>
        </w:numPr>
      </w:pPr>
      <w:r>
        <w:t xml:space="preserve">El comercio de alta frecuencia explota las ineficiencias de la microestructura del mercado de </w:t>
      </w:r>
      <w:proofErr w:type="spellStart"/>
      <w:r>
        <w:t>Millisegund</w:t>
      </w:r>
      <w:proofErr w:type="spellEnd"/>
      <w:r>
        <w:t xml:space="preserve"> y Sub-</w:t>
      </w:r>
      <w:proofErr w:type="spellStart"/>
      <w:r>
        <w:t>Millisegundo</w:t>
      </w:r>
      <w:proofErr w:type="spellEnd"/>
      <w:r>
        <w:t>.</w:t>
      </w:r>
    </w:p>
    <w:p w14:paraId="56208D91" w14:textId="77777777" w:rsidR="00EF11F8" w:rsidRDefault="00EF11F8" w:rsidP="00EF11F8">
      <w:pPr>
        <w:pStyle w:val="Prrafodelista"/>
        <w:numPr>
          <w:ilvl w:val="0"/>
          <w:numId w:val="2"/>
        </w:numPr>
      </w:pPr>
      <w:r>
        <w:t>Se centra en las fallas de infraestructura (campo de juego desigual) en lugar de predicciones a largo plazo de los precios de los activos</w:t>
      </w:r>
    </w:p>
    <w:p w14:paraId="39E3DDA0" w14:textId="77777777" w:rsidR="00EF11F8" w:rsidRDefault="00EF11F8" w:rsidP="00EF11F8">
      <w:pPr>
        <w:pStyle w:val="Prrafodelista"/>
        <w:numPr>
          <w:ilvl w:val="0"/>
          <w:numId w:val="2"/>
        </w:numPr>
      </w:pPr>
      <w:r>
        <w:t>Modelos de patrones de comportamiento de los principales jugadores en un mercado.</w:t>
      </w:r>
    </w:p>
    <w:p w14:paraId="37E068E1" w14:textId="7AC6A8E6" w:rsidR="00EF11F8" w:rsidRDefault="00EF11F8" w:rsidP="00EF11F8">
      <w:pPr>
        <w:pStyle w:val="Prrafodelista"/>
        <w:numPr>
          <w:ilvl w:val="0"/>
          <w:numId w:val="2"/>
        </w:numPr>
      </w:pPr>
      <w:r>
        <w:t>Busca descubrir grandes pedidos ocultos por estrategias de ejecución de sigilo</w:t>
      </w:r>
    </w:p>
    <w:p w14:paraId="1400ED3B" w14:textId="77777777" w:rsidR="00E00DDA" w:rsidRDefault="00E00DDA" w:rsidP="00E00DDA">
      <w:r>
        <w:t>Ejemplos de estrategias de comercio de alta frecuencia.</w:t>
      </w:r>
    </w:p>
    <w:p w14:paraId="0299ACE8" w14:textId="77777777" w:rsidR="00E00DDA" w:rsidRDefault="00E00DDA" w:rsidP="00E00DDA">
      <w:pPr>
        <w:pStyle w:val="Prrafodelista"/>
        <w:numPr>
          <w:ilvl w:val="0"/>
          <w:numId w:val="3"/>
        </w:numPr>
      </w:pPr>
      <w:r>
        <w:t>Un fondo de inversión quiere comprar un gran bloque de stock.</w:t>
      </w:r>
    </w:p>
    <w:p w14:paraId="5C8AE3CC" w14:textId="77777777" w:rsidR="00E00DDA" w:rsidRDefault="00E00DDA" w:rsidP="00E00DDA">
      <w:pPr>
        <w:pStyle w:val="Prrafodelista"/>
        <w:numPr>
          <w:ilvl w:val="0"/>
          <w:numId w:val="3"/>
        </w:numPr>
      </w:pPr>
      <w:r>
        <w:t xml:space="preserve">Utiliza la estrategia de ejecución de sigilo para enmascarar el </w:t>
      </w:r>
      <w:proofErr w:type="gramStart"/>
      <w:r>
        <w:t>pedido</w:t>
      </w:r>
      <w:proofErr w:type="gramEnd"/>
      <w:r>
        <w:t xml:space="preserve"> pero no perfectamente.</w:t>
      </w:r>
    </w:p>
    <w:p w14:paraId="5751E6B2" w14:textId="77777777" w:rsidR="00E00DDA" w:rsidRDefault="00E00DDA" w:rsidP="00E00DDA">
      <w:pPr>
        <w:pStyle w:val="Prrafodelista"/>
        <w:numPr>
          <w:ilvl w:val="0"/>
          <w:numId w:val="3"/>
        </w:numPr>
      </w:pPr>
      <w:r>
        <w:t>Otros jugadores del mercado detectan la estrategia y "saltar por delante" de la Orden con sus propias órdenes de compra.</w:t>
      </w:r>
    </w:p>
    <w:p w14:paraId="2DB0F7CF" w14:textId="275092E0" w:rsidR="00943A83" w:rsidRDefault="00E00DDA" w:rsidP="00E00DDA">
      <w:pPr>
        <w:pStyle w:val="Prrafodelista"/>
        <w:numPr>
          <w:ilvl w:val="0"/>
          <w:numId w:val="3"/>
        </w:numPr>
      </w:pPr>
      <w:r>
        <w:t xml:space="preserve">Realizan ordenes “falsas” </w:t>
      </w:r>
    </w:p>
    <w:p w14:paraId="1A341385" w14:textId="77777777" w:rsidR="00E00DDA" w:rsidRDefault="00E00DDA" w:rsidP="00E00DDA">
      <w:r>
        <w:t>Ventajas de negociación</w:t>
      </w:r>
    </w:p>
    <w:p w14:paraId="5ADD94EE" w14:textId="0465DABE" w:rsidR="00E00DDA" w:rsidRDefault="00E00DDA" w:rsidP="00E00DDA">
      <w:pPr>
        <w:pStyle w:val="Prrafodelista"/>
        <w:numPr>
          <w:ilvl w:val="0"/>
          <w:numId w:val="4"/>
        </w:numPr>
      </w:pPr>
      <w:r>
        <w:t>saca la emoción</w:t>
      </w:r>
    </w:p>
    <w:p w14:paraId="01A75079" w14:textId="3BE7A4D4" w:rsidR="00E00DDA" w:rsidRDefault="00E00DDA" w:rsidP="00E00DDA">
      <w:pPr>
        <w:pStyle w:val="Prrafodelista"/>
        <w:numPr>
          <w:ilvl w:val="0"/>
          <w:numId w:val="4"/>
        </w:numPr>
      </w:pPr>
      <w:r>
        <w:t>Camino / estrategia no ambigua</w:t>
      </w:r>
    </w:p>
    <w:p w14:paraId="591F6ADF" w14:textId="5B674BF4" w:rsidR="00E00DDA" w:rsidRDefault="00E00DDA" w:rsidP="00E00DDA">
      <w:pPr>
        <w:pStyle w:val="Prrafodelista"/>
        <w:numPr>
          <w:ilvl w:val="0"/>
          <w:numId w:val="4"/>
        </w:numPr>
      </w:pPr>
      <w:r>
        <w:t>matemáticamente óptimo</w:t>
      </w:r>
    </w:p>
    <w:p w14:paraId="24D9A4D6" w14:textId="03E2E510" w:rsidR="00B45241" w:rsidRDefault="00B45241" w:rsidP="00B45241">
      <w:pPr>
        <w:pStyle w:val="Ttulo2"/>
      </w:pPr>
      <w:proofErr w:type="spellStart"/>
      <w:r>
        <w:t>Tranding</w:t>
      </w:r>
      <w:proofErr w:type="spellEnd"/>
      <w:r>
        <w:t xml:space="preserve"> de arbitraje </w:t>
      </w:r>
    </w:p>
    <w:p w14:paraId="327A40A0" w14:textId="6204AB72" w:rsidR="00B45241" w:rsidRDefault="00B45241" w:rsidP="00B45241">
      <w:r w:rsidRPr="00B45241">
        <w:t xml:space="preserve">El trading de arbitraje es una estrategia de trading cuyo objetivo es generar un beneficio mediante la compra de un activo en un mercado y la venta en otro, de manera simultánea. Lo más habitual es que esto se lleve a cabo entre activos idénticos </w:t>
      </w:r>
      <w:proofErr w:type="spellStart"/>
      <w:r w:rsidRPr="00B45241">
        <w:t>tradeados</w:t>
      </w:r>
      <w:proofErr w:type="spellEnd"/>
      <w:r w:rsidRPr="00B45241">
        <w:t xml:space="preserve"> en </w:t>
      </w:r>
      <w:proofErr w:type="spellStart"/>
      <w:r w:rsidRPr="00B45241">
        <w:t>exchanges</w:t>
      </w:r>
      <w:proofErr w:type="spellEnd"/>
      <w:r w:rsidRPr="00B45241">
        <w:t xml:space="preserve"> diferentes.</w:t>
      </w:r>
    </w:p>
    <w:p w14:paraId="68321D50" w14:textId="09D731F0" w:rsidR="00B45241" w:rsidRDefault="00B45241" w:rsidP="00B45241">
      <w:r w:rsidRPr="00B45241">
        <w:t>Vende algo en NYSE por 100.10 en este momento que puede comprar en NASDAQ por 100 en este momento</w:t>
      </w:r>
    </w:p>
    <w:p w14:paraId="1FA36B61" w14:textId="59F3149B" w:rsidR="00B45241" w:rsidRDefault="00B45241" w:rsidP="00B45241">
      <w:r w:rsidRPr="00B45241">
        <w:rPr>
          <w:noProof/>
        </w:rPr>
        <w:lastRenderedPageBreak/>
        <w:drawing>
          <wp:inline distT="0" distB="0" distL="0" distR="0" wp14:anchorId="7750B88E" wp14:editId="7DEBCBB7">
            <wp:extent cx="5612130" cy="1894205"/>
            <wp:effectExtent l="0" t="0" r="7620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5227" w14:textId="5B08328B" w:rsidR="00B45241" w:rsidRDefault="00B45241" w:rsidP="00B45241">
      <w:proofErr w:type="spellStart"/>
      <w:r>
        <w:t>Carry</w:t>
      </w:r>
      <w:proofErr w:type="spellEnd"/>
      <w:r>
        <w:t xml:space="preserve"> arbitraje </w:t>
      </w:r>
    </w:p>
    <w:p w14:paraId="6487F628" w14:textId="6A9CD581" w:rsidR="00B45241" w:rsidRDefault="00B45241" w:rsidP="00B45241">
      <w:r w:rsidRPr="00B45241">
        <w:t xml:space="preserve">El arbitraje de efectivo y acarreo es </w:t>
      </w:r>
      <w:proofErr w:type="gramStart"/>
      <w:r w:rsidRPr="00B45241">
        <w:t>una  estrategia</w:t>
      </w:r>
      <w:proofErr w:type="gramEnd"/>
      <w:r w:rsidRPr="00B45241">
        <w:t xml:space="preserve"> de mercado neutral que combina la compra de una posición larga en un activo como una acción o un producto básico, y la venta (corta) de una posición en un contrato de futuros sobre ese mismo activo subyacente.</w:t>
      </w:r>
    </w:p>
    <w:p w14:paraId="0825609E" w14:textId="76F2D104" w:rsidR="00B45241" w:rsidRDefault="00B45241" w:rsidP="00B45241">
      <w:r>
        <w:t>Paga 1550 por oro en el mercado spot (entrega inmediata) y simultáneamente</w:t>
      </w:r>
      <w:r w:rsidR="007E14F2">
        <w:t xml:space="preserve"> </w:t>
      </w:r>
      <w:proofErr w:type="gramStart"/>
      <w:r w:rsidR="007E14F2">
        <w:t>venda  futuros</w:t>
      </w:r>
      <w:proofErr w:type="gramEnd"/>
      <w:r w:rsidR="007E14F2">
        <w:t xml:space="preserve"> de oro</w:t>
      </w:r>
      <w:r>
        <w:t xml:space="preserve"> cortos para la entrega en un año en 1580</w:t>
      </w:r>
    </w:p>
    <w:p w14:paraId="3360C809" w14:textId="5C496B28" w:rsidR="00B45241" w:rsidRDefault="007E14F2" w:rsidP="00B45241">
      <w:r w:rsidRPr="007E14F2">
        <w:rPr>
          <w:noProof/>
        </w:rPr>
        <w:drawing>
          <wp:inline distT="0" distB="0" distL="0" distR="0" wp14:anchorId="48C80DE4" wp14:editId="506FED31">
            <wp:extent cx="5612130" cy="1588770"/>
            <wp:effectExtent l="0" t="0" r="7620" b="0"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2E2B" w14:textId="3DECD62A" w:rsidR="007E14F2" w:rsidRDefault="007E14F2" w:rsidP="007E14F2">
      <w:proofErr w:type="spellStart"/>
      <w:r>
        <w:t>Stat</w:t>
      </w:r>
      <w:proofErr w:type="spellEnd"/>
      <w:r>
        <w:t xml:space="preserve"> </w:t>
      </w:r>
      <w:proofErr w:type="spellStart"/>
      <w:r>
        <w:t>arb</w:t>
      </w:r>
      <w:proofErr w:type="spellEnd"/>
      <w:r>
        <w:t>: reversión media</w:t>
      </w:r>
    </w:p>
    <w:p w14:paraId="6BA8C56C" w14:textId="77777777" w:rsidR="007E14F2" w:rsidRDefault="007E14F2" w:rsidP="007E14F2">
      <w:r>
        <w:t>Arbitraje estadístico (pares de comercio)</w:t>
      </w:r>
    </w:p>
    <w:p w14:paraId="41E0E472" w14:textId="77777777" w:rsidR="007E14F2" w:rsidRDefault="007E14F2" w:rsidP="007E14F2"/>
    <w:p w14:paraId="3063026F" w14:textId="77777777" w:rsidR="007E14F2" w:rsidRDefault="007E14F2" w:rsidP="007E14F2">
      <w:r>
        <w:t>Se observa que tiene un precio promedio de 100 con una variación de ± 5% durante los 100 días de negociación anteriores.</w:t>
      </w:r>
    </w:p>
    <w:p w14:paraId="61613BDB" w14:textId="77777777" w:rsidR="007E14F2" w:rsidRDefault="007E14F2" w:rsidP="007E14F2">
      <w:r>
        <w:t>1. Compre cuando un alcance 95</w:t>
      </w:r>
    </w:p>
    <w:p w14:paraId="6A423119" w14:textId="77777777" w:rsidR="007E14F2" w:rsidRDefault="007E14F2" w:rsidP="007E14F2">
      <w:r>
        <w:t>2. Venta o corto cuando se alcanza 105.</w:t>
      </w:r>
    </w:p>
    <w:p w14:paraId="07A0BC2B" w14:textId="46A9E9D5" w:rsidR="007E14F2" w:rsidRDefault="007E14F2" w:rsidP="007E14F2">
      <w:r>
        <w:lastRenderedPageBreak/>
        <w:t>3.? Cuando un alcance 110 o 90.</w:t>
      </w:r>
    </w:p>
    <w:p w14:paraId="7F7C5D07" w14:textId="7A6996FC" w:rsidR="007E14F2" w:rsidRDefault="007E14F2" w:rsidP="007E14F2">
      <w:r w:rsidRPr="007E14F2">
        <w:rPr>
          <w:noProof/>
        </w:rPr>
        <w:drawing>
          <wp:inline distT="0" distB="0" distL="0" distR="0" wp14:anchorId="74FDEF6E" wp14:editId="4CD74B1E">
            <wp:extent cx="4058216" cy="2981741"/>
            <wp:effectExtent l="0" t="0" r="0" b="9525"/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9639" w14:textId="5CF1A8FD" w:rsidR="007E14F2" w:rsidRDefault="007E14F2" w:rsidP="007E14F2">
      <w:r w:rsidRPr="007E14F2">
        <w:rPr>
          <w:noProof/>
        </w:rPr>
        <w:drawing>
          <wp:inline distT="0" distB="0" distL="0" distR="0" wp14:anchorId="1F667E18" wp14:editId="3A0013D8">
            <wp:extent cx="3267531" cy="4534533"/>
            <wp:effectExtent l="0" t="0" r="9525" b="0"/>
            <wp:docPr id="13" name="Imagen 1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4F2">
        <w:t xml:space="preserve"> </w:t>
      </w:r>
    </w:p>
    <w:p w14:paraId="7E0FD428" w14:textId="77777777" w:rsidR="007E14F2" w:rsidRDefault="007E14F2" w:rsidP="007E14F2">
      <w:pPr>
        <w:pStyle w:val="Prrafodelista"/>
        <w:numPr>
          <w:ilvl w:val="0"/>
          <w:numId w:val="5"/>
        </w:numPr>
      </w:pPr>
      <w:r>
        <w:lastRenderedPageBreak/>
        <w:t>Las correlaciones de explotación más comúnmente que se explican (las correlaciones pueden variar según el período de tiempo)</w:t>
      </w:r>
    </w:p>
    <w:p w14:paraId="404AFF5D" w14:textId="77777777" w:rsidR="007E14F2" w:rsidRDefault="007E14F2" w:rsidP="007E14F2">
      <w:pPr>
        <w:pStyle w:val="Prrafodelista"/>
        <w:numPr>
          <w:ilvl w:val="0"/>
          <w:numId w:val="5"/>
        </w:numPr>
      </w:pPr>
      <w:r>
        <w:t>Puede extenderse a otras clases de activos, como bonos, opciones, productos básicos, futuros, opciones sobre futuros, etc.</w:t>
      </w:r>
    </w:p>
    <w:p w14:paraId="18335DF1" w14:textId="77777777" w:rsidR="007E14F2" w:rsidRDefault="007E14F2" w:rsidP="007E14F2">
      <w:pPr>
        <w:pStyle w:val="Prrafodelista"/>
        <w:numPr>
          <w:ilvl w:val="1"/>
          <w:numId w:val="5"/>
        </w:numPr>
      </w:pPr>
      <w:r>
        <w:t>T-bond vs de 30 años vs 10 años t-note</w:t>
      </w:r>
    </w:p>
    <w:p w14:paraId="3FD240A0" w14:textId="1940245F" w:rsidR="007E14F2" w:rsidRDefault="007E14F2" w:rsidP="007E14F2">
      <w:pPr>
        <w:pStyle w:val="Prrafodelista"/>
        <w:numPr>
          <w:ilvl w:val="1"/>
          <w:numId w:val="5"/>
        </w:numPr>
      </w:pPr>
      <w:r>
        <w:t>Aceite VS Gasolina y Aceite de Calefacción</w:t>
      </w:r>
    </w:p>
    <w:p w14:paraId="4CC003FD" w14:textId="77777777" w:rsidR="000E2E0C" w:rsidRPr="00B45241" w:rsidRDefault="000E2E0C" w:rsidP="000E2E0C"/>
    <w:sectPr w:rsidR="000E2E0C" w:rsidRPr="00B45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954"/>
    <w:multiLevelType w:val="hybridMultilevel"/>
    <w:tmpl w:val="23E804CC"/>
    <w:lvl w:ilvl="0" w:tplc="88AE1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5F5"/>
    <w:multiLevelType w:val="hybridMultilevel"/>
    <w:tmpl w:val="4F2CB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45F61"/>
    <w:multiLevelType w:val="hybridMultilevel"/>
    <w:tmpl w:val="A48C2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0370D"/>
    <w:multiLevelType w:val="hybridMultilevel"/>
    <w:tmpl w:val="C6681376"/>
    <w:lvl w:ilvl="0" w:tplc="88AE1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C59B5"/>
    <w:multiLevelType w:val="hybridMultilevel"/>
    <w:tmpl w:val="78A27CD4"/>
    <w:lvl w:ilvl="0" w:tplc="88AE1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DB"/>
    <w:rsid w:val="000E2E0C"/>
    <w:rsid w:val="002C439C"/>
    <w:rsid w:val="00353A36"/>
    <w:rsid w:val="00407FC4"/>
    <w:rsid w:val="005432FC"/>
    <w:rsid w:val="007E14F2"/>
    <w:rsid w:val="008457B6"/>
    <w:rsid w:val="00873F49"/>
    <w:rsid w:val="00943A83"/>
    <w:rsid w:val="00971D0F"/>
    <w:rsid w:val="0099557A"/>
    <w:rsid w:val="00A97BDB"/>
    <w:rsid w:val="00B353E5"/>
    <w:rsid w:val="00B45241"/>
    <w:rsid w:val="00B728ED"/>
    <w:rsid w:val="00C23B90"/>
    <w:rsid w:val="00D0568C"/>
    <w:rsid w:val="00DC6EA6"/>
    <w:rsid w:val="00E00DDA"/>
    <w:rsid w:val="00EF11F8"/>
    <w:rsid w:val="00F14CDC"/>
    <w:rsid w:val="00F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3AAA"/>
  <w15:chartTrackingRefBased/>
  <w15:docId w15:val="{F6A2502C-A5A1-4A6F-A661-CADB2B4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90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3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3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3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3A8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95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AFE74-3BF8-4120-B884-1628ACEF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AMBROCIO LORETO</dc:creator>
  <cp:keywords/>
  <dc:description/>
  <cp:lastModifiedBy>LUIS MANUEL AMBROCIO LORETO</cp:lastModifiedBy>
  <cp:revision>2</cp:revision>
  <cp:lastPrinted>2021-12-09T00:01:00Z</cp:lastPrinted>
  <dcterms:created xsi:type="dcterms:W3CDTF">2021-12-07T23:27:00Z</dcterms:created>
  <dcterms:modified xsi:type="dcterms:W3CDTF">2021-12-12T02:51:00Z</dcterms:modified>
</cp:coreProperties>
</file>