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pPr>
        <w:pStyle w:val="PortadaCM"/>
        <w:spacing w:before="0" w:after="240"/>
        <w:jc w:val="center"/>
      </w:pPr>
      <w:r>
        <w:rPr>
          <w:rFonts w:ascii="Ubuntu" w:hAnsi="Ubuntu" w:cs="Ubuntu"/>
          <w:b/>
          <w:bCs/>
          <w:sz w:val="64"/>
          <w:szCs w:val="64"/>
        </w:rPr>
        <w:t xml:space="preserve">DOCUMENTO DE ANÁLISIS FUNCIONAL — ACELERADOR DE CONSOLIDACIÓN FINANCIERA SAP BW/BPC</w:t>
      </w:r>
    </w:p>
    <w:p>
      <w:pPr>
        <w:spacing w:before="0" w:after="120" w:line="288" w:lineRule="auto"/>
        <w:jc w:val="center"/>
      </w:pPr>
      <w:r>
        <w:rPr>
          <w:rFonts w:ascii="Ubuntu" w:hAnsi="Ubuntu" w:cs="Ubuntu"/>
          <w:b/>
          <w:bCs/>
          <w:color w:val="144E8C"/>
          <w:sz w:val="28"/>
          <w:szCs w:val="28"/>
        </w:rPr>
        <w:t xml:space="preserve">Producto interno CM Consulting</w:t>
      </w:r>
    </w:p>
    <w:p>
      <w:r>
        <w:br w:type="page"/>
      </w:r>
    </w:p>
    <w:p>
      <w:pPr>
        <w:pStyle w:val="Heading1"/>
        <w:spacing w:before="360" w:after="160"/>
        <w:jc w:val="left"/>
      </w:pPr>
      <w:r>
        <w:rPr>
          <w:rFonts w:ascii="Ubuntu" w:hAnsi="Ubuntu" w:cs="Ubuntu"/>
          <w:b/>
          <w:bCs/>
          <w:color w:val="365F91"/>
          <w:sz w:val="32"/>
          <w:szCs w:val="32"/>
        </w:rPr>
        <w:t xml:space="preserve">Control de versiones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1200"/>
        <w:gridCol w:w="2200"/>
        <w:gridCol w:w="1500"/>
        <w:gridCol w:w="3938"/>
      </w:tblGrid>
      <w:tr>
        <w:trPr>
          <w:tblHeader/>
        </w:trPr>
        <w:tc>
          <w:tcPr>
            <w:tcW w:w="12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Versión</w:t>
            </w:r>
          </w:p>
        </w:tc>
        <w:tc>
          <w:tcPr>
            <w:tcW w:w="22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Elaborado por</w:t>
            </w:r>
          </w:p>
        </w:tc>
        <w:tc>
          <w:tcPr>
            <w:tcW w:w="15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Fecha</w:t>
            </w:r>
          </w:p>
        </w:tc>
        <w:tc>
          <w:tcPr>
            <w:tcW w:w="39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Observaciones</w:t>
            </w:r>
          </w:p>
        </w:tc>
      </w:tr>
      <w:tr>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0.1</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CM Consulting</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16-Oct-26</w:t>
            </w:r>
          </w:p>
        </w:tc>
        <w:tc>
          <w:tcPr>
            <w:tcW w:w="3938" w:type="dxa"/>
            <w:tcMar>
              <w:top w:w="80" w:type="dxa"/>
              <w:left w:w="120" w:type="dxa"/>
              <w:bottom w:w="80" w:type="dxa"/>
              <w:right w:w="120" w:type="dxa"/>
            </w:tcMar>
            <w:vAlign w:val="center"/>
          </w:tcPr>
          <w:p>
            <w:pPr>
              <w:spacing w:after="0"/>
              <w:jc w:val="both"/>
            </w:pPr>
            <w:r>
              <w:rPr>
                <w:rFonts w:ascii="Ubuntu" w:hAnsi="Ubuntu" w:cs="Ubuntu"/>
                <w:sz w:val="21"/>
                <w:szCs w:val="21"/>
              </w:rPr>
              <w:t xml:space="preserve">Versión inicial a partir de la sesión técnica</w:t>
            </w:r>
          </w:p>
        </w:tc>
      </w:tr>
      <w:tr>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0.2</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CM Consulting</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16-Oct-26</w:t>
            </w:r>
          </w:p>
        </w:tc>
        <w:tc>
          <w:tcPr>
            <w:tcW w:w="3938" w:type="dxa"/>
            <w:tcMar>
              <w:top w:w="80" w:type="dxa"/>
              <w:left w:w="120" w:type="dxa"/>
              <w:bottom w:w="80" w:type="dxa"/>
              <w:right w:w="120" w:type="dxa"/>
            </w:tcMar>
            <w:vAlign w:val="center"/>
          </w:tcPr>
          <w:p>
            <w:pPr>
              <w:spacing w:after="0"/>
              <w:jc w:val="both"/>
            </w:pPr>
            <w:r>
              <w:rPr>
                <w:rFonts w:ascii="Ubuntu" w:hAnsi="Ubuntu" w:cs="Ubuntu"/>
                <w:sz w:val="21"/>
                <w:szCs w:val="21"/>
              </w:rPr>
              <w:t xml:space="preserve">BORRADOR PARA REVISIÓN — pendiente de resolver preguntas abiertas. Incorpora las respuestas 1 a 6 de CM.</w:t>
            </w:r>
          </w:p>
        </w:tc>
      </w:tr>
      <w:tr>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1.0</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CM Consulting</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16-Oct-26</w:t>
            </w:r>
          </w:p>
        </w:tc>
        <w:tc>
          <w:tcPr>
            <w:tcW w:w="3938" w:type="dxa"/>
            <w:tcMar>
              <w:top w:w="80" w:type="dxa"/>
              <w:left w:w="120" w:type="dxa"/>
              <w:bottom w:w="80" w:type="dxa"/>
              <w:right w:w="120" w:type="dxa"/>
            </w:tcMar>
            <w:vAlign w:val="center"/>
          </w:tcPr>
          <w:p>
            <w:pPr>
              <w:spacing w:after="0"/>
              <w:jc w:val="both"/>
            </w:pPr>
            <w:r>
              <w:rPr>
                <w:rFonts w:ascii="Ubuntu" w:hAnsi="Ubuntu" w:cs="Ubuntu"/>
                <w:sz w:val="21"/>
                <w:szCs w:val="21"/>
              </w:rPr>
              <w:t xml:space="preserve">Versión para aprobación: incorpora las respuestas 7 y 8 de CM; sin preguntas críticas abiertas.</w:t>
            </w:r>
          </w:p>
        </w:tc>
      </w:tr>
      <w:tr>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1.1</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CM Consulting</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16-Oct-26</w:t>
            </w:r>
          </w:p>
        </w:tc>
        <w:tc>
          <w:tcPr>
            <w:tcW w:w="3938" w:type="dxa"/>
            <w:tcMar>
              <w:top w:w="80" w:type="dxa"/>
              <w:left w:w="120" w:type="dxa"/>
              <w:bottom w:w="80" w:type="dxa"/>
              <w:right w:w="120" w:type="dxa"/>
            </w:tcMar>
            <w:vAlign w:val="center"/>
          </w:tcPr>
          <w:p>
            <w:pPr>
              <w:spacing w:after="0"/>
              <w:jc w:val="both"/>
            </w:pPr>
            <w:r>
              <w:rPr>
                <w:rFonts w:ascii="Ubuntu" w:hAnsi="Ubuntu" w:cs="Ubuntu"/>
                <w:sz w:val="21"/>
                <w:szCs w:val="21"/>
              </w:rPr>
              <w:t xml:space="preserve">Amplía las reglas de consolidación y el control del cierre (RF-31 a RF-39, RN-13 a RN-18, RNF-Comp-05, RNF-Aud-02, reportes C01 a C04) y agrega la variante BW/4HANA con BPC 2021. Sin preguntas críticas abiertas.</w:t>
            </w:r>
          </w:p>
        </w:tc>
      </w:tr>
      <w:tr>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1.2</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CM Consulting</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16-Oct-26</w:t>
            </w:r>
          </w:p>
        </w:tc>
        <w:tc>
          <w:tcPr>
            <w:tcW w:w="39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arquitectura B queda fuera de la versión 1 (RNF-Comp-01, RF-04, RN-19, alcance 2.2), tras la revisión de arquitectura F6. Sin preguntas críticas abiertas.</w:t>
            </w:r>
          </w:p>
        </w:tc>
      </w:tr>
    </w:tbl>
    <w:p>
      <w:pPr>
        <w:spacing w:after="0"/>
      </w:pPr>
    </w:p>
    <w:p>
      <w:pPr>
        <w:pStyle w:val="Heading1"/>
        <w:spacing w:before="360" w:after="160"/>
        <w:jc w:val="left"/>
      </w:pPr>
      <w:r>
        <w:rPr>
          <w:rFonts w:ascii="Ubuntu" w:hAnsi="Ubuntu" w:cs="Ubuntu"/>
          <w:b/>
          <w:bCs/>
          <w:color w:val="365F91"/>
          <w:sz w:val="32"/>
          <w:szCs w:val="32"/>
        </w:rPr>
        <w:t xml:space="preserve">Confidencialidad</w:t>
      </w:r>
    </w:p>
    <w:p>
      <w:pPr>
        <w:spacing w:before="0" w:after="120" w:line="288" w:lineRule="auto"/>
        <w:jc w:val="both"/>
      </w:pPr>
      <w:r>
        <w:rPr>
          <w:rFonts w:ascii="Ubuntu" w:hAnsi="Ubuntu" w:cs="Ubuntu"/>
          <w:sz w:val="22"/>
          <w:szCs w:val="22"/>
        </w:rPr>
        <w:t xml:space="preserve">La información contenida en este documento es propiedad intelectual de </w:t>
      </w:r>
      <w:r>
        <w:rPr>
          <w:rFonts w:ascii="Ubuntu" w:hAnsi="Ubuntu" w:cs="Ubuntu"/>
          <w:b/>
          <w:bCs/>
          <w:sz w:val="22"/>
          <w:szCs w:val="22"/>
        </w:rPr>
        <w:t xml:space="preserve">CM CONSULTING SAS</w:t>
      </w:r>
      <w:r>
        <w:rPr>
          <w:rFonts w:ascii="Ubuntu" w:hAnsi="Ubuntu" w:cs="Ubuntu"/>
          <w:sz w:val="22"/>
          <w:szCs w:val="22"/>
        </w:rPr>
        <w:t xml:space="preserve">.</w:t>
      </w:r>
    </w:p>
    <w:p>
      <w:pPr>
        <w:spacing w:before="0" w:after="120" w:line="288" w:lineRule="auto"/>
        <w:jc w:val="both"/>
      </w:pPr>
      <w:r>
        <w:rPr>
          <w:rFonts w:ascii="Ubuntu" w:hAnsi="Ubuntu" w:cs="Ubuntu"/>
          <w:sz w:val="22"/>
          <w:szCs w:val="22"/>
        </w:rPr>
        <w:t xml:space="preserve">Este documento es de uso interno de </w:t>
      </w:r>
      <w:r>
        <w:rPr>
          <w:rFonts w:ascii="Ubuntu" w:hAnsi="Ubuntu" w:cs="Ubuntu"/>
          <w:b/>
          <w:bCs/>
          <w:sz w:val="22"/>
          <w:szCs w:val="22"/>
        </w:rPr>
        <w:t xml:space="preserve">CM CONSULTING SAS</w:t>
      </w:r>
      <w:r>
        <w:rPr>
          <w:rFonts w:ascii="Ubuntu" w:hAnsi="Ubuntu" w:cs="Ubuntu"/>
          <w:sz w:val="22"/>
          <w:szCs w:val="22"/>
        </w:rPr>
        <w:t xml:space="preserve">. Su reproducción, distribución o comunicación por cualquier medio queda expresamente prohibida sin el consentimiento escrito de </w:t>
      </w:r>
      <w:r>
        <w:rPr>
          <w:rFonts w:ascii="Ubuntu" w:hAnsi="Ubuntu" w:cs="Ubuntu"/>
          <w:b/>
          <w:bCs/>
          <w:sz w:val="22"/>
          <w:szCs w:val="22"/>
        </w:rPr>
        <w:t xml:space="preserve">CM CONSULTING SAS</w:t>
      </w:r>
      <w:r>
        <w:rPr>
          <w:rFonts w:ascii="Ubuntu" w:hAnsi="Ubuntu" w:cs="Ubuntu"/>
          <w:sz w:val="22"/>
          <w:szCs w:val="22"/>
        </w:rPr>
        <w:t xml:space="preserve">.</w:t>
      </w:r>
    </w:p>
    <w:p>
      <w:pPr>
        <w:spacing w:before="0" w:after="120" w:line="288" w:lineRule="auto"/>
        <w:jc w:val="both"/>
      </w:pPr>
      <w:r>
        <w:rPr>
          <w:rFonts w:ascii="Ubuntu" w:hAnsi="Ubuntu" w:cs="Ubuntu"/>
          <w:b/>
          <w:bCs/>
          <w:sz w:val="22"/>
          <w:szCs w:val="22"/>
        </w:rPr>
        <w:t xml:space="preserve">CM CONSULTING SAS</w:t>
      </w:r>
      <w:r>
        <w:rPr>
          <w:rFonts w:ascii="Ubuntu" w:hAnsi="Ubuntu" w:cs="Ubuntu"/>
          <w:sz w:val="22"/>
          <w:szCs w:val="22"/>
        </w:rPr>
        <w:t xml:space="preserve"> se reserva el derecho de tomar las acciones que estime necesarias conforme a las leyes nacionales e internacionales, si considera que esta condición ha sido transgredida y si las razones o perjuicios derivados pudiesen afectar su imagen o buen nombre.</w:t>
      </w:r>
    </w:p>
    <w:p>
      <w:r>
        <w:br w:type="page"/>
      </w:r>
    </w:p>
    <w:p>
      <w:pPr>
        <w:pStyle w:val="Heading1"/>
        <w:spacing w:before="360" w:after="160"/>
        <w:jc w:val="left"/>
      </w:pPr>
      <w:r>
        <w:rPr>
          <w:rFonts w:ascii="Ubuntu" w:hAnsi="Ubuntu" w:cs="Ubuntu"/>
          <w:b/>
          <w:bCs/>
          <w:color w:val="365F91"/>
          <w:sz w:val="32"/>
          <w:szCs w:val="32"/>
        </w:rPr>
        <w:t xml:space="preserve">Tabla de contenido</w:t>
      </w:r>
    </w:p>
    <w:p>
      <w:pPr>
        <w:pStyle w:val="TOC1"/>
      </w:pPr>
      <w:r>
        <w:fldChar w:fldCharType="begin" w:dirty="true"/>
      </w:r>
      <w:r>
        <w:instrText xml:space="preserve"> TOC \o "1-3" \h \z \u </w:instrText>
      </w:r>
      <w:r>
        <w:fldChar w:fldCharType="separate"/>
      </w:r>
      <w:r>
        <w:t>Actualice la tabla de contenido en Word (clic derecho → Actualizar campos).</w:t>
      </w:r>
      <w:r>
        <w:fldChar w:fldCharType="end"/>
      </w:r>
    </w:p>
    <w:p>
      <w:r>
        <w:br w:type="page"/>
      </w:r>
    </w:p>
    <w:p>
      <w:pPr>
        <w:pStyle w:val="Heading1"/>
        <w:spacing w:before="360" w:after="160"/>
        <w:jc w:val="left"/>
      </w:pPr>
      <w:r>
        <w:rPr>
          <w:rFonts w:ascii="Ubuntu" w:hAnsi="Ubuntu" w:cs="Ubuntu"/>
          <w:b/>
          <w:bCs/>
          <w:color w:val="365F91"/>
          <w:sz w:val="32"/>
          <w:szCs w:val="32"/>
        </w:rPr>
        <w:t xml:space="preserve">1. Introducción</w:t>
      </w:r>
    </w:p>
    <w:p>
      <w:pPr>
        <w:spacing w:before="0" w:after="120" w:line="288" w:lineRule="auto"/>
        <w:jc w:val="both"/>
      </w:pPr>
      <w:r>
        <w:rPr>
          <w:rFonts w:ascii="Ubuntu" w:hAnsi="Ubuntu" w:cs="Ubuntu"/>
          <w:sz w:val="22"/>
          <w:szCs w:val="22"/>
        </w:rPr>
        <w:t xml:space="preserve">Este documento establece la línea base funcional del Acelerador de consolidación financiera sobre SAP BW y SAP BPC, un producto interno de </w:t>
      </w:r>
      <w:r>
        <w:rPr>
          <w:rFonts w:ascii="Ubuntu" w:hAnsi="Ubuntu" w:cs="Ubuntu"/>
          <w:b/>
          <w:bCs/>
          <w:sz w:val="22"/>
          <w:szCs w:val="22"/>
        </w:rPr>
        <w:t xml:space="preserve">CM</w:t>
      </w:r>
      <w:r>
        <w:rPr>
          <w:rFonts w:ascii="Ubuntu" w:hAnsi="Ubuntu" w:cs="Ubuntu"/>
          <w:b/>
          <w:bCs/>
          <w:color w:val="F2B707"/>
          <w:sz w:val="22"/>
          <w:szCs w:val="22"/>
        </w:rPr>
        <w:t xml:space="preserve">CONSULTING</w:t>
      </w:r>
      <w:r>
        <w:rPr>
          <w:rFonts w:ascii="Ubuntu" w:hAnsi="Ubuntu" w:cs="Ubuntu"/>
          <w:sz w:val="22"/>
          <w:szCs w:val="22"/>
        </w:rPr>
        <w:t xml:space="preserve"> para reducir el trabajo manual de cada implementación de consolidación en los clientes. Sus códigos (RF, RNF, RN, INT) serán referenciados por el Documento UX, las historias de usuario, la arquitectura y el plan de pruebas.</w:t>
      </w:r>
    </w:p>
    <w:p>
      <w:pPr>
        <w:spacing w:before="0" w:after="120" w:line="288" w:lineRule="auto"/>
        <w:jc w:val="both"/>
      </w:pPr>
      <w:r>
        <w:rPr>
          <w:rFonts w:ascii="Ubuntu" w:hAnsi="Ubuntu" w:cs="Ubuntu"/>
          <w:sz w:val="22"/>
          <w:szCs w:val="22"/>
        </w:rPr>
        <w:t xml:space="preserve">No existe una propuesta comercial: al ser un producto interno, CM Consulting formalizó como alcance el borrador de solución v3 del 16-Oct-26, con los ajustes de la sesión interna (todos los módulos en el primer alcance, configurador web, varias versiones y consolidación en moneda local y dólares).</w:t>
      </w:r>
    </w:p>
    <w:p>
      <w:pPr>
        <w:spacing w:before="0" w:after="120" w:line="288" w:lineRule="auto"/>
        <w:jc w:val="both"/>
      </w:pPr>
      <w:r>
        <w:rPr>
          <w:rFonts w:ascii="Ubuntu" w:hAnsi="Ubuntu" w:cs="Ubuntu"/>
          <w:sz w:val="22"/>
          <w:szCs w:val="22"/>
        </w:rPr>
        <w:t xml:space="preserve">Fuentes del levantamiento y forma de citarlas en la columna Origen:</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3000"/>
        <w:gridCol w:w="5838"/>
      </w:tblGrid>
      <w:tr>
        <w:trPr>
          <w:tblHeader/>
        </w:trPr>
        <w:tc>
          <w:tcPr>
            <w:tcW w:w="30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Identificador</w:t>
            </w:r>
          </w:p>
        </w:tc>
        <w:tc>
          <w:tcPr>
            <w:tcW w:w="58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Fuente</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G6 mm:ss</w:t>
            </w:r>
          </w:p>
        </w:tc>
        <w:tc>
          <w:tcPr>
            <w:tcW w:w="5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con el consultor SAP BPC, grabación 6 (1,5 min). Transcripción automática.</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mm:ss</w:t>
            </w:r>
          </w:p>
        </w:tc>
        <w:tc>
          <w:tcPr>
            <w:tcW w:w="5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con el consultor SAP BPC, grabación 7 (21,5 min), con demostración del ambiente BW/BPC. Transcripción automática.</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w:t>
            </w:r>
          </w:p>
        </w:tc>
        <w:tc>
          <w:tcPr>
            <w:tcW w:w="5838" w:type="dxa"/>
            <w:tcMar>
              <w:top w:w="80" w:type="dxa"/>
              <w:left w:w="120" w:type="dxa"/>
              <w:bottom w:w="80" w:type="dxa"/>
              <w:right w:w="120" w:type="dxa"/>
            </w:tcMar>
            <w:vAlign w:val="center"/>
          </w:tcPr>
          <w:p>
            <w:pPr>
              <w:spacing w:after="0"/>
              <w:jc w:val="both"/>
            </w:pPr>
            <w:r>
              <w:rPr>
                <w:rFonts w:ascii="Ubuntu" w:hAnsi="Ubuntu" w:cs="Ubuntu"/>
                <w:sz w:val="21"/>
                <w:szCs w:val="21"/>
              </w:rPr>
              <w:t xml:space="preserve">Decisiones confirmadas por CM Consulting: producto interno, solo EPM, 20 reportes iniciales, código Z permitido, mecanismo RFC con paquete Z, y respuestas a las preguntas críticas de la versión 0.1: 1 a 6 (alcance formalizado, todos los módulos, configurador web, varias versiones, moneda local y dólares) y 7 y 8 (fuentes y alcance de presupuesto, activos fijos y deterioros; reportes propuestos por CM por selección delegada).</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Decisión CM 16-Oct-26 (arquitectura B fuera de la versión 1)</w:t>
            </w:r>
          </w:p>
        </w:tc>
        <w:tc>
          <w:tcPr>
            <w:tcW w:w="5838" w:type="dxa"/>
            <w:tcMar>
              <w:top w:w="80" w:type="dxa"/>
              <w:left w:w="120" w:type="dxa"/>
              <w:bottom w:w="80" w:type="dxa"/>
              <w:right w:w="120" w:type="dxa"/>
            </w:tcMar>
            <w:vAlign w:val="center"/>
          </w:tcPr>
          <w:p>
            <w:pPr>
              <w:spacing w:after="0"/>
              <w:jc w:val="both"/>
            </w:pPr>
            <w:r>
              <w:rPr>
                <w:rFonts w:ascii="Ubuntu" w:hAnsi="Ubuntu" w:cs="Ubuntu"/>
                <w:sz w:val="21"/>
                <w:szCs w:val="21"/>
              </w:rPr>
              <w:t xml:space="preserve">Decisión de CM Consulting en la revisión de arquitectura (F6): la consolidación y los reportes EPM sobre BPC embebido no están confirmados, por lo que la versión 1 se limita a la arquitectura A.</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(ampliación v1.1)</w:t>
            </w:r>
          </w:p>
        </w:tc>
        <w:tc>
          <w:tcPr>
            <w:tcW w:w="5838" w:type="dxa"/>
            <w:tcMar>
              <w:top w:w="80" w:type="dxa"/>
              <w:left w:w="120" w:type="dxa"/>
              <w:bottom w:w="80" w:type="dxa"/>
              <w:right w:w="120" w:type="dxa"/>
            </w:tcMar>
            <w:vAlign w:val="center"/>
          </w:tcPr>
          <w:p>
            <w:pPr>
              <w:spacing w:after="0"/>
              <w:jc w:val="both"/>
            </w:pPr>
            <w:r>
              <w:rPr>
                <w:rFonts w:ascii="Ubuntu" w:hAnsi="Ubuntu" w:cs="Ubuntu"/>
                <w:sz w:val="21"/>
                <w:szCs w:val="21"/>
              </w:rPr>
              <w:t xml:space="preserve">Decisión de CM Consulting de ampliar la línea base con las reglas de consolidación y el control del cierre, y de agregar la variante BW/4HANA con BPC 2021, tras revisar el caso de referencia.</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Caso de referencia BW 7.5/BPC 10.1</w:t>
            </w:r>
          </w:p>
        </w:tc>
        <w:tc>
          <w:tcPr>
            <w:tcW w:w="5838" w:type="dxa"/>
            <w:tcMar>
              <w:top w:w="80" w:type="dxa"/>
              <w:left w:w="120" w:type="dxa"/>
              <w:bottom w:w="80" w:type="dxa"/>
              <w:right w:w="120" w:type="dxa"/>
            </w:tcMar>
            <w:vAlign w:val="center"/>
          </w:tcPr>
          <w:p>
            <w:pPr>
              <w:spacing w:after="0"/>
              <w:jc w:val="both"/>
            </w:pPr>
            <w:r>
              <w:rPr>
                <w:rFonts w:ascii="Ubuntu" w:hAnsi="Ubuntu" w:cs="Ubuntu"/>
                <w:sz w:val="21"/>
                <w:szCs w:val="21"/>
              </w:rPr>
              <w:t xml:space="preserve">Diagnóstico técnico y propuesta de mejora de un grupo empresarial multinacional que consolida en BW 7.5 y BPC 10.1, revisados por CM Consulting el 16-Oct-26. Son documentos confidenciales de terceros: no se incluyen y solo se cita el hallazgo entre paréntesis.</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Borrador de solución v3</w:t>
            </w:r>
          </w:p>
        </w:tc>
        <w:tc>
          <w:tcPr>
            <w:tcW w:w="5838" w:type="dxa"/>
            <w:tcMar>
              <w:top w:w="80" w:type="dxa"/>
              <w:left w:w="120" w:type="dxa"/>
              <w:bottom w:w="80" w:type="dxa"/>
              <w:right w:w="120" w:type="dxa"/>
            </w:tcMar>
            <w:vAlign w:val="center"/>
          </w:tcPr>
          <w:p>
            <w:pPr>
              <w:spacing w:after="0"/>
              <w:jc w:val="both"/>
            </w:pPr>
            <w:r>
              <w:rPr>
                <w:rFonts w:ascii="Ubuntu" w:hAnsi="Ubuntu" w:cs="Ubuntu"/>
                <w:sz w:val="21"/>
                <w:szCs w:val="21"/>
              </w:rPr>
              <w:t xml:space="preserve">Página de solución elaborada por CM Consulting el 16-Oct-26; usada como referencia de alcance en la sección 11.</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Playbook CM §7.1</w:t>
            </w:r>
          </w:p>
        </w:tc>
        <w:tc>
          <w:tcPr>
            <w:tcW w:w="5838" w:type="dxa"/>
            <w:tcMar>
              <w:top w:w="80" w:type="dxa"/>
              <w:left w:w="120" w:type="dxa"/>
              <w:bottom w:w="80" w:type="dxa"/>
              <w:right w:w="120" w:type="dxa"/>
            </w:tcMar>
            <w:vAlign w:val="center"/>
          </w:tcPr>
          <w:p>
            <w:pPr>
              <w:spacing w:after="0"/>
              <w:jc w:val="both"/>
            </w:pPr>
            <w:r>
              <w:rPr>
                <w:rFonts w:ascii="Ubuntu" w:hAnsi="Ubuntu" w:cs="Ubuntu"/>
                <w:sz w:val="21"/>
                <w:szCs w:val="21"/>
              </w:rPr>
              <w:t xml:space="preserve">Mínimos de seguridad, observabilidad y accesibilidad del Playbook de Desarrollo CM.</w:t>
            </w:r>
          </w:p>
        </w:tc>
      </w:tr>
    </w:tbl>
    <w:p>
      <w:pPr>
        <w:spacing w:after="0"/>
      </w:pPr>
    </w:p>
    <w:p>
      <w:pPr>
        <w:pStyle w:val="Heading1"/>
        <w:spacing w:before="360" w:after="160"/>
        <w:jc w:val="left"/>
      </w:pPr>
      <w:r>
        <w:rPr>
          <w:rFonts w:ascii="Ubuntu" w:hAnsi="Ubuntu" w:cs="Ubuntu"/>
          <w:b/>
          <w:bCs/>
          <w:color w:val="365F91"/>
          <w:sz w:val="32"/>
          <w:szCs w:val="32"/>
        </w:rPr>
        <w:t xml:space="preserve">2. Alcance</w:t>
      </w:r>
    </w:p>
    <w:p>
      <w:pPr>
        <w:pStyle w:val="Heading2"/>
        <w:spacing w:before="240" w:after="120"/>
        <w:jc w:val="left"/>
      </w:pPr>
      <w:r>
        <w:rPr>
          <w:rFonts w:ascii="Ubuntu" w:hAnsi="Ubuntu" w:cs="Ubuntu"/>
          <w:b/>
          <w:bCs/>
          <w:color w:val="365F91"/>
          <w:sz w:val="28"/>
          <w:szCs w:val="28"/>
        </w:rPr>
        <w:t xml:space="preserve">2.1 Dentro del alcance</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Conexión a SAP ERP, BW y BPC del cliente, validación de conexiones e inventario de objetos existentes.</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Configurador web para definir el alcance por cliente: módulos (consolidación, presupuesto, activos fijos y deterioros), sociedades del grupo y mapeo de cuentas.</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Consolidación presentada en moneda local y en dólares.</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Generación de la bodega en BW cuando no existe, incluidos campos Z y cadenas de proceso con carga full y delta.</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Carga de datos maestros: planes de cuentas, CeCo y CeBe, monedas, jerarquías y sociedades no SAP.</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Configuración del modelo BPC, despliegue de scripts y ejecución de la consolidación.</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Reglas de consolidación: participaciones y métodos por periodo, eliminación de inversión, interés minoritario, diferencia en conversión, conciliación intercompañía y asientos de ajuste.</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Control del cierre: validación de cuadre antes de importar, bloqueo por sociedad y flujo de cierre con su estado.</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34 reportes y plantillas iniciales en Excel con EPM add-in: 20 de consolidación (tabla 5.6.1), 10 de presupuesto, activos fijos y deterioros (tabla 5.8.1) y 4 de control de consolidación (tabla 5.9.1).</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Soporte de la arquitectura A (BW 7.5 o BW/4HANA con BPC modelo estándar), con varias versiones (RNF-Comp-04 y RNF-Comp-05). La arquitectura B se identifica pero no se soporta en la versión 1 (RN-19).</w:t>
      </w:r>
    </w:p>
    <w:p>
      <w:pPr>
        <w:pStyle w:val="Heading2"/>
        <w:spacing w:before="240" w:after="120"/>
        <w:jc w:val="left"/>
      </w:pPr>
      <w:r>
        <w:rPr>
          <w:rFonts w:ascii="Ubuntu" w:hAnsi="Ubuntu" w:cs="Ubuntu"/>
          <w:b/>
          <w:bCs/>
          <w:color w:val="365F91"/>
          <w:sz w:val="28"/>
          <w:szCs w:val="28"/>
        </w:rPr>
        <w:t xml:space="preserve">2.2 Fuera del alcance</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Arquitectura B (ERP, BW y BPC integrados con BPC modelo embebido) en la versión 1 (RN-19); se reevalúa para una versión posterior.</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Reportes en Analysis for Office.</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Mejorar, migrar u optimizar un modelo BW/BPC existente del cliente (cadenas, código ABAP, migración de base de datos a HANA): el acelerador parte de lo existente (RN-03) pero no lo corrige.</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Los reportes del catálogo existente que no están en la tabla 5.6.1 (entre 30 y 38, según la pregunta abierta 6).</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Licencias de SAP ERP, BW, BPC y EPM, que aporta cada cliente.</w:t>
      </w:r>
    </w:p>
    <w:p>
      <w:pPr>
        <w:pStyle w:val="Heading1"/>
        <w:spacing w:before="360" w:after="160"/>
        <w:jc w:val="left"/>
      </w:pPr>
      <w:r>
        <w:rPr>
          <w:rFonts w:ascii="Ubuntu" w:hAnsi="Ubuntu" w:cs="Ubuntu"/>
          <w:b/>
          <w:bCs/>
          <w:color w:val="365F91"/>
          <w:sz w:val="32"/>
          <w:szCs w:val="32"/>
        </w:rPr>
        <w:t xml:space="preserve">3. Actores y roles del sistema</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2000"/>
        <w:gridCol w:w="1100"/>
        <w:gridCol w:w="4238"/>
        <w:gridCol w:w="1500"/>
      </w:tblGrid>
      <w:tr>
        <w:trPr>
          <w:tblHeader/>
        </w:trPr>
        <w:tc>
          <w:tcPr>
            <w:tcW w:w="20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Actor</w:t>
            </w:r>
          </w:p>
        </w:tc>
        <w:tc>
          <w:tcPr>
            <w:tcW w:w="1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c>
          <w:tcPr>
            <w:tcW w:w="4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Descripción</w:t>
            </w:r>
          </w:p>
        </w:tc>
        <w:tc>
          <w:tcPr>
            <w:tcW w:w="15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Volumen aproximado</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Consultor implementador</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Humano</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Consultor de CM que usa el configurador web del acelerador para implementar la consolidación en un cliente.</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Por confirmar</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Administrador SAP del cliente</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Humano</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Responsable Basis del cliente: crea el usuario técnico e importa transportes y paquetes Z.</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por cliente</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Usuario financiero</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Humano</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Persona del área financiera del cliente que abre y actualiza los reportes EPM.</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Por confirmar (pregunta 8)</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ERP</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Sistema</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ECC o S/4HANA del cliente; origen de la información contable.</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por cliente</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BW</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Sistema</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Bodega de datos: BW 7.5 (arquitectura A) o BW integrado al ERP (arquitectura B).</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por cliente</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BPC</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Sistema</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Modelo de consolidación: BPC modelo estándar (A) o modelo embebido (B).</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por cliente</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EPM add-in</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Sistema</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Complemento de Excel que conecta los reportes con BPC.</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por equipo de usuario</w:t>
            </w:r>
          </w:p>
        </w:tc>
      </w:tr>
    </w:tbl>
    <w:p>
      <w:pPr>
        <w:spacing w:after="0"/>
      </w:pPr>
    </w:p>
    <w:p>
      <w:pPr>
        <w:pStyle w:val="Heading1"/>
        <w:spacing w:before="360" w:after="160"/>
        <w:jc w:val="left"/>
      </w:pPr>
      <w:r>
        <w:rPr>
          <w:rFonts w:ascii="Ubuntu" w:hAnsi="Ubuntu" w:cs="Ubuntu"/>
          <w:b/>
          <w:bCs/>
          <w:color w:val="365F91"/>
          <w:sz w:val="32"/>
          <w:szCs w:val="32"/>
        </w:rPr>
        <w:t xml:space="preserve">4. Contexto de negocio</w:t>
      </w:r>
    </w:p>
    <w:p>
      <w:pPr>
        <w:pStyle w:val="Heading2"/>
        <w:spacing w:before="240" w:after="120"/>
        <w:jc w:val="left"/>
      </w:pPr>
      <w:r>
        <w:rPr>
          <w:rFonts w:ascii="Ubuntu" w:hAnsi="Ubuntu" w:cs="Ubuntu"/>
          <w:b/>
          <w:bCs/>
          <w:color w:val="365F91"/>
          <w:sz w:val="28"/>
          <w:szCs w:val="28"/>
        </w:rPr>
        <w:t xml:space="preserve">4.1 Proceso actual (as-is)</w:t>
      </w:r>
    </w:p>
    <w:p>
      <w:pPr>
        <w:spacing w:before="0" w:after="120" w:line="288" w:lineRule="auto"/>
        <w:jc w:val="both"/>
      </w:pPr>
      <w:r>
        <w:rPr>
          <w:rFonts w:ascii="Ubuntu" w:hAnsi="Ubuntu" w:cs="Ubuntu"/>
          <w:sz w:val="22"/>
          <w:szCs w:val="22"/>
        </w:rPr>
        <w:t xml:space="preserve">Hoy el consultor implementa cada cliente a mano: valida la conexión ERP–BW, activa extractores, carga datos maestros, crea las cadenas de proceso, configura el modelo BPC, escribe los scripts de consolidación y construye cada reporte de Excel desde cero (Sesión técnica 16-Oct-26, G7 03:05-06:40 y 19:09-19:15).</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Cada implementación repite los mismos pasos con variaciones por cliente.</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Los reportes de Excel se desarrollan de cero en cada cliente.</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Los scripts de cálculo cambian según la versión de BPC.</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El paso a paso vive en la documentación personal del consultor (G7 06:42-06:47).</w:t>
      </w:r>
    </w:p>
    <w:p>
      <w:pPr>
        <w:pStyle w:val="Heading2"/>
        <w:spacing w:before="240" w:after="120"/>
        <w:jc w:val="left"/>
      </w:pPr>
      <w:r>
        <w:rPr>
          <w:rFonts w:ascii="Ubuntu" w:hAnsi="Ubuntu" w:cs="Ubuntu"/>
          <w:b/>
          <w:bCs/>
          <w:color w:val="365F91"/>
          <w:sz w:val="28"/>
          <w:szCs w:val="28"/>
        </w:rPr>
        <w:t xml:space="preserve">4.2 Proceso objetivo (to-be)</w:t>
      </w:r>
    </w:p>
    <w:p>
      <w:pPr>
        <w:spacing w:before="0" w:after="120" w:line="288" w:lineRule="auto"/>
        <w:jc w:val="both"/>
      </w:pPr>
      <w:r>
        <w:rPr>
          <w:rFonts w:ascii="Ubuntu" w:hAnsi="Ubuntu" w:cs="Ubuntu"/>
          <w:sz w:val="22"/>
          <w:szCs w:val="22"/>
        </w:rPr>
        <w:t xml:space="preserve">El Consultor implementador usa el configurador web del acelerador: conecta los sistemas del cliente, revisa lo que ya existe, marca los módulos y sociedades, y el acelerador genera la bodega, carga los datos maestros, configura el modelo BPC y despliega los scripts. Al final entrega los reportes EPM, que el Usuario financiero actualiza por su cuenta; las cargas delta nocturnas mantienen los datos al día.</w:t>
      </w:r>
    </w:p>
    <w:p>
      <w:pPr>
        <w:pStyle w:val="Heading1"/>
        <w:spacing w:before="360" w:after="160"/>
        <w:jc w:val="left"/>
      </w:pPr>
      <w:r>
        <w:rPr>
          <w:rFonts w:ascii="Ubuntu" w:hAnsi="Ubuntu" w:cs="Ubuntu"/>
          <w:b/>
          <w:bCs/>
          <w:color w:val="365F91"/>
          <w:sz w:val="32"/>
          <w:szCs w:val="32"/>
        </w:rPr>
        <w:t xml:space="preserve">5. Requerimientos funcionales</w:t>
      </w:r>
    </w:p>
    <w:p>
      <w:pPr>
        <w:pStyle w:val="Heading2"/>
        <w:spacing w:before="240" w:after="120"/>
        <w:jc w:val="left"/>
      </w:pPr>
      <w:r>
        <w:rPr>
          <w:rFonts w:ascii="Ubuntu" w:hAnsi="Ubuntu" w:cs="Ubuntu"/>
          <w:b/>
          <w:bCs/>
          <w:color w:val="365F91"/>
          <w:sz w:val="28"/>
          <w:szCs w:val="28"/>
        </w:rPr>
        <w:t xml:space="preserve">5.1 Conexión y diagnóstico</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900"/>
        <w:gridCol w:w="1500"/>
        <w:gridCol w:w="3238"/>
        <w:gridCol w:w="900"/>
        <w:gridCol w:w="900"/>
        <w:gridCol w:w="1400"/>
      </w:tblGrid>
      <w:tr>
        <w:trPr>
          <w:tblHeader/>
        </w:trPr>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Código</w:t>
            </w:r>
          </w:p>
        </w:tc>
        <w:tc>
          <w:tcPr>
            <w:tcW w:w="15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Nombre</w:t>
            </w:r>
          </w:p>
        </w:tc>
        <w:tc>
          <w:tcPr>
            <w:tcW w:w="3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Descripción</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Reglas</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Prioridad</w:t>
            </w:r>
          </w:p>
        </w:tc>
        <w:tc>
          <w:tcPr>
            <w:tcW w:w="14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Origen</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RF-01</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Registrar y probar conexiones</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permite al Consultor implementador registrar los parámetros de conexión a SAP ERP, SAP BW y SAP BPC del cliente y probar cada conexión, mostrando para cada sistema el resultado (exitosa o fallida con el mensaje devuelto).</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08:40-08:46; 21:05-21:10</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RF-02</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Validar conexión ERP–BW</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permite al Consultor implementador validar la conexión entre SAP ERP y SAP BW antes de iniciar las cargas, y registra el resultado de la validación.</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RN-01</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03:14-03:25</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RF-03</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Inventariar objetos existentes</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lista los objetos ya existentes en el sistema del cliente: extractores activos, InfoCubos o aDSO, modelos BPC y campos Z, para que el Consultor implementador decida qué generar.</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RN-03</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13:40-14:06; 14:45-14:55</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RF-04</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Identificar la arquitectura</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identifica si el cliente opera la arquitectura A (ERP, BW 7.5 o BW/4HANA y BPC modelo estándar en sistemas separados) o la B (ERP, BW y BPC integrados en el mismo sistema, p. ej. S/4HANA con BW embebido y BPC embebido), y usa la variante de generación de esa arquitectura en los pasos siguientes. En la versión 1, si detecta la arquitectura B informa que no está soportada y no permite continuar.</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RN-02, RN-19</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G6 00:00-00:43; Sesión técnica 16-Oct-26, G7 12:31-13:21; Decisión CM 16-Oct-26 (arquitectura B fuera de la versión 1)</w:t>
            </w:r>
          </w:p>
        </w:tc>
      </w:tr>
    </w:tbl>
    <w:p>
      <w:pPr>
        <w:spacing w:after="0"/>
      </w:pPr>
    </w:p>
    <w:p>
      <w:pPr>
        <w:pStyle w:val="Heading2"/>
        <w:spacing w:before="240" w:after="120"/>
        <w:jc w:val="left"/>
      </w:pPr>
      <w:r>
        <w:rPr>
          <w:rFonts w:ascii="Ubuntu" w:hAnsi="Ubuntu" w:cs="Ubuntu"/>
          <w:b/>
          <w:bCs/>
          <w:color w:val="365F91"/>
          <w:sz w:val="28"/>
          <w:szCs w:val="28"/>
        </w:rPr>
        <w:t xml:space="preserve">5.2 Configuración de alcance</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900"/>
        <w:gridCol w:w="1500"/>
        <w:gridCol w:w="3238"/>
        <w:gridCol w:w="900"/>
        <w:gridCol w:w="900"/>
        <w:gridCol w:w="1400"/>
      </w:tblGrid>
      <w:tr>
        <w:trPr>
          <w:tblHeader/>
        </w:trPr>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Código</w:t>
            </w:r>
          </w:p>
        </w:tc>
        <w:tc>
          <w:tcPr>
            <w:tcW w:w="15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Nombre</w:t>
            </w:r>
          </w:p>
        </w:tc>
        <w:tc>
          <w:tcPr>
            <w:tcW w:w="3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Descripción</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Reglas</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Prioridad</w:t>
            </w:r>
          </w:p>
        </w:tc>
        <w:tc>
          <w:tcPr>
            <w:tcW w:w="14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Origen</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RF-05</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Seleccionar módulos</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permite al Consultor implementador marcar o desmarcar los módulos a implementar (consolidación, presupuesto, activos fijos, deterioros); solo los módulos marcados se generan.</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14:13-15:35</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RF-06</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Registrar sociedades del grupo</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permite registrar las sociedades del grupo a consolidar, indicando para cada una si su información está en SAP o se carga por fuera.</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RN-07</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03:40-04:33</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RF-07</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Registrar mapeo de cuentas</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permite registrar el mapeo de las cuentas contables del cliente a los rubros de reporte (por ejemplo, rubro F-00-101 Efectivo).</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RN-10</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03:34-03:40; 19:32-20:44</w:t>
            </w:r>
          </w:p>
        </w:tc>
      </w:tr>
    </w:tbl>
    <w:p>
      <w:pPr>
        <w:spacing w:after="0"/>
      </w:pPr>
    </w:p>
    <w:p>
      <w:pPr>
        <w:pStyle w:val="Heading2"/>
        <w:spacing w:before="240" w:after="120"/>
        <w:jc w:val="left"/>
      </w:pPr>
      <w:r>
        <w:rPr>
          <w:rFonts w:ascii="Ubuntu" w:hAnsi="Ubuntu" w:cs="Ubuntu"/>
          <w:b/>
          <w:bCs/>
          <w:color w:val="365F91"/>
          <w:sz w:val="28"/>
          <w:szCs w:val="28"/>
        </w:rPr>
        <w:t xml:space="preserve">5.3 Bodega de datos en BW</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900"/>
        <w:gridCol w:w="1500"/>
        <w:gridCol w:w="3238"/>
        <w:gridCol w:w="900"/>
        <w:gridCol w:w="900"/>
        <w:gridCol w:w="1400"/>
      </w:tblGrid>
      <w:tr>
        <w:trPr>
          <w:tblHeader/>
        </w:trPr>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Código</w:t>
            </w:r>
          </w:p>
        </w:tc>
        <w:tc>
          <w:tcPr>
            <w:tcW w:w="15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Nombre</w:t>
            </w:r>
          </w:p>
        </w:tc>
        <w:tc>
          <w:tcPr>
            <w:tcW w:w="3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Descripción</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Reglas</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Prioridad</w:t>
            </w:r>
          </w:p>
        </w:tc>
        <w:tc>
          <w:tcPr>
            <w:tcW w:w="14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Origen</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RF-08</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Generar la bodega</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Cuando el inventario (RF-03) indica que la bodega no existe, el sistema crea en BW los objetos de los módulos seleccionados: activa los extractores estándar de información financiera (0FI_GL_14 en ECC; el equivalente en S/4HANA se confirma en la pregunta abierta 11) y crea los InfoProviders (InfoCubos o aDSO).</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RN-03</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G6 01:10-01:17; Sesión técnica 16-Oct-26, G7 00:05-00:12; 13:46-13:58</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RF-09</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Incorporar campos Z</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incorpora a la bodega los campos adicionales (Z) que el cliente haya creado en SAP y que el Consultor implementador seleccione.</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Media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14:02-14:06</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RF-10</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Generar cadenas de proceso</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crea las cadenas de proceso que ejecutan una carga full inicial del histórico y, después, una carga delta cada noche.</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RN-04</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05:47-05:50; 09:40-09:57</w:t>
            </w:r>
          </w:p>
        </w:tc>
      </w:tr>
    </w:tbl>
    <w:p>
      <w:pPr>
        <w:spacing w:after="0"/>
      </w:pPr>
    </w:p>
    <w:p>
      <w:pPr>
        <w:pStyle w:val="Heading2"/>
        <w:spacing w:before="240" w:after="120"/>
        <w:jc w:val="left"/>
      </w:pPr>
      <w:r>
        <w:rPr>
          <w:rFonts w:ascii="Ubuntu" w:hAnsi="Ubuntu" w:cs="Ubuntu"/>
          <w:b/>
          <w:bCs/>
          <w:color w:val="365F91"/>
          <w:sz w:val="28"/>
          <w:szCs w:val="28"/>
        </w:rPr>
        <w:t xml:space="preserve">5.4 Datos maestros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900"/>
        <w:gridCol w:w="1500"/>
        <w:gridCol w:w="3238"/>
        <w:gridCol w:w="900"/>
        <w:gridCol w:w="900"/>
        <w:gridCol w:w="1400"/>
      </w:tblGrid>
      <w:tr>
        <w:trPr>
          <w:tblHeader/>
        </w:trPr>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Código</w:t>
            </w:r>
          </w:p>
        </w:tc>
        <w:tc>
          <w:tcPr>
            <w:tcW w:w="15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Nombre</w:t>
            </w:r>
          </w:p>
        </w:tc>
        <w:tc>
          <w:tcPr>
            <w:tcW w:w="3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Descripción</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Reglas</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Prioridad</w:t>
            </w:r>
          </w:p>
        </w:tc>
        <w:tc>
          <w:tcPr>
            <w:tcW w:w="14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Origen</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RF-11</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Cargar planes de cuentas</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carga en BW el plan de cuentas de cada sociedad seleccionada.</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RN-05</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04:44-04:57</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RF-12</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Cargar CeCo y CeBe</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carga en BW los centros de costo y de beneficio de todas las sociedades seleccionadas.</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04:04-04:15</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RF-13</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Cargar monedas y tasas</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carga la moneda local de cada sociedad tal como la maneja SAP y las tasas de cambio entre moneda local y dólares.</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RN-06</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05:02-05:35; Sesión interna CM 16-Oct-26 (respuesta 6)</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RF-14</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Cargar jerarquía de cuentas</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carga en BW la jerarquía de cuentas del cliente.</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05:38-05:44</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RF-15</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Cargar sociedades no SAP</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permite cargar la información contable de las sociedades no SAP registradas en RF-06 al mismo modelo que las sociedades SAP.</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04:25-04:33</w:t>
            </w:r>
          </w:p>
        </w:tc>
      </w:tr>
    </w:tbl>
    <w:p>
      <w:pPr>
        <w:spacing w:after="0"/>
      </w:pPr>
    </w:p>
    <w:p>
      <w:pPr>
        <w:pStyle w:val="Heading2"/>
        <w:spacing w:before="240" w:after="120"/>
        <w:jc w:val="left"/>
      </w:pPr>
      <w:r>
        <w:rPr>
          <w:rFonts w:ascii="Ubuntu" w:hAnsi="Ubuntu" w:cs="Ubuntu"/>
          <w:b/>
          <w:bCs/>
          <w:color w:val="365F91"/>
          <w:sz w:val="28"/>
          <w:szCs w:val="28"/>
        </w:rPr>
        <w:t xml:space="preserve">5.5 Modelo BPC y consolidación</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900"/>
        <w:gridCol w:w="1500"/>
        <w:gridCol w:w="3238"/>
        <w:gridCol w:w="900"/>
        <w:gridCol w:w="900"/>
        <w:gridCol w:w="1400"/>
      </w:tblGrid>
      <w:tr>
        <w:trPr>
          <w:tblHeader/>
        </w:trPr>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Código</w:t>
            </w:r>
          </w:p>
        </w:tc>
        <w:tc>
          <w:tcPr>
            <w:tcW w:w="15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Nombre</w:t>
            </w:r>
          </w:p>
        </w:tc>
        <w:tc>
          <w:tcPr>
            <w:tcW w:w="3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Descripción</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Reglas</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Prioridad</w:t>
            </w:r>
          </w:p>
        </w:tc>
        <w:tc>
          <w:tcPr>
            <w:tcW w:w="14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Origen</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RF-16</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Configurar dimensiones</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crea en BPC las dimensiones del modelo de consolidación, entre ellas cuentas y terceros (la lista completa se define en arquitectura), y carga sus miembros con los datos del cliente.</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06:02-06:12; 20:16-20:21</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RF-17</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Importar datos de BW a BPC</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el modelo estándar de BPC, el sistema importa al modelo BPC los datos del InfoProvider de BW (InfoCubo o aDSO).</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06:15-06:22</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RF-18</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Desplegar scripts de lógica</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despliega en BPC los scripts de consolidación completados con los datos del cliente, en la variante de la arquitectura identificada en RF-04.</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RN-02</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06:28-06:40; 10:41-10:56</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RF-19</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Ejecutar la consolidación</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ejecuta la consolidación del grupo eliminando las transacciones entre sociedades del grupo, aplica según el método de cada sociedad las reglas de RF-32 y RF-33, y deja el resultado consultable en el modelo BPC.</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RN-06, RN-07, RN-13</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03:50-04:00; 06:37-06:40</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RF-26</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Convertir a la otra moneda</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convierte los saldos de cada sociedad a la otra moneda de presentación (moneda local o dólares) con las tasas cargadas en RF-13, y deja la consolidación disponible en ambas monedas.</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RN-06, RN-11</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05:10-05:20; Sesión interna CM 16-Oct-26 (respuesta 6)</w:t>
            </w:r>
          </w:p>
        </w:tc>
      </w:tr>
    </w:tbl>
    <w:p>
      <w:pPr>
        <w:spacing w:after="0"/>
      </w:pPr>
    </w:p>
    <w:p>
      <w:pPr>
        <w:pStyle w:val="Heading2"/>
        <w:spacing w:before="240" w:after="120"/>
        <w:jc w:val="left"/>
      </w:pPr>
      <w:r>
        <w:rPr>
          <w:rFonts w:ascii="Ubuntu" w:hAnsi="Ubuntu" w:cs="Ubuntu"/>
          <w:b/>
          <w:bCs/>
          <w:color w:val="365F91"/>
          <w:sz w:val="28"/>
          <w:szCs w:val="28"/>
        </w:rPr>
        <w:t xml:space="preserve">5.6 Reportes EPM</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900"/>
        <w:gridCol w:w="1500"/>
        <w:gridCol w:w="3238"/>
        <w:gridCol w:w="900"/>
        <w:gridCol w:w="900"/>
        <w:gridCol w:w="1400"/>
      </w:tblGrid>
      <w:tr>
        <w:trPr>
          <w:tblHeader/>
        </w:trPr>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Código</w:t>
            </w:r>
          </w:p>
        </w:tc>
        <w:tc>
          <w:tcPr>
            <w:tcW w:w="15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Nombre</w:t>
            </w:r>
          </w:p>
        </w:tc>
        <w:tc>
          <w:tcPr>
            <w:tcW w:w="3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Descripción</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Reglas</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Prioridad</w:t>
            </w:r>
          </w:p>
        </w:tc>
        <w:tc>
          <w:tcPr>
            <w:tcW w:w="14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Origen</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RF-20</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Entregar reportes EPM</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entrega los 20 reportes iniciales de la tabla 5.6.1, cada uno como un archivo Excel con EPM add-in conectado al modelo BPC, que el cliente conserva y actualiza.</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RN-08</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15:44-17:10; Sesión interna CM 16-Oct-26</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RF-21</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Seleccionar sociedad y filiales</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Cada reporte permite al Usuario financiero elegir la sociedad, si incluye sus filiales y la moneda de presentación (moneda local o dólares), y actualizar los datos desde BPC.</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RN-06, RN-09</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18:27-19:04; Sesión interna CM 16-Oct-26 (respuesta 6)</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RF-22</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Calcular rubros por mapeo</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Cada rubro de un reporte muestra la suma de las cuentas mapeadas a ese rubro en RF-07.</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RN-10</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19:29-20:44</w:t>
            </w:r>
          </w:p>
        </w:tc>
      </w:tr>
    </w:tbl>
    <w:p>
      <w:pPr>
        <w:spacing w:after="0"/>
      </w:pPr>
    </w:p>
    <w:p>
      <w:pPr>
        <w:pStyle w:val="Heading3"/>
        <w:spacing w:before="240" w:after="120"/>
        <w:jc w:val="left"/>
      </w:pPr>
      <w:r>
        <w:rPr>
          <w:rFonts w:ascii="Ubuntu" w:hAnsi="Ubuntu" w:cs="Ubuntu"/>
          <w:b/>
          <w:bCs/>
          <w:color w:val="365F91"/>
          <w:sz w:val="24"/>
          <w:szCs w:val="24"/>
        </w:rPr>
        <w:t xml:space="preserve">5.6.1 Catálogo de reportes iniciales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3000"/>
        <w:gridCol w:w="2000"/>
        <w:gridCol w:w="1838"/>
        <w:gridCol w:w="12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ID</w:t>
            </w:r>
          </w:p>
        </w:tc>
        <w:tc>
          <w:tcPr>
            <w:tcW w:w="30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Reporte</w:t>
            </w:r>
          </w:p>
        </w:tc>
        <w:tc>
          <w:tcPr>
            <w:tcW w:w="20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Grupo</w:t>
            </w:r>
          </w:p>
        </w:tc>
        <w:tc>
          <w:tcPr>
            <w:tcW w:w="18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Origen</w:t>
            </w:r>
          </w:p>
        </w:tc>
        <w:tc>
          <w:tcPr>
            <w:tcW w:w="12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Ola</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R01</w:t>
            </w:r>
          </w:p>
        </w:tc>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Estado de situación financiera</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Estados financieros</w:t>
            </w:r>
          </w:p>
        </w:tc>
        <w:tc>
          <w:tcPr>
            <w:tcW w:w="1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17:55-18:00</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1</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R02</w:t>
            </w:r>
          </w:p>
        </w:tc>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Estado de resultados integral</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Estados financieros</w:t>
            </w:r>
          </w:p>
        </w:tc>
        <w:tc>
          <w:tcPr>
            <w:tcW w:w="1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(selección delegada)</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2</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R03</w:t>
            </w:r>
          </w:p>
        </w:tc>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Estado de cambios en el patrimonio</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Estados financieros</w:t>
            </w:r>
          </w:p>
        </w:tc>
        <w:tc>
          <w:tcPr>
            <w:tcW w:w="1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(selección delegada)</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2</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R04</w:t>
            </w:r>
          </w:p>
        </w:tc>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Estado de flujos de efectivo</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Estados financieros</w:t>
            </w:r>
          </w:p>
        </w:tc>
        <w:tc>
          <w:tcPr>
            <w:tcW w:w="1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(selección delegada)</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2</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R05</w:t>
            </w:r>
          </w:p>
        </w:tc>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Hoja de eliminaciones intercompañía</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Control de consolidación</w:t>
            </w:r>
          </w:p>
        </w:tc>
        <w:tc>
          <w:tcPr>
            <w:tcW w:w="1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(selección delegada)</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1</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R06</w:t>
            </w:r>
          </w:p>
        </w:tc>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Saldos y transacciones con partes relacionadas</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Control de consolidación</w:t>
            </w:r>
          </w:p>
        </w:tc>
        <w:tc>
          <w:tcPr>
            <w:tcW w:w="1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(selección delegada)</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2</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R07</w:t>
            </w:r>
          </w:p>
        </w:tc>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Efectivo y equivalentes de efectivo</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Notas de activo</w:t>
            </w:r>
          </w:p>
        </w:tc>
        <w:tc>
          <w:tcPr>
            <w:tcW w:w="1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18:16-18:26</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1</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R08</w:t>
            </w:r>
          </w:p>
        </w:tc>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Cuentas por cobrar</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Notas de activo</w:t>
            </w:r>
          </w:p>
        </w:tc>
        <w:tc>
          <w:tcPr>
            <w:tcW w:w="1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17:49-17:51</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R09</w:t>
            </w:r>
          </w:p>
        </w:tc>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Carteras colectivas</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Notas de activo</w:t>
            </w:r>
          </w:p>
        </w:tc>
        <w:tc>
          <w:tcPr>
            <w:tcW w:w="1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17:46-17:47</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R10</w:t>
            </w:r>
          </w:p>
        </w:tc>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Propiedad, planta y equipo</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Notas de activo</w:t>
            </w:r>
          </w:p>
        </w:tc>
        <w:tc>
          <w:tcPr>
            <w:tcW w:w="1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18:02 (por confirmar)</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R11</w:t>
            </w:r>
          </w:p>
        </w:tc>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Intangibles</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Notas de activo</w:t>
            </w:r>
          </w:p>
        </w:tc>
        <w:tc>
          <w:tcPr>
            <w:tcW w:w="1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18:03</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R12</w:t>
            </w:r>
          </w:p>
        </w:tc>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Cuentas por pagar</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Notas de pasivo</w:t>
            </w:r>
          </w:p>
        </w:tc>
        <w:tc>
          <w:tcPr>
            <w:tcW w:w="1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17:51-17:52</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R13</w:t>
            </w:r>
          </w:p>
        </w:tc>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Obligaciones financieras</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Notas de pasivo</w:t>
            </w:r>
          </w:p>
        </w:tc>
        <w:tc>
          <w:tcPr>
            <w:tcW w:w="1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18:05</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R14</w:t>
            </w:r>
          </w:p>
        </w:tc>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Beneficios a empleados</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Notas de pasivo</w:t>
            </w:r>
          </w:p>
        </w:tc>
        <w:tc>
          <w:tcPr>
            <w:tcW w:w="1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17:45</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R15</w:t>
            </w:r>
          </w:p>
        </w:tc>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Provisiones y contingencias</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Notas de pasivo</w:t>
            </w:r>
          </w:p>
        </w:tc>
        <w:tc>
          <w:tcPr>
            <w:tcW w:w="1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(selección delegada)</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R16</w:t>
            </w:r>
          </w:p>
        </w:tc>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Impuesto a las ganancias (corriente y diferido)</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Notas de pasivo</w:t>
            </w:r>
          </w:p>
        </w:tc>
        <w:tc>
          <w:tcPr>
            <w:tcW w:w="1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(selección delegada)</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R17</w:t>
            </w:r>
          </w:p>
        </w:tc>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Dividendos pagados</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Patrimonio y resultados</w:t>
            </w:r>
          </w:p>
        </w:tc>
        <w:tc>
          <w:tcPr>
            <w:tcW w:w="1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17:53</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R18</w:t>
            </w:r>
          </w:p>
        </w:tc>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Dividendos recibidos</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Patrimonio y resultados</w:t>
            </w:r>
          </w:p>
        </w:tc>
        <w:tc>
          <w:tcPr>
            <w:tcW w:w="1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17:52 (por confirmar)</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R19</w:t>
            </w:r>
          </w:p>
        </w:tc>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Ingresos de actividades ordinarias</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Patrimonio y resultados</w:t>
            </w:r>
          </w:p>
        </w:tc>
        <w:tc>
          <w:tcPr>
            <w:tcW w:w="1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(selección delegada)</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R20</w:t>
            </w:r>
          </w:p>
        </w:tc>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Informe a junta directiva</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Gobierno</w:t>
            </w:r>
          </w:p>
        </w:tc>
        <w:tc>
          <w:tcPr>
            <w:tcW w:w="1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18:04</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r>
    </w:tbl>
    <w:p>
      <w:pPr>
        <w:spacing w:after="0"/>
      </w:pPr>
    </w:p>
    <w:p>
      <w:pPr>
        <w:spacing w:before="0" w:after="120" w:line="288" w:lineRule="auto"/>
        <w:jc w:val="both"/>
      </w:pPr>
      <w:r>
        <w:rPr>
          <w:rFonts w:ascii="Ubuntu" w:hAnsi="Ubuntu" w:cs="Ubuntu"/>
          <w:sz w:val="22"/>
          <w:szCs w:val="22"/>
        </w:rPr>
        <w:t xml:space="preserve">Ola 1 corresponde al prototipo; olas 2 y 3 completan los 20 reportes. Los reportes con origen "selección delegada" fueron elegidos por CM Consulting y están sujetos a la pregunta abierta 6.</w:t>
      </w:r>
    </w:p>
    <w:p>
      <w:pPr>
        <w:pStyle w:val="Heading2"/>
        <w:spacing w:before="240" w:after="120"/>
        <w:jc w:val="left"/>
      </w:pPr>
      <w:r>
        <w:rPr>
          <w:rFonts w:ascii="Ubuntu" w:hAnsi="Ubuntu" w:cs="Ubuntu"/>
          <w:b/>
          <w:bCs/>
          <w:color w:val="365F91"/>
          <w:sz w:val="28"/>
          <w:szCs w:val="28"/>
        </w:rPr>
        <w:t xml:space="preserve">5.7 Módulos de presupuesto, activos fijos y deterioros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900"/>
        <w:gridCol w:w="1500"/>
        <w:gridCol w:w="3238"/>
        <w:gridCol w:w="900"/>
        <w:gridCol w:w="900"/>
        <w:gridCol w:w="1400"/>
      </w:tblGrid>
      <w:tr>
        <w:trPr>
          <w:tblHeader/>
        </w:trPr>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Código</w:t>
            </w:r>
          </w:p>
        </w:tc>
        <w:tc>
          <w:tcPr>
            <w:tcW w:w="15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Nombre</w:t>
            </w:r>
          </w:p>
        </w:tc>
        <w:tc>
          <w:tcPr>
            <w:tcW w:w="3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Descripción</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Reglas</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Prioridad</w:t>
            </w:r>
          </w:p>
        </w:tc>
        <w:tc>
          <w:tcPr>
            <w:tcW w:w="14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Origen</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RF-23</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Generar módulo de presupuesto</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Cuando el módulo de presupuesto está seleccionado (RF-05), el sistema carga en BW el presupuesto desde el extractor 0FI_GL_14 y genera en BPC un modelo de planeación propio para el presupuesto, separado del modelo de consolidación.</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00:05-00:19; 15:31-15:35; Sesión interna CM 16-Oct-26 (respuestas 2, 7 y 8)</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RF-24</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Generar módulo de activos fijos</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Cuando el módulo de activos fijos está seleccionado (RF-05), el sistema activa el extractor estándar de activos fijos y genera en BW los InfoProviders y las cargas de esa información, sin crear un modelo en BPC.</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RN-12</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14:13-14:15; Sesión interna CM 16-Oct-26 (respuestas 2, 7 y 8)</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RF-25</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Generar módulo de deterioros</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Cuando el módulo de deterioros está seleccionado (RF-05), el sistema activa el extractor estándar de deterioros y genera en BW los InfoProviders y las cargas de esa información, sin crear un modelo en BPC.</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RN-12</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14:16-14:18; Sesión interna CM 16-Oct-26 (respuestas 2, 7 y 8)</w:t>
            </w:r>
          </w:p>
        </w:tc>
      </w:tr>
    </w:tbl>
    <w:p>
      <w:pPr>
        <w:spacing w:after="0"/>
      </w:pPr>
    </w:p>
    <w:p>
      <w:pPr>
        <w:pStyle w:val="Heading2"/>
        <w:spacing w:before="240" w:after="120"/>
        <w:jc w:val="left"/>
      </w:pPr>
      <w:r>
        <w:rPr>
          <w:rFonts w:ascii="Ubuntu" w:hAnsi="Ubuntu" w:cs="Ubuntu"/>
          <w:b/>
          <w:bCs/>
          <w:color w:val="365F91"/>
          <w:sz w:val="28"/>
          <w:szCs w:val="28"/>
        </w:rPr>
        <w:t xml:space="preserve">5.8 Reportes de presupuesto, activos fijos y deterioros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900"/>
        <w:gridCol w:w="1500"/>
        <w:gridCol w:w="3238"/>
        <w:gridCol w:w="900"/>
        <w:gridCol w:w="900"/>
        <w:gridCol w:w="1400"/>
      </w:tblGrid>
      <w:tr>
        <w:trPr>
          <w:tblHeader/>
        </w:trPr>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Código</w:t>
            </w:r>
          </w:p>
        </w:tc>
        <w:tc>
          <w:tcPr>
            <w:tcW w:w="15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Nombre</w:t>
            </w:r>
          </w:p>
        </w:tc>
        <w:tc>
          <w:tcPr>
            <w:tcW w:w="3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Descripción</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Reglas</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Prioridad</w:t>
            </w:r>
          </w:p>
        </w:tc>
        <w:tc>
          <w:tcPr>
            <w:tcW w:w="14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Origen</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RF-27</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Entregar reportes de presupuesto</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entrega los reportes P01 a P04 de la tabla 5.8.1, cada uno como un archivo Excel con EPM add-in conectado al modelo de planeación de presupuesto en BPC.</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RN-08</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(respuesta 8, selección delegada)</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RF-28</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Capturar presupuesto</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permite al Usuario financiero ingresar y ajustar valores de presupuesto por sociedad, cuenta, centro de costo y periodo en el formulario P05, y guardarlos en el modelo de planeación de BPC.</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RN-08</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00:12-00:19; Sesión interna CM 16-Oct-26 (respuesta 8, selección delegada)</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RF-29</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Entregar reportes de activos fijos y deterioros</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entrega los reportes A01 a A03 y D01 a D02 de la tabla 5.8.1, que leen su información de BW.</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RN-12</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(respuesta 8, selección delegada)</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RF-30</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Alimentar reportes de consolidación</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información de activos fijos y deterioros cargada en BW alimenta los movimientos de los reportes R08 Cuentas por cobrar, R10 Propiedad, planta y equipo y R11 Intangibles.</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RN-12</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Media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(respuesta 8)</w:t>
            </w:r>
          </w:p>
        </w:tc>
      </w:tr>
    </w:tbl>
    <w:p>
      <w:pPr>
        <w:spacing w:after="0"/>
      </w:pPr>
    </w:p>
    <w:p>
      <w:pPr>
        <w:pStyle w:val="Heading3"/>
        <w:spacing w:before="240" w:after="120"/>
        <w:jc w:val="left"/>
      </w:pPr>
      <w:r>
        <w:rPr>
          <w:rFonts w:ascii="Ubuntu" w:hAnsi="Ubuntu" w:cs="Ubuntu"/>
          <w:b/>
          <w:bCs/>
          <w:color w:val="365F91"/>
          <w:sz w:val="24"/>
          <w:szCs w:val="24"/>
        </w:rPr>
        <w:t xml:space="preserve">5.8.1 Catálogo de reportes de presupuesto, activos fijos y deterioros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4638"/>
        <w:gridCol w:w="1700"/>
        <w:gridCol w:w="17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ID</w:t>
            </w:r>
          </w:p>
        </w:tc>
        <w:tc>
          <w:tcPr>
            <w:tcW w:w="46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Reporte</w:t>
            </w:r>
          </w:p>
        </w:tc>
        <w:tc>
          <w:tcPr>
            <w:tcW w:w="17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Módulo</w:t>
            </w:r>
          </w:p>
        </w:tc>
        <w:tc>
          <w:tcPr>
            <w:tcW w:w="17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Fuente de datos</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P01</w:t>
            </w:r>
          </w:p>
        </w:tc>
        <w:tc>
          <w:tcPr>
            <w:tcW w:w="4638" w:type="dxa"/>
            <w:tcMar>
              <w:top w:w="80" w:type="dxa"/>
              <w:left w:w="120" w:type="dxa"/>
              <w:bottom w:w="80" w:type="dxa"/>
              <w:right w:w="120" w:type="dxa"/>
            </w:tcMar>
            <w:vAlign w:val="center"/>
          </w:tcPr>
          <w:p>
            <w:pPr>
              <w:spacing w:after="0"/>
              <w:jc w:val="both"/>
            </w:pPr>
            <w:r>
              <w:rPr>
                <w:rFonts w:ascii="Ubuntu" w:hAnsi="Ubuntu" w:cs="Ubuntu"/>
                <w:sz w:val="21"/>
                <w:szCs w:val="21"/>
              </w:rPr>
              <w:t xml:space="preserve">Presupuesto frente a ejecución (estado de resultados)</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Presupuesto</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BPC (presupuesto)</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P02</w:t>
            </w:r>
          </w:p>
        </w:tc>
        <w:tc>
          <w:tcPr>
            <w:tcW w:w="4638" w:type="dxa"/>
            <w:tcMar>
              <w:top w:w="80" w:type="dxa"/>
              <w:left w:w="120" w:type="dxa"/>
              <w:bottom w:w="80" w:type="dxa"/>
              <w:right w:w="120" w:type="dxa"/>
            </w:tcMar>
            <w:vAlign w:val="center"/>
          </w:tcPr>
          <w:p>
            <w:pPr>
              <w:spacing w:after="0"/>
              <w:jc w:val="both"/>
            </w:pPr>
            <w:r>
              <w:rPr>
                <w:rFonts w:ascii="Ubuntu" w:hAnsi="Ubuntu" w:cs="Ubuntu"/>
                <w:sz w:val="21"/>
                <w:szCs w:val="21"/>
              </w:rPr>
              <w:t xml:space="preserve">Presupuesto de gastos por centro de costo</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Presupuesto</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BPC (presupuesto)</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P03</w:t>
            </w:r>
          </w:p>
        </w:tc>
        <w:tc>
          <w:tcPr>
            <w:tcW w:w="4638" w:type="dxa"/>
            <w:tcMar>
              <w:top w:w="80" w:type="dxa"/>
              <w:left w:w="120" w:type="dxa"/>
              <w:bottom w:w="80" w:type="dxa"/>
              <w:right w:w="120" w:type="dxa"/>
            </w:tcMar>
            <w:vAlign w:val="center"/>
          </w:tcPr>
          <w:p>
            <w:pPr>
              <w:spacing w:after="0"/>
              <w:jc w:val="both"/>
            </w:pPr>
            <w:r>
              <w:rPr>
                <w:rFonts w:ascii="Ubuntu" w:hAnsi="Ubuntu" w:cs="Ubuntu"/>
                <w:sz w:val="21"/>
                <w:szCs w:val="21"/>
              </w:rPr>
              <w:t xml:space="preserve">Presupuesto de ingresos por centro de beneficio</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Presupuesto</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BPC (presupuesto)</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P04</w:t>
            </w:r>
          </w:p>
        </w:tc>
        <w:tc>
          <w:tcPr>
            <w:tcW w:w="4638" w:type="dxa"/>
            <w:tcMar>
              <w:top w:w="80" w:type="dxa"/>
              <w:left w:w="120" w:type="dxa"/>
              <w:bottom w:w="80" w:type="dxa"/>
              <w:right w:w="120" w:type="dxa"/>
            </w:tcMar>
            <w:vAlign w:val="center"/>
          </w:tcPr>
          <w:p>
            <w:pPr>
              <w:spacing w:after="0"/>
              <w:jc w:val="both"/>
            </w:pPr>
            <w:r>
              <w:rPr>
                <w:rFonts w:ascii="Ubuntu" w:hAnsi="Ubuntu" w:cs="Ubuntu"/>
                <w:sz w:val="21"/>
                <w:szCs w:val="21"/>
              </w:rPr>
              <w:t xml:space="preserve">Ejecución acumulada y proyección de cierre del año</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Presupuesto</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BPC (presupuesto)</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P05</w:t>
            </w:r>
          </w:p>
        </w:tc>
        <w:tc>
          <w:tcPr>
            <w:tcW w:w="4638" w:type="dxa"/>
            <w:tcMar>
              <w:top w:w="80" w:type="dxa"/>
              <w:left w:w="120" w:type="dxa"/>
              <w:bottom w:w="80" w:type="dxa"/>
              <w:right w:w="120" w:type="dxa"/>
            </w:tcMar>
            <w:vAlign w:val="center"/>
          </w:tcPr>
          <w:p>
            <w:pPr>
              <w:spacing w:after="0"/>
              <w:jc w:val="both"/>
            </w:pPr>
            <w:r>
              <w:rPr>
                <w:rFonts w:ascii="Ubuntu" w:hAnsi="Ubuntu" w:cs="Ubuntu"/>
                <w:sz w:val="21"/>
                <w:szCs w:val="21"/>
              </w:rPr>
              <w:t xml:space="preserve">Formulario de captura y ajuste de presupuesto</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Presupuesto</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BPC (presupuesto)</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A01</w:t>
            </w:r>
          </w:p>
        </w:tc>
        <w:tc>
          <w:tcPr>
            <w:tcW w:w="4638" w:type="dxa"/>
            <w:tcMar>
              <w:top w:w="80" w:type="dxa"/>
              <w:left w:w="120" w:type="dxa"/>
              <w:bottom w:w="80" w:type="dxa"/>
              <w:right w:w="120" w:type="dxa"/>
            </w:tcMar>
            <w:vAlign w:val="center"/>
          </w:tcPr>
          <w:p>
            <w:pPr>
              <w:spacing w:after="0"/>
              <w:jc w:val="both"/>
            </w:pPr>
            <w:r>
              <w:rPr>
                <w:rFonts w:ascii="Ubuntu" w:hAnsi="Ubuntu" w:cs="Ubuntu"/>
                <w:sz w:val="21"/>
                <w:szCs w:val="21"/>
              </w:rPr>
              <w:t xml:space="preserve">Movimiento de activos fijos por clase (saldo inicial, adiciones, retiros, depreciación, saldo final)</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Activos fijos</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BW</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A02</w:t>
            </w:r>
          </w:p>
        </w:tc>
        <w:tc>
          <w:tcPr>
            <w:tcW w:w="4638" w:type="dxa"/>
            <w:tcMar>
              <w:top w:w="80" w:type="dxa"/>
              <w:left w:w="120" w:type="dxa"/>
              <w:bottom w:w="80" w:type="dxa"/>
              <w:right w:w="120" w:type="dxa"/>
            </w:tcMar>
            <w:vAlign w:val="center"/>
          </w:tcPr>
          <w:p>
            <w:pPr>
              <w:spacing w:after="0"/>
              <w:jc w:val="both"/>
            </w:pPr>
            <w:r>
              <w:rPr>
                <w:rFonts w:ascii="Ubuntu" w:hAnsi="Ubuntu" w:cs="Ubuntu"/>
                <w:sz w:val="21"/>
                <w:szCs w:val="21"/>
              </w:rPr>
              <w:t xml:space="preserve">Depreciación del periodo por sociedad y centro de costo</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Activos fijos</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BW</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A03</w:t>
            </w:r>
          </w:p>
        </w:tc>
        <w:tc>
          <w:tcPr>
            <w:tcW w:w="4638" w:type="dxa"/>
            <w:tcMar>
              <w:top w:w="80" w:type="dxa"/>
              <w:left w:w="120" w:type="dxa"/>
              <w:bottom w:w="80" w:type="dxa"/>
              <w:right w:w="120" w:type="dxa"/>
            </w:tcMar>
            <w:vAlign w:val="center"/>
          </w:tcPr>
          <w:p>
            <w:pPr>
              <w:spacing w:after="0"/>
              <w:jc w:val="both"/>
            </w:pPr>
            <w:r>
              <w:rPr>
                <w:rFonts w:ascii="Ubuntu" w:hAnsi="Ubuntu" w:cs="Ubuntu"/>
                <w:sz w:val="21"/>
                <w:szCs w:val="21"/>
              </w:rPr>
              <w:t xml:space="preserve">Listado de activos fijos por sociedad</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Activos fijos</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BW</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D01</w:t>
            </w:r>
          </w:p>
        </w:tc>
        <w:tc>
          <w:tcPr>
            <w:tcW w:w="4638" w:type="dxa"/>
            <w:tcMar>
              <w:top w:w="80" w:type="dxa"/>
              <w:left w:w="120" w:type="dxa"/>
              <w:bottom w:w="80" w:type="dxa"/>
              <w:right w:w="120" w:type="dxa"/>
            </w:tcMar>
            <w:vAlign w:val="center"/>
          </w:tcPr>
          <w:p>
            <w:pPr>
              <w:spacing w:after="0"/>
              <w:jc w:val="both"/>
            </w:pPr>
            <w:r>
              <w:rPr>
                <w:rFonts w:ascii="Ubuntu" w:hAnsi="Ubuntu" w:cs="Ubuntu"/>
                <w:sz w:val="21"/>
                <w:szCs w:val="21"/>
              </w:rPr>
              <w:t xml:space="preserve">Movimiento del deterioro (saldo inicial, cargos, recuperaciones, castigos, saldo final)</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Deterioros</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BW</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D02</w:t>
            </w:r>
          </w:p>
        </w:tc>
        <w:tc>
          <w:tcPr>
            <w:tcW w:w="4638" w:type="dxa"/>
            <w:tcMar>
              <w:top w:w="80" w:type="dxa"/>
              <w:left w:w="120" w:type="dxa"/>
              <w:bottom w:w="80" w:type="dxa"/>
              <w:right w:w="120" w:type="dxa"/>
            </w:tcMar>
            <w:vAlign w:val="center"/>
          </w:tcPr>
          <w:p>
            <w:pPr>
              <w:spacing w:after="0"/>
              <w:jc w:val="both"/>
            </w:pPr>
            <w:r>
              <w:rPr>
                <w:rFonts w:ascii="Ubuntu" w:hAnsi="Ubuntu" w:cs="Ubuntu"/>
                <w:sz w:val="21"/>
                <w:szCs w:val="21"/>
              </w:rPr>
              <w:t xml:space="preserve">Deterioro por cuenta y sociedad</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Deterioros</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BW</w:t>
            </w:r>
          </w:p>
        </w:tc>
      </w:tr>
    </w:tbl>
    <w:p>
      <w:pPr>
        <w:spacing w:after="0"/>
      </w:pPr>
    </w:p>
    <w:p>
      <w:pPr>
        <w:spacing w:before="0" w:after="120" w:line="288" w:lineRule="auto"/>
        <w:jc w:val="both"/>
      </w:pPr>
      <w:r>
        <w:rPr>
          <w:rFonts w:ascii="Ubuntu" w:hAnsi="Ubuntu" w:cs="Ubuntu"/>
          <w:sz w:val="22"/>
          <w:szCs w:val="22"/>
        </w:rPr>
        <w:t xml:space="preserve">Reportes propuestos por CM Consulting por selección delegada (Sesión interna CM 16-Oct-26, respuesta 8), sujetos a la pregunta abierta 1.</w:t>
      </w:r>
    </w:p>
    <w:p>
      <w:pPr>
        <w:pStyle w:val="Heading2"/>
        <w:spacing w:before="240" w:after="120"/>
        <w:jc w:val="left"/>
      </w:pPr>
      <w:r>
        <w:rPr>
          <w:rFonts w:ascii="Ubuntu" w:hAnsi="Ubuntu" w:cs="Ubuntu"/>
          <w:b/>
          <w:bCs/>
          <w:color w:val="365F91"/>
          <w:sz w:val="28"/>
          <w:szCs w:val="28"/>
        </w:rPr>
        <w:t xml:space="preserve">5.9 Reglas de consolidación y control del cierre</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900"/>
        <w:gridCol w:w="1500"/>
        <w:gridCol w:w="3238"/>
        <w:gridCol w:w="900"/>
        <w:gridCol w:w="900"/>
        <w:gridCol w:w="1400"/>
      </w:tblGrid>
      <w:tr>
        <w:trPr>
          <w:tblHeader/>
        </w:trPr>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Código</w:t>
            </w:r>
          </w:p>
        </w:tc>
        <w:tc>
          <w:tcPr>
            <w:tcW w:w="15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Nombre</w:t>
            </w:r>
          </w:p>
        </w:tc>
        <w:tc>
          <w:tcPr>
            <w:tcW w:w="3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Descripción</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Reglas</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Prioridad</w:t>
            </w:r>
          </w:p>
        </w:tc>
        <w:tc>
          <w:tcPr>
            <w:tcW w:w="14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Origen</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RF-31</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Generar el modelo de propiedad</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genera en BPC el modelo de propiedad y la plantilla C02, en la que el Usuario financiero registra por periodo, para cada sociedad y grupo, el porcentaje de control, el de consolidación, el de propiedad y el método de consolidación. El Consultor implementador registra la estructura inicial en el configurador.</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RN-13, RN-14</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(ampliación v1.1); Caso de referencia BW 7.5/BPC 10.1 (participaciones y métodos)</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RF-32</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Eliminar inversión y calcular interés minoritario</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despliega en BPC las reglas que, para las sociedades con método de integración global, eliminan la inversión de la matriz contra el patrimonio de la subsidiaria y calculan el interés minoritario con los porcentajes del periodo registrados en RF-31.</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RN-13, RN-14</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(ampliación v1.1); Caso de referencia BW 7.5/BPC 10.1 (eliminación de inversiones y capital)</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RF-33</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Registrar diferencia en conversión</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Al convertir los saldos (RF-26), el sistema calcula la diferencia que resulta de aplicar tasas distintas a balance, resultados y patrimonio, y la registra en la cuenta de patrimonio definida para ello.</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RN-11, RN-18</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(ampliación v1.1); Caso de referencia BW 7.5/BPC 10.1 (diferencial cambiario)</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RF-34</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Conciliar saldos intercompañía</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entrega el reporte C01, que compara por pareja de sociedades y cuenta intercompañía los saldos que registra cada parte, muestra la diferencia y marca las parejas que superan el umbral definido, antes de ejecutar la eliminación (RF-19).</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RN-07</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(ampliación v1.1); Caso de referencia BW 7.5/BPC 10.1 (modelo de conciliación)</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RF-35</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Registrar asientos de ajuste</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configura en BPC los asientos de ajuste de consolidación, en los que el Usuario financiero registra por grupo, periodo y moneda líneas con sociedad, cuenta, intercompañía, débito, crédito y observación.</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RN-15</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(ampliación v1.1); Caso de referencia BW 7.5/BPC 10.1 (asientos de ajuste)</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RF-36</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Validar cuadre antes de importar</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paquetes de importación que genera el sistema (RF-17) y la carga de sociedades no SAP (RF-15) validan cada sociedad y periodo antes de pasar los datos a BPC; las sociedades que no cumplen no se importan y aparecen en el reporte C03 con la diferencia encontrada.</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RN-16</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(ampliación v1.1); Caso de referencia BW 7.5/BPC 10.1 (descuadres en saldos individuales)</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RF-37</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Bloquear saldos por sociedad</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configura en BPC el bloqueo de datos por sociedad y periodo, de modo que el Usuario financiero bloquea o desbloquea una sociedad sin afectar a las demás sociedades del grupo.</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RN-17</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Media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(ampliación v1.1); Caso de referencia BW 7.5/BPC 10.1 (bloqueo solo por grupo)</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RF-38</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Generar el flujo de cierre</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sistema genera en BPC el flujo del cierre mensual con sus pasos en orden (carga, validación de cuadre, conciliación, conversión, consolidación y reportes) y el reporte C04, que muestra por sociedad y periodo qué pasos están completos, pendientes o con error.</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Media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(ampliación v1.1); Caso de referencia BW 7.5/BPC 10.1 (sin control del proceso de consolidación)</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RF-39</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Gestionar versiones de presupuesto</w:t>
            </w:r>
          </w:p>
        </w:tc>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Cuando el módulo de presupuesto está seleccionado (RF-05), el Consultor implementador define las versiones del modelo de planeación (presupuesto anual y proyecciones de cierre como 3+9, 6+6 y 9+3), y los reportes P01 a P05 permiten elegir la versión.</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Media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(ampliación v1.1); Caso de referencia BW 7.5/BPC 10.1 (escenarios de presupuesto y proyección)</w:t>
            </w:r>
          </w:p>
        </w:tc>
      </w:tr>
    </w:tbl>
    <w:p>
      <w:pPr>
        <w:spacing w:after="0"/>
      </w:pPr>
    </w:p>
    <w:p>
      <w:pPr>
        <w:pStyle w:val="Heading3"/>
        <w:spacing w:before="240" w:after="120"/>
        <w:jc w:val="left"/>
      </w:pPr>
      <w:r>
        <w:rPr>
          <w:rFonts w:ascii="Ubuntu" w:hAnsi="Ubuntu" w:cs="Ubuntu"/>
          <w:b/>
          <w:bCs/>
          <w:color w:val="365F91"/>
          <w:sz w:val="24"/>
          <w:szCs w:val="24"/>
        </w:rPr>
        <w:t xml:space="preserve">5.9.1 Reportes y plantillas de control de consolidación</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3838"/>
        <w:gridCol w:w="1600"/>
        <w:gridCol w:w="1700"/>
        <w:gridCol w:w="9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ID</w:t>
            </w:r>
          </w:p>
        </w:tc>
        <w:tc>
          <w:tcPr>
            <w:tcW w:w="38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Reporte o plantilla</w:t>
            </w:r>
          </w:p>
        </w:tc>
        <w:tc>
          <w:tcPr>
            <w:tcW w:w="16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c>
          <w:tcPr>
            <w:tcW w:w="17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Fuente de datos</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RF</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C01</w:t>
            </w:r>
          </w:p>
        </w:tc>
        <w:tc>
          <w:tcPr>
            <w:tcW w:w="3838" w:type="dxa"/>
            <w:tcMar>
              <w:top w:w="80" w:type="dxa"/>
              <w:left w:w="120" w:type="dxa"/>
              <w:bottom w:w="80" w:type="dxa"/>
              <w:right w:w="120" w:type="dxa"/>
            </w:tcMar>
            <w:vAlign w:val="center"/>
          </w:tcPr>
          <w:p>
            <w:pPr>
              <w:spacing w:after="0"/>
              <w:jc w:val="both"/>
            </w:pPr>
            <w:r>
              <w:rPr>
                <w:rFonts w:ascii="Ubuntu" w:hAnsi="Ubuntu" w:cs="Ubuntu"/>
                <w:sz w:val="21"/>
                <w:szCs w:val="21"/>
              </w:rPr>
              <w:t xml:space="preserve">Conciliación intercompañía por pareja de sociedades</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Reporte</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BPC (consolidación)</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RF-34</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C02</w:t>
            </w:r>
          </w:p>
        </w:tc>
        <w:tc>
          <w:tcPr>
            <w:tcW w:w="3838" w:type="dxa"/>
            <w:tcMar>
              <w:top w:w="80" w:type="dxa"/>
              <w:left w:w="120" w:type="dxa"/>
              <w:bottom w:w="80" w:type="dxa"/>
              <w:right w:w="120" w:type="dxa"/>
            </w:tcMar>
            <w:vAlign w:val="center"/>
          </w:tcPr>
          <w:p>
            <w:pPr>
              <w:spacing w:after="0"/>
              <w:jc w:val="both"/>
            </w:pPr>
            <w:r>
              <w:rPr>
                <w:rFonts w:ascii="Ubuntu" w:hAnsi="Ubuntu" w:cs="Ubuntu"/>
                <w:sz w:val="21"/>
                <w:szCs w:val="21"/>
              </w:rPr>
              <w:t xml:space="preserve">Participaciones y métodos de consolidación por periodo</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Plantilla de captura</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BPC (propiedad)</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RF-31</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C03</w:t>
            </w:r>
          </w:p>
        </w:tc>
        <w:tc>
          <w:tcPr>
            <w:tcW w:w="3838" w:type="dxa"/>
            <w:tcMar>
              <w:top w:w="80" w:type="dxa"/>
              <w:left w:w="120" w:type="dxa"/>
              <w:bottom w:w="80" w:type="dxa"/>
              <w:right w:w="120" w:type="dxa"/>
            </w:tcMar>
            <w:vAlign w:val="center"/>
          </w:tcPr>
          <w:p>
            <w:pPr>
              <w:spacing w:after="0"/>
              <w:jc w:val="both"/>
            </w:pPr>
            <w:r>
              <w:rPr>
                <w:rFonts w:ascii="Ubuntu" w:hAnsi="Ubuntu" w:cs="Ubuntu"/>
                <w:sz w:val="21"/>
                <w:szCs w:val="21"/>
              </w:rPr>
              <w:t xml:space="preserve">Validación de cuadre por sociedad</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Reporte</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BPC (consolidación)</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RF-36</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C04</w:t>
            </w:r>
          </w:p>
        </w:tc>
        <w:tc>
          <w:tcPr>
            <w:tcW w:w="3838" w:type="dxa"/>
            <w:tcMar>
              <w:top w:w="80" w:type="dxa"/>
              <w:left w:w="120" w:type="dxa"/>
              <w:bottom w:w="80" w:type="dxa"/>
              <w:right w:w="120" w:type="dxa"/>
            </w:tcMar>
            <w:vAlign w:val="center"/>
          </w:tcPr>
          <w:p>
            <w:pPr>
              <w:spacing w:after="0"/>
              <w:jc w:val="both"/>
            </w:pPr>
            <w:r>
              <w:rPr>
                <w:rFonts w:ascii="Ubuntu" w:hAnsi="Ubuntu" w:cs="Ubuntu"/>
                <w:sz w:val="21"/>
                <w:szCs w:val="21"/>
              </w:rPr>
              <w:t xml:space="preserve">Estado del cierre por sociedad y paso</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Reporte</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BPC (consolidación)</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RF-38</w:t>
            </w:r>
          </w:p>
        </w:tc>
      </w:tr>
    </w:tbl>
    <w:p>
      <w:pPr>
        <w:spacing w:after="0"/>
      </w:pPr>
    </w:p>
    <w:p>
      <w:pPr>
        <w:spacing w:before="0" w:after="120" w:line="288" w:lineRule="auto"/>
        <w:jc w:val="both"/>
      </w:pPr>
      <w:r>
        <w:rPr>
          <w:rFonts w:ascii="Ubuntu" w:hAnsi="Ubuntu" w:cs="Ubuntu"/>
          <w:sz w:val="22"/>
          <w:szCs w:val="22"/>
        </w:rPr>
        <w:t xml:space="preserve">Agregados en la versión 1.1 (Sesión interna CM 16-Oct-26, ampliación v1.1).</w:t>
      </w:r>
    </w:p>
    <w:p>
      <w:pPr>
        <w:pStyle w:val="Heading1"/>
        <w:spacing w:before="360" w:after="160"/>
        <w:jc w:val="left"/>
      </w:pPr>
      <w:r>
        <w:rPr>
          <w:rFonts w:ascii="Ubuntu" w:hAnsi="Ubuntu" w:cs="Ubuntu"/>
          <w:b/>
          <w:bCs/>
          <w:color w:val="365F91"/>
          <w:sz w:val="32"/>
          <w:szCs w:val="32"/>
        </w:rPr>
        <w:t xml:space="preserve">6. Requerimientos no funcionales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1300"/>
        <w:gridCol w:w="1000"/>
        <w:gridCol w:w="2900"/>
        <w:gridCol w:w="2238"/>
        <w:gridCol w:w="1400"/>
      </w:tblGrid>
      <w:tr>
        <w:trPr>
          <w:tblHeader/>
        </w:trPr>
        <w:tc>
          <w:tcPr>
            <w:tcW w:w="13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Código</w:t>
            </w:r>
          </w:p>
        </w:tc>
        <w:tc>
          <w:tcPr>
            <w:tcW w:w="10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Categoría</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Requerimiento</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Métrica verificable</w:t>
            </w:r>
          </w:p>
        </w:tc>
        <w:tc>
          <w:tcPr>
            <w:tcW w:w="14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Origen</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RNF-Comp-01</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Comp</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La versión 1 soporta la arquitectura A (BW 7.5 o BW/4HANA con BPC modelo estándar). La arquitectura B (ERP, BW y BPC integrados, con BPC modelo embebido) queda para una versión posterior.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Todos los RF se ejecutan completos en un ambiente de prueba de la arquitectura A (1 de 1); la arquitectura B se detecta y se rechaza con mensaje.</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12:47-12:57; Decisión CM 16-Oct-26 (arquitectura B fuera de la versión 1)</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RNF-Comp-02</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Comp</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reportes funcionan con el EPM add-in de Excel. Analysis for Office no se soporta en esta versión.</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34 de 34 reportes y plantillas (tablas 5.6.1, 5.8.1 y 5.9.1) abren y actualizan datos con EPM add-in.</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RNF-Comp-03</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Comp</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Para el prototipo, el configurador web se ejecuta en el equipo del Consultor implementador, sin servidores adicionales. Dónde se aloja el producto se define en la pregunta abierta 4.</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Prototipo instalado en 1 equipo con 0 servidores adicionales.</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20:56-21:27</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RNF-Comp-04</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Comp</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El acelerador admite varias versiones de BW y BPC dentro de cada arquitectura; agregar una versión nueva solo agrega una variante de los generadores.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Agregar una versión requiere 0 cambios en la configuración de los clientes y 0 cambios en las variantes existentes.</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(respuesta 5)</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RNF-Comp-05</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Comp</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La matriz de soporte de la arquitectura A incluye, además de BW 7.5, la variante BW/4HANA con BPC 2021 modelo estándar, en la que los InfoProviders se generan como aDSO.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Todos los RF de la arquitectura A se ejecutan completos en un ambiente BW/4HANA con BPC 2021 modelo estándar; 0 InfoCubos generados en esa variante.</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(ampliación v1.1); Caso de referencia BW 7.5/BPC 10.1 (fin de mantenimiento de BW 7.5)</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RNF-Rend-01</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Rend</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La carga delta deja disponibles en los reportes las transacciones registradas en SAP el día anterior.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ejecución cada 24 horas; antigüedad de los datos ≤ 24 horas al abrir un reporte. Duración máxima de la ventana: pregunta abierta 7.</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09:51-09:57</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RNF-Seg-01</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Seg</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La solución se verifica con OWASP ASVS nivel 2, según la clasificación de datos de la sección 9.</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Verificación ASVS nivel 2 sin hallazgos altos abiertos antes de la entrega.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Playbook CM §7.1; sección 9</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RNF-Seg-02</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Seg</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Las credenciales de conexión a SAP no se guardan en texto plano en el equipo del Consultor implementador.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0 credenciales legibles en archivos de configuración o registros.</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Playbook CM §7.1; sección 9</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RNF-Seg-03</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Seg</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El usuario técnico de conexión a SAP opera con los permisos mínimos que requiere cada paso.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Rol técnico documentado; 0 permisos de administración total (SAP_ALL).</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Playbook CM §7.1</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RNF-Aud-01</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Aud</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Cada ejecución del acelerador queda registrada: usuario, fecha y hora, sistema destino, paso, objetos creados o modificados y resultado.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100 % de las ejecuciones con registro; retención mínima de 12 meses.</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Playbook CM §7.1 (observabilidad)</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RNF-Aud-02</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Aud</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cambios en participaciones y métodos (RF-31), asientos de ajuste (RF-35) y bloqueos (RF-37) quedan registrados con usuario, fecha y hora, valor anterior y valor nuevo.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100 % de los cambios con registro consultable en BPC; retención mínima de 12 meses.</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(ampliación v1.1); Caso de referencia BW 7.5/BPC 10.1 (sin registro de modificaciones)</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RNF-Usa-01</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Usa</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El configurador web cumple accesibilidad WCAG 2.1 nivel AA.</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0 incumplimientos de nivel A y AA en una revisión automática de las pantallas.</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Playbook CM §7.1; Sesión interna CM 16-Oct-26 (respuesta 3)</w:t>
            </w:r>
          </w:p>
        </w:tc>
      </w:tr>
    </w:tbl>
    <w:p>
      <w:pPr>
        <w:spacing w:after="0"/>
      </w:pPr>
    </w:p>
    <w:p>
      <w:pPr>
        <w:pStyle w:val="Heading1"/>
        <w:spacing w:before="360" w:after="160"/>
        <w:jc w:val="left"/>
      </w:pPr>
      <w:r>
        <w:rPr>
          <w:rFonts w:ascii="Ubuntu" w:hAnsi="Ubuntu" w:cs="Ubuntu"/>
          <w:b/>
          <w:bCs/>
          <w:color w:val="365F91"/>
          <w:sz w:val="32"/>
          <w:szCs w:val="32"/>
        </w:rPr>
        <w:t xml:space="preserve">7. Reglas de negocio</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900"/>
        <w:gridCol w:w="4838"/>
        <w:gridCol w:w="1500"/>
        <w:gridCol w:w="1600"/>
      </w:tblGrid>
      <w:tr>
        <w:trPr>
          <w:tblHeader/>
        </w:trPr>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Código</w:t>
            </w:r>
          </w:p>
        </w:tc>
        <w:tc>
          <w:tcPr>
            <w:tcW w:w="48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Regla</w:t>
            </w:r>
          </w:p>
        </w:tc>
        <w:tc>
          <w:tcPr>
            <w:tcW w:w="15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RF relacionados</w:t>
            </w:r>
          </w:p>
        </w:tc>
        <w:tc>
          <w:tcPr>
            <w:tcW w:w="16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Origen</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RN-01</w:t>
            </w:r>
          </w:p>
        </w:tc>
        <w:tc>
          <w:tcPr>
            <w:tcW w:w="48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validación de conexión ERP–BW aplica cuando ERP y BW están en sistemas separados.</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RF-02</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G6 00:13-00:43</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RN-02</w:t>
            </w:r>
          </w:p>
        </w:tc>
        <w:tc>
          <w:tcPr>
            <w:tcW w:w="48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scripts de cálculo difieren entre BPC modelo estándar y BPC modelo embebido; cada arquitectura usa su propia variante.</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RF-04, RF-18</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10:49-10:56</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RN-03</w:t>
            </w:r>
          </w:p>
        </w:tc>
        <w:tc>
          <w:tcPr>
            <w:tcW w:w="4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 el cliente ya tiene bodega en BW, no se recrea: se parte de la existente.</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RF-03, RF-08</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13:40-13:51</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RN-04</w:t>
            </w:r>
          </w:p>
        </w:tc>
        <w:tc>
          <w:tcPr>
            <w:tcW w:w="4838" w:type="dxa"/>
            <w:tcMar>
              <w:top w:w="80" w:type="dxa"/>
              <w:left w:w="120" w:type="dxa"/>
              <w:bottom w:w="80" w:type="dxa"/>
              <w:right w:w="120" w:type="dxa"/>
            </w:tcMar>
            <w:vAlign w:val="center"/>
          </w:tcPr>
          <w:p>
            <w:pPr>
              <w:spacing w:after="0"/>
              <w:jc w:val="both"/>
            </w:pPr>
            <w:r>
              <w:rPr>
                <w:rFonts w:ascii="Ubuntu" w:hAnsi="Ubuntu" w:cs="Ubuntu"/>
                <w:sz w:val="21"/>
                <w:szCs w:val="21"/>
              </w:rPr>
              <w:t xml:space="preserve">Después de la carga full inicial, las cargas siguientes son delta y se ejecutan cada noche.</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RF-10</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09:40-09:57</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RN-05</w:t>
            </w:r>
          </w:p>
        </w:tc>
        <w:tc>
          <w:tcPr>
            <w:tcW w:w="4838" w:type="dxa"/>
            <w:tcMar>
              <w:top w:w="80" w:type="dxa"/>
              <w:left w:w="120" w:type="dxa"/>
              <w:bottom w:w="80" w:type="dxa"/>
              <w:right w:w="120" w:type="dxa"/>
            </w:tcMar>
            <w:vAlign w:val="center"/>
          </w:tcPr>
          <w:p>
            <w:pPr>
              <w:spacing w:after="0"/>
              <w:jc w:val="both"/>
            </w:pPr>
            <w:r>
              <w:rPr>
                <w:rFonts w:ascii="Ubuntu" w:hAnsi="Ubuntu" w:cs="Ubuntu"/>
                <w:sz w:val="21"/>
                <w:szCs w:val="21"/>
              </w:rPr>
              <w:t xml:space="preserve">Cada sociedad puede tener un plan de cuentas distinto.</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RF-11</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04:50-04:57</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RN-06</w:t>
            </w:r>
          </w:p>
        </w:tc>
        <w:tc>
          <w:tcPr>
            <w:tcW w:w="48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consolidación se presenta en dos monedas: la moneda local que maneja SAP y dólares.</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RF-13, RF-19, RF-21, RF-26</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05:10-05:20; Sesión interna CM 16-Oct-26 (respuesta 6)</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RN-07</w:t>
            </w:r>
          </w:p>
        </w:tc>
        <w:tc>
          <w:tcPr>
            <w:tcW w:w="4838" w:type="dxa"/>
            <w:tcMar>
              <w:top w:w="80" w:type="dxa"/>
              <w:left w:w="120" w:type="dxa"/>
              <w:bottom w:w="80" w:type="dxa"/>
              <w:right w:w="120" w:type="dxa"/>
            </w:tcMar>
            <w:vAlign w:val="center"/>
          </w:tcPr>
          <w:p>
            <w:pPr>
              <w:spacing w:after="0"/>
              <w:jc w:val="both"/>
            </w:pPr>
            <w:r>
              <w:rPr>
                <w:rFonts w:ascii="Ubuntu" w:hAnsi="Ubuntu" w:cs="Ubuntu"/>
                <w:sz w:val="21"/>
                <w:szCs w:val="21"/>
              </w:rPr>
              <w:t xml:space="preserve">Solo las sociedades del grupo participan como entidades de la consolidación; clientes y proveedores no.</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RF-06, RF-19, RF-34</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03:55-04:00</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RN-08</w:t>
            </w:r>
          </w:p>
        </w:tc>
        <w:tc>
          <w:tcPr>
            <w:tcW w:w="48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el modelo estándar, los reportes EPM de consolidación y de presupuesto se conectan a su modelo BPC, no directamente a BW.</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RF-20, RF-27, RF-28</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16:38-16:47</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RN-09</w:t>
            </w:r>
          </w:p>
        </w:tc>
        <w:tc>
          <w:tcPr>
            <w:tcW w:w="48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 reporte puede presentar una sociedad sola o la sociedad con todas sus filiales.</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RF-21</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18:44-19:01</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RN-10</w:t>
            </w:r>
          </w:p>
        </w:tc>
        <w:tc>
          <w:tcPr>
            <w:tcW w:w="48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valor de un rubro es la suma de las cuentas mapeadas a ese rubro.</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RF-07, RF-22</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20:02-20:44</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RN-11</w:t>
            </w:r>
          </w:p>
        </w:tc>
        <w:tc>
          <w:tcPr>
            <w:tcW w:w="48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conversión usa tasa de cierre para cuentas de balance, tasa promedio para resultados y tasa histórica para patrimonio.</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RF-26, RF-33</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NIC 21 (por confirmar en la pregunta abierta 3)</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RN-12</w:t>
            </w:r>
          </w:p>
        </w:tc>
        <w:tc>
          <w:tcPr>
            <w:tcW w:w="4838" w:type="dxa"/>
            <w:tcMar>
              <w:top w:w="80" w:type="dxa"/>
              <w:left w:w="120" w:type="dxa"/>
              <w:bottom w:w="80" w:type="dxa"/>
              <w:right w:w="120" w:type="dxa"/>
            </w:tcMar>
            <w:vAlign w:val="center"/>
          </w:tcPr>
          <w:p>
            <w:pPr>
              <w:spacing w:after="0"/>
              <w:jc w:val="both"/>
            </w:pPr>
            <w:r>
              <w:rPr>
                <w:rFonts w:ascii="Ubuntu" w:hAnsi="Ubuntu" w:cs="Ubuntu"/>
                <w:sz w:val="21"/>
                <w:szCs w:val="21"/>
              </w:rPr>
              <w:t xml:space="preserve">Activos fijos y deterioros se quedan en BW: no tienen modelo en BPC y sus reportes leen de BW.</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RF-24, RF-25, RF-29, RF-30</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(respuesta 8)</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RN-13</w:t>
            </w:r>
          </w:p>
        </w:tc>
        <w:tc>
          <w:tcPr>
            <w:tcW w:w="4838" w:type="dxa"/>
            <w:tcMar>
              <w:top w:w="80" w:type="dxa"/>
              <w:left w:w="120" w:type="dxa"/>
              <w:bottom w:w="80" w:type="dxa"/>
              <w:right w:w="120" w:type="dxa"/>
            </w:tcMar>
            <w:vAlign w:val="center"/>
          </w:tcPr>
          <w:p>
            <w:pPr>
              <w:spacing w:after="0"/>
              <w:jc w:val="both"/>
            </w:pPr>
            <w:r>
              <w:rPr>
                <w:rFonts w:ascii="Ubuntu" w:hAnsi="Ubuntu" w:cs="Ubuntu"/>
                <w:sz w:val="21"/>
                <w:szCs w:val="21"/>
              </w:rPr>
              <w:t xml:space="preserve">Cada sociedad tiene en cada periodo un método de consolidación: matriz, integración global, participación (coligada) o fuera del perímetro. La integración global elimina inversión y patrimonio y calcula interés minoritario; la participación reconoce la proporción del resultado y no elimina transacciones intercompañía.</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RF-19, RF-31, RF-32</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(ampliación v1.1); NIIF 10 y NIC 28 (por confirmar en la pregunta abierta 15)</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RN-14</w:t>
            </w:r>
          </w:p>
        </w:tc>
        <w:tc>
          <w:tcPr>
            <w:tcW w:w="48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porcentajes y el método se registran por periodo; un cambio aplica desde el periodo en que se registra y no altera los periodos anteriores.</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RF-31, RF-32</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(ampliación v1.1); Caso de referencia BW 7.5/BPC 10.1 (pérdida del porcentaje anterior)</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RN-15</w:t>
            </w:r>
          </w:p>
        </w:tc>
        <w:tc>
          <w:tcPr>
            <w:tcW w:w="48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 asiento de ajuste solo se guarda si la suma de sus débitos es igual a la suma de sus créditos.</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RF-35</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(ampliación v1.1)</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RN-16</w:t>
            </w:r>
          </w:p>
        </w:tc>
        <w:tc>
          <w:tcPr>
            <w:tcW w:w="48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Una sociedad solo se importa a BPC si en el periodo el activo es igual al pasivo más el patrimonio, la utilidad del estado de resultados es igual al resultado del ejercicio del balance y todas sus cuentas con saldo están mapeadas; la tolerancia de redondeo se define en la pregunta abierta 14.</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RF-36</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(ampliación v1.1); Caso de referencia BW 7.5/BPC 10.1 (validaciones de cuadre)</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RN-17</w:t>
            </w:r>
          </w:p>
        </w:tc>
        <w:tc>
          <w:tcPr>
            <w:tcW w:w="48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Una sociedad bloqueada en un periodo no admite cargas, asientos de ajuste ni reprocesos de ese periodo hasta que se desbloquee.</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RF-37</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interna CM 16-Oct-26 (ampliación v1.1)</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RN-18</w:t>
            </w:r>
          </w:p>
        </w:tc>
        <w:tc>
          <w:tcPr>
            <w:tcW w:w="48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diferencia en conversión se registra en el patrimonio y no en el estado de resultados.</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RF-33</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NIC 21 (por confirmar en la pregunta abierta 3)</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RN-19</w:t>
            </w:r>
          </w:p>
        </w:tc>
        <w:tc>
          <w:tcPr>
            <w:tcW w:w="48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versión 1 solo se generan objetos en la arquitectura A; un cliente con arquitectura B se identifica pero no se configura ni se genera.</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RF-04</w:t>
            </w:r>
          </w:p>
        </w:tc>
        <w:tc>
          <w:tcPr>
            <w:tcW w:w="1600" w:type="dxa"/>
            <w:tcMar>
              <w:top w:w="80" w:type="dxa"/>
              <w:left w:w="120" w:type="dxa"/>
              <w:bottom w:w="80" w:type="dxa"/>
              <w:right w:w="120" w:type="dxa"/>
            </w:tcMar>
            <w:vAlign w:val="center"/>
          </w:tcPr>
          <w:p>
            <w:pPr>
              <w:spacing w:after="0"/>
              <w:jc w:val="both"/>
            </w:pPr>
            <w:r>
              <w:rPr>
                <w:rFonts w:ascii="Ubuntu" w:hAnsi="Ubuntu" w:cs="Ubuntu"/>
                <w:sz w:val="21"/>
                <w:szCs w:val="21"/>
              </w:rPr>
              <w:t xml:space="preserve">Decisión CM 16-Oct-26 (arquitectura B fuera de la versión 1)</w:t>
            </w:r>
          </w:p>
        </w:tc>
      </w:tr>
    </w:tbl>
    <w:p>
      <w:pPr>
        <w:spacing w:after="0"/>
      </w:pPr>
    </w:p>
    <w:p>
      <w:pPr>
        <w:pStyle w:val="Heading1"/>
        <w:spacing w:before="360" w:after="160"/>
        <w:jc w:val="left"/>
      </w:pPr>
      <w:r>
        <w:rPr>
          <w:rFonts w:ascii="Ubuntu" w:hAnsi="Ubuntu" w:cs="Ubuntu"/>
          <w:b/>
          <w:bCs/>
          <w:color w:val="365F91"/>
          <w:sz w:val="32"/>
          <w:szCs w:val="32"/>
        </w:rPr>
        <w:t xml:space="preserve">8. Integraciones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900"/>
        <w:gridCol w:w="1500"/>
        <w:gridCol w:w="1200"/>
        <w:gridCol w:w="1700"/>
        <w:gridCol w:w="2138"/>
        <w:gridCol w:w="1400"/>
      </w:tblGrid>
      <w:tr>
        <w:trPr>
          <w:tblHeader/>
        </w:trPr>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Código</w:t>
            </w:r>
          </w:p>
        </w:tc>
        <w:tc>
          <w:tcPr>
            <w:tcW w:w="15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Sistema</w:t>
            </w:r>
          </w:p>
        </w:tc>
        <w:tc>
          <w:tcPr>
            <w:tcW w:w="12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Dirección</w:t>
            </w:r>
          </w:p>
        </w:tc>
        <w:tc>
          <w:tcPr>
            <w:tcW w:w="17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Mecanismo</w:t>
            </w:r>
          </w:p>
        </w:tc>
        <w:tc>
          <w:tcPr>
            <w:tcW w:w="21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Datos intercambiados</w:t>
            </w:r>
          </w:p>
        </w:tc>
        <w:tc>
          <w:tcPr>
            <w:tcW w:w="14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Origen</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INT-01</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ERP → SAP BW</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Entrada</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Extractores estándar SAP (0FI_GL_14 en ECC; extractores estándar de activos fijos y de deterioros)</w:t>
            </w:r>
          </w:p>
        </w:tc>
        <w:tc>
          <w:tcPr>
            <w:tcW w:w="2138" w:type="dxa"/>
            <w:tcMar>
              <w:top w:w="80" w:type="dxa"/>
              <w:left w:w="120" w:type="dxa"/>
              <w:bottom w:w="80" w:type="dxa"/>
              <w:right w:w="120" w:type="dxa"/>
            </w:tcMar>
            <w:vAlign w:val="center"/>
          </w:tcPr>
          <w:p>
            <w:pPr>
              <w:spacing w:after="0"/>
              <w:jc w:val="both"/>
            </w:pPr>
            <w:r>
              <w:rPr>
                <w:rFonts w:ascii="Ubuntu" w:hAnsi="Ubuntu" w:cs="Ubuntu"/>
                <w:sz w:val="21"/>
                <w:szCs w:val="21"/>
              </w:rPr>
              <w:t xml:space="preserve">Movimientos y saldos contables, presupuesto, activos fijos y deterioros</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G6 01:10-01:17; Sesión interna CM 16-Oct-26 (respuesta 7)</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INT-02</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BW</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Bidireccional</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RFC con paquete Z (confirmado por CM; se valida con prueba técnica)</w:t>
            </w:r>
          </w:p>
        </w:tc>
        <w:tc>
          <w:tcPr>
            <w:tcW w:w="2138" w:type="dxa"/>
            <w:tcMar>
              <w:top w:w="80" w:type="dxa"/>
              <w:left w:w="120" w:type="dxa"/>
              <w:bottom w:w="80" w:type="dxa"/>
              <w:right w:w="120" w:type="dxa"/>
            </w:tcMar>
            <w:vAlign w:val="center"/>
          </w:tcPr>
          <w:p>
            <w:pPr>
              <w:spacing w:after="0"/>
              <w:jc w:val="both"/>
            </w:pPr>
            <w:r>
              <w:rPr>
                <w:rFonts w:ascii="Ubuntu" w:hAnsi="Ubuntu" w:cs="Ubuntu"/>
                <w:sz w:val="21"/>
                <w:szCs w:val="21"/>
              </w:rPr>
              <w:t xml:space="preserve">Inventario de objetos; creación de objetos, cadenas y cargas</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14:45-14:55; Sesión interna CM 16-Oct-26</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INT-03</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BPC</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Bidireccional</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RFC con paquete Z (confirmado por CM; se valida con prueba técnica)</w:t>
            </w:r>
          </w:p>
        </w:tc>
        <w:tc>
          <w:tcPr>
            <w:tcW w:w="2138" w:type="dxa"/>
            <w:tcMar>
              <w:top w:w="80" w:type="dxa"/>
              <w:left w:w="120" w:type="dxa"/>
              <w:bottom w:w="80" w:type="dxa"/>
              <w:right w:w="120" w:type="dxa"/>
            </w:tcMar>
            <w:vAlign w:val="center"/>
          </w:tcPr>
          <w:p>
            <w:pPr>
              <w:spacing w:after="0"/>
              <w:jc w:val="both"/>
            </w:pPr>
            <w:r>
              <w:rPr>
                <w:rFonts w:ascii="Ubuntu" w:hAnsi="Ubuntu" w:cs="Ubuntu"/>
                <w:sz w:val="21"/>
                <w:szCs w:val="21"/>
              </w:rPr>
              <w:t xml:space="preserve">Dimensiones, miembros y scripts de lógica</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08:40-08:46; Sesión interna CM 16-Oct-26</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INT-04</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Fuentes no SAP → SAP BW</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Entrada</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Archivo (formato por definir)</w:t>
            </w:r>
          </w:p>
        </w:tc>
        <w:tc>
          <w:tcPr>
            <w:tcW w:w="2138" w:type="dxa"/>
            <w:tcMar>
              <w:top w:w="80" w:type="dxa"/>
              <w:left w:w="120" w:type="dxa"/>
              <w:bottom w:w="80" w:type="dxa"/>
              <w:right w:w="120" w:type="dxa"/>
            </w:tcMar>
            <w:vAlign w:val="center"/>
          </w:tcPr>
          <w:p>
            <w:pPr>
              <w:spacing w:after="0"/>
              <w:jc w:val="both"/>
            </w:pPr>
            <w:r>
              <w:rPr>
                <w:rFonts w:ascii="Ubuntu" w:hAnsi="Ubuntu" w:cs="Ubuntu"/>
                <w:sz w:val="21"/>
                <w:szCs w:val="21"/>
              </w:rPr>
              <w:t xml:space="preserve">Información contable de sociedades no SAP</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04:25-04:33</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INT-05</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BW → SAP BPC</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Entrada</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Importación desde InfoProvider (modelo estándar)</w:t>
            </w:r>
          </w:p>
        </w:tc>
        <w:tc>
          <w:tcPr>
            <w:tcW w:w="2138" w:type="dxa"/>
            <w:tcMar>
              <w:top w:w="80" w:type="dxa"/>
              <w:left w:w="120" w:type="dxa"/>
              <w:bottom w:w="80" w:type="dxa"/>
              <w:right w:w="120" w:type="dxa"/>
            </w:tcMar>
            <w:vAlign w:val="center"/>
          </w:tcPr>
          <w:p>
            <w:pPr>
              <w:spacing w:after="0"/>
              <w:jc w:val="both"/>
            </w:pPr>
            <w:r>
              <w:rPr>
                <w:rFonts w:ascii="Ubuntu" w:hAnsi="Ubuntu" w:cs="Ubuntu"/>
                <w:sz w:val="21"/>
                <w:szCs w:val="21"/>
              </w:rPr>
              <w:t xml:space="preserve">Datos financieros para el modelo</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06:15-06:22</w:t>
            </w:r>
          </w:p>
        </w:tc>
      </w:tr>
      <w:tr>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INT-06</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BPC → Excel (EPM add-in)</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Salida</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Conexión EPM add-in</w:t>
            </w:r>
          </w:p>
        </w:tc>
        <w:tc>
          <w:tcPr>
            <w:tcW w:w="2138" w:type="dxa"/>
            <w:tcMar>
              <w:top w:w="80" w:type="dxa"/>
              <w:left w:w="120" w:type="dxa"/>
              <w:bottom w:w="80" w:type="dxa"/>
              <w:right w:w="120" w:type="dxa"/>
            </w:tcMar>
            <w:vAlign w:val="center"/>
          </w:tcPr>
          <w:p>
            <w:pPr>
              <w:spacing w:after="0"/>
              <w:jc w:val="both"/>
            </w:pPr>
            <w:r>
              <w:rPr>
                <w:rFonts w:ascii="Ubuntu" w:hAnsi="Ubuntu" w:cs="Ubuntu"/>
                <w:sz w:val="21"/>
                <w:szCs w:val="21"/>
              </w:rPr>
              <w:t xml:space="preserve">Datos consolidados por sociedad y filiales</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Sesión técnica 16-Oct-26, G7 16:38-16:47</w:t>
            </w:r>
          </w:p>
        </w:tc>
      </w:tr>
    </w:tbl>
    <w:p>
      <w:pPr>
        <w:spacing w:after="0"/>
      </w:pPr>
    </w:p>
    <w:p>
      <w:pPr>
        <w:pStyle w:val="Heading1"/>
        <w:spacing w:before="360" w:after="160"/>
        <w:jc w:val="left"/>
      </w:pPr>
      <w:r>
        <w:rPr>
          <w:rFonts w:ascii="Ubuntu" w:hAnsi="Ubuntu" w:cs="Ubuntu"/>
          <w:b/>
          <w:bCs/>
          <w:color w:val="365F91"/>
          <w:sz w:val="32"/>
          <w:szCs w:val="32"/>
        </w:rPr>
        <w:t xml:space="preserve">9. Clasificación de datos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2000"/>
        <w:gridCol w:w="1300"/>
        <w:gridCol w:w="1500"/>
        <w:gridCol w:w="1700"/>
        <w:gridCol w:w="2338"/>
      </w:tblGrid>
      <w:tr>
        <w:trPr>
          <w:tblHeader/>
        </w:trPr>
        <w:tc>
          <w:tcPr>
            <w:tcW w:w="20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Grupo de datos</w:t>
            </w:r>
          </w:p>
        </w:tc>
        <w:tc>
          <w:tcPr>
            <w:tcW w:w="13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Categoría</w:t>
            </w:r>
          </w:p>
        </w:tc>
        <w:tc>
          <w:tcPr>
            <w:tcW w:w="15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Origen</w:t>
            </w:r>
          </w:p>
        </w:tc>
        <w:tc>
          <w:tcPr>
            <w:tcW w:w="17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Tratamiento</w:t>
            </w:r>
          </w:p>
        </w:tc>
        <w:tc>
          <w:tcPr>
            <w:tcW w:w="23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Observaciones</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Saldos y movimientos contables por sociedad</w:t>
            </w:r>
          </w:p>
        </w:tc>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Confidencial</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ERP</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Transmite y almacena (en SAP del cliente)</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Información financiera no publicada; base de los reportes de consolidación.</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Estructura del grupo: sociedades, filiales, CeCo y CeBe</w:t>
            </w:r>
          </w:p>
        </w:tc>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Interna</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ERP; configuración</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Captura, almacena, transmite</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Plan de cuentas, jerarquías y mapeo a rubros</w:t>
            </w:r>
          </w:p>
        </w:tc>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Interna</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ERP; configuración</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Captura, almacena, transmite</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Terceros (clientes, proveedores, contrapartes)</w:t>
            </w:r>
          </w:p>
        </w:tc>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Personal</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ERP</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Transmite y almacena (en SAP del cliente)</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Pueden ser personas naturales identificadas por nombre y documento. Aplica Ley 1581/2012.</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Beneficios a empleados</w:t>
            </w:r>
          </w:p>
        </w:tc>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Confidencial</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ERP</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Transmite y almacena (en SAP del cliente)</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 el reporte desagrega por empleado pasa a Personal (pregunta abierta 9).</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Informe a junta directiva</w:t>
            </w:r>
          </w:p>
        </w:tc>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Confidencial</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Modelo BPC</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Transmite</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Información contable de sociedades no SAP</w:t>
            </w:r>
          </w:p>
        </w:tc>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Confidencial</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Archivo del cliente</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Captura y transmite (equipo local)</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Pasa por el equipo del Consultor implementador; ver RNF-Seg-02.</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Scripts de lógica parametrizados</w:t>
            </w:r>
          </w:p>
        </w:tc>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Interna</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Acelerador</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Almacena y transmite</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Contienen códigos de sociedades y cuentas del cliente.</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Presupuesto</w:t>
            </w:r>
          </w:p>
        </w:tc>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Confidencial</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ERP (0FI_GL_14); captura en EPM</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Captura, almacena, transmite</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 ingresa el Usuario financiero en P05.</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Activos fijos y deterioros</w:t>
            </w:r>
          </w:p>
        </w:tc>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Confidencial</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ERP (extractores estándar)</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Transmite y almacena (en BW del cliente)</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listado A03 identifica activos individuales, no personas.</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Tasas de cambio</w:t>
            </w:r>
          </w:p>
        </w:tc>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Interna</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ERP</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Transmite y almacena</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Participaciones y métodos de consolidación</w:t>
            </w:r>
          </w:p>
        </w:tc>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Confidencial</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Usuario financiero (C02); configuración</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Captura, almacena, transmite</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Estructura societaria no publicada; cambios auditados (RNF-Aud-02).</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Asientos de ajuste de consolidación</w:t>
            </w:r>
          </w:p>
        </w:tc>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Confidencial</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Usuario financiero</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Captura y almacena (en BPC del cliente)</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Incluyen usuario y observación; cambios auditados (RNF-Aud-02).</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Credenciales de conexión a SAP</w:t>
            </w:r>
          </w:p>
        </w:tc>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Confidencial</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Consultor implementador</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Captura y almacena (equipo local)</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Secretos; ver RNF-Seg-02.</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Registro de ejecuciones</w:t>
            </w:r>
          </w:p>
        </w:tc>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Interna</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Acelerador</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Almacena</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Incluye el usuario que ejecuta; ver RNF-Aud-01.</w:t>
            </w:r>
          </w:p>
        </w:tc>
      </w:tr>
    </w:tbl>
    <w:p>
      <w:pPr>
        <w:spacing w:after="0"/>
      </w:pPr>
    </w:p>
    <w:p>
      <w:pPr>
        <w:spacing w:before="0" w:after="120" w:line="288" w:lineRule="auto"/>
        <w:jc w:val="both"/>
      </w:pPr>
      <w:r>
        <w:rPr>
          <w:rFonts w:ascii="Ubuntu" w:hAnsi="Ubuntu" w:cs="Ubuntu"/>
          <w:sz w:val="22"/>
          <w:szCs w:val="22"/>
        </w:rPr>
        <w:t xml:space="preserve">Conclusión: la categoría más alta presente es Personal (terceros que pueden ser personas naturales), junto con información financiera confidencial. La solución completa se verifica con OWASP ASVS nivel 2 (RNF-Seg-01), aplica las obligaciones de la Ley 1581/2012 sobre los datos de terceros y registra cada ejecución (RNF-Aud-01). Si algún cliente está vigilado por la Superintendencia Financiera, se verifica además la Circular 007 (pregunta abierta 10).</w:t>
      </w:r>
    </w:p>
    <w:p>
      <w:pPr>
        <w:pStyle w:val="Heading1"/>
        <w:spacing w:before="360" w:after="160"/>
        <w:jc w:val="left"/>
      </w:pPr>
      <w:r>
        <w:rPr>
          <w:rFonts w:ascii="Ubuntu" w:hAnsi="Ubuntu" w:cs="Ubuntu"/>
          <w:b/>
          <w:bCs/>
          <w:color w:val="365F91"/>
          <w:sz w:val="32"/>
          <w:szCs w:val="32"/>
        </w:rPr>
        <w:t xml:space="preserve">10. Diccionario de datos preliminar</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1700"/>
        <w:gridCol w:w="3638"/>
        <w:gridCol w:w="2000"/>
        <w:gridCol w:w="1500"/>
      </w:tblGrid>
      <w:tr>
        <w:trPr>
          <w:tblHeader/>
        </w:trPr>
        <w:tc>
          <w:tcPr>
            <w:tcW w:w="17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Entidad</w:t>
            </w:r>
          </w:p>
        </w:tc>
        <w:tc>
          <w:tcPr>
            <w:tcW w:w="36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Atributos clave</w:t>
            </w:r>
          </w:p>
        </w:tc>
        <w:tc>
          <w:tcPr>
            <w:tcW w:w="20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 de dato</w:t>
            </w:r>
          </w:p>
        </w:tc>
        <w:tc>
          <w:tcPr>
            <w:tcW w:w="15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Clasificación</w:t>
            </w:r>
          </w:p>
        </w:tc>
      </w:tr>
      <w:tr>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Conexión</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Sistema, host, mandante, usuario técnico, credencial, arquitectura</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Texto; secreto</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Confidencial</w:t>
            </w:r>
          </w:p>
        </w:tc>
      </w:tr>
      <w:tr>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Sociedad</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Código, nombre, en SAP (sí/no), moneda local, sociedad matriz</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Texto; booleano</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Interna</w:t>
            </w:r>
          </w:p>
        </w:tc>
      </w:tr>
      <w:tr>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Cuenta</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Código, plan de cuentas, descripción, nodo de jerarquía</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Texto</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Interna</w:t>
            </w:r>
          </w:p>
        </w:tc>
      </w:tr>
      <w:tr>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Rubro de reporte</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Código (p. ej. F-00-101), nombre, cuentas mapeadas</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Texto; lista</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Interna</w:t>
            </w:r>
          </w:p>
        </w:tc>
      </w:tr>
      <w:tr>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Movimiento contable</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Sociedad, cuenta, periodo, tercero, CeCo, CeBe, importe en moneda local</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Texto; fecha; decimal</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Confidencial / Personal</w:t>
            </w:r>
          </w:p>
        </w:tc>
      </w:tr>
      <w:tr>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Presupuesto</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Sociedad, cuenta, centro de costo, periodo, versión, importe</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Texto; fecha; decimal</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Confidencial</w:t>
            </w:r>
          </w:p>
        </w:tc>
      </w:tr>
      <w:tr>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Activo fijo</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Número, clase, sociedad, fecha de capitalización, valor, depreciación acumulada, deterioro</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Texto; fecha; decimal</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Confidencial</w:t>
            </w:r>
          </w:p>
        </w:tc>
      </w:tr>
      <w:tr>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Tasa de cambio</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Moneda origen, moneda destino, tipo (cierre, promedio, histórica), fecha, valor</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Texto; fecha; decimal</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Interna</w:t>
            </w:r>
          </w:p>
        </w:tc>
      </w:tr>
      <w:tr>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Participación</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Sociedad, grupo, periodo, % control, % consolidación, % propiedad, método</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Texto; fecha; decimal</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Confidencial</w:t>
            </w:r>
          </w:p>
        </w:tc>
      </w:tr>
      <w:tr>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Asiento de ajuste</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Número, grupo, periodo, moneda, líneas (sociedad, cuenta, intercompañía, débito, crédito, observación), usuario, fecha</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Texto; fecha; decimal</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Confidencial</w:t>
            </w:r>
          </w:p>
        </w:tc>
      </w:tr>
      <w:tr>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Versión de presupuesto</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Código (p. ej. presupuesto anual, 3+9), descripción, año</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Texto</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Interna</w:t>
            </w:r>
          </w:p>
        </w:tc>
      </w:tr>
      <w:tr>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Módulo</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Nombre, seleccionado (sí/no)</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Texto; booleano</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Interna</w:t>
            </w:r>
          </w:p>
        </w:tc>
      </w:tr>
      <w:tr>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Reporte</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ID (R01-R20, P01-P05, A01-A03, D01-D02, C01-C04), nombre, parámetros (sociedad, filiales, moneda, versión)</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Texto</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Interna</w:t>
            </w:r>
          </w:p>
        </w:tc>
      </w:tr>
      <w:tr>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Ejecución</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Usuario, fecha y hora, sistema, paso, objetos, resultado</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Texto; fecha</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Interna</w:t>
            </w:r>
          </w:p>
        </w:tc>
      </w:tr>
    </w:tbl>
    <w:p>
      <w:pPr>
        <w:spacing w:after="0"/>
      </w:pPr>
    </w:p>
    <w:p>
      <w:pPr>
        <w:pStyle w:val="Heading1"/>
        <w:spacing w:before="360" w:after="160"/>
        <w:jc w:val="left"/>
      </w:pPr>
      <w:r>
        <w:rPr>
          <w:rFonts w:ascii="Ubuntu" w:hAnsi="Ubuntu" w:cs="Ubuntu"/>
          <w:b/>
          <w:bCs/>
          <w:color w:val="365F91"/>
          <w:sz w:val="32"/>
          <w:szCs w:val="32"/>
        </w:rPr>
        <w:t xml:space="preserve">11. Matriz alcance ↔ RF</w:t>
      </w:r>
    </w:p>
    <w:p>
      <w:pPr>
        <w:spacing w:before="0" w:after="120" w:line="288" w:lineRule="auto"/>
        <w:jc w:val="both"/>
      </w:pPr>
      <w:r>
        <w:rPr>
          <w:rFonts w:ascii="Ubuntu" w:hAnsi="Ubuntu" w:cs="Ubuntu"/>
          <w:sz w:val="22"/>
          <w:szCs w:val="22"/>
        </w:rPr>
        <w:t xml:space="preserve">Componentes del borrador de solución v3, formalizado como alcance por CM Consulting. Todos los RF quedan cubiertos por un componente. La versión 1.1 amplía M2, M5 y M6 con RF-31 a RF-39 por decisión de CM Consulting (Sesión interna CM 16-Oct-26, ampliación v1.1); al ser un producto interno, no hay candidatos a control de cambios frente a un cliente.</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3000"/>
        <w:gridCol w:w="5838"/>
      </w:tblGrid>
      <w:tr>
        <w:trPr>
          <w:tblHeader/>
        </w:trPr>
        <w:tc>
          <w:tcPr>
            <w:tcW w:w="30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Componente (alcance formalizado)</w:t>
            </w:r>
          </w:p>
        </w:tc>
        <w:tc>
          <w:tcPr>
            <w:tcW w:w="58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RF que lo cubren</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M1 Conector y escáner</w:t>
            </w:r>
          </w:p>
        </w:tc>
        <w:tc>
          <w:tcPr>
            <w:tcW w:w="5838" w:type="dxa"/>
            <w:tcMar>
              <w:top w:w="80" w:type="dxa"/>
              <w:left w:w="120" w:type="dxa"/>
              <w:bottom w:w="80" w:type="dxa"/>
              <w:right w:w="120" w:type="dxa"/>
            </w:tcMar>
            <w:vAlign w:val="center"/>
          </w:tcPr>
          <w:p>
            <w:pPr>
              <w:spacing w:after="0"/>
              <w:jc w:val="both"/>
            </w:pPr>
            <w:r>
              <w:rPr>
                <w:rFonts w:ascii="Ubuntu" w:hAnsi="Ubuntu" w:cs="Ubuntu"/>
                <w:sz w:val="21"/>
                <w:szCs w:val="21"/>
              </w:rPr>
              <w:t xml:space="preserve">RF-01, RF-02, RF-03, RF-04</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M2 Configurador de alcance</w:t>
            </w:r>
          </w:p>
        </w:tc>
        <w:tc>
          <w:tcPr>
            <w:tcW w:w="5838" w:type="dxa"/>
            <w:tcMar>
              <w:top w:w="80" w:type="dxa"/>
              <w:left w:w="120" w:type="dxa"/>
              <w:bottom w:w="80" w:type="dxa"/>
              <w:right w:w="120" w:type="dxa"/>
            </w:tcMar>
            <w:vAlign w:val="center"/>
          </w:tcPr>
          <w:p>
            <w:pPr>
              <w:spacing w:after="0"/>
              <w:jc w:val="both"/>
            </w:pPr>
            <w:r>
              <w:rPr>
                <w:rFonts w:ascii="Ubuntu" w:hAnsi="Ubuntu" w:cs="Ubuntu"/>
                <w:sz w:val="21"/>
                <w:szCs w:val="21"/>
              </w:rPr>
              <w:t xml:space="preserve">RF-05, RF-06, RF-07, RF-39</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M3 Generador de bodega BW</w:t>
            </w:r>
          </w:p>
        </w:tc>
        <w:tc>
          <w:tcPr>
            <w:tcW w:w="5838" w:type="dxa"/>
            <w:tcMar>
              <w:top w:w="80" w:type="dxa"/>
              <w:left w:w="120" w:type="dxa"/>
              <w:bottom w:w="80" w:type="dxa"/>
              <w:right w:w="120" w:type="dxa"/>
            </w:tcMar>
            <w:vAlign w:val="center"/>
          </w:tcPr>
          <w:p>
            <w:pPr>
              <w:spacing w:after="0"/>
              <w:jc w:val="both"/>
            </w:pPr>
            <w:r>
              <w:rPr>
                <w:rFonts w:ascii="Ubuntu" w:hAnsi="Ubuntu" w:cs="Ubuntu"/>
                <w:sz w:val="21"/>
                <w:szCs w:val="21"/>
              </w:rPr>
              <w:t xml:space="preserve">RF-08, RF-09, RF-10, RF-24, RF-25</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M4 Cargador de datos maestros</w:t>
            </w:r>
          </w:p>
        </w:tc>
        <w:tc>
          <w:tcPr>
            <w:tcW w:w="5838" w:type="dxa"/>
            <w:tcMar>
              <w:top w:w="80" w:type="dxa"/>
              <w:left w:w="120" w:type="dxa"/>
              <w:bottom w:w="80" w:type="dxa"/>
              <w:right w:w="120" w:type="dxa"/>
            </w:tcMar>
            <w:vAlign w:val="center"/>
          </w:tcPr>
          <w:p>
            <w:pPr>
              <w:spacing w:after="0"/>
              <w:jc w:val="both"/>
            </w:pPr>
            <w:r>
              <w:rPr>
                <w:rFonts w:ascii="Ubuntu" w:hAnsi="Ubuntu" w:cs="Ubuntu"/>
                <w:sz w:val="21"/>
                <w:szCs w:val="21"/>
              </w:rPr>
              <w:t xml:space="preserve">RF-11, RF-12, RF-13, RF-14, RF-15</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M5 Generador de modelo BPC</w:t>
            </w:r>
          </w:p>
        </w:tc>
        <w:tc>
          <w:tcPr>
            <w:tcW w:w="5838" w:type="dxa"/>
            <w:tcMar>
              <w:top w:w="80" w:type="dxa"/>
              <w:left w:w="120" w:type="dxa"/>
              <w:bottom w:w="80" w:type="dxa"/>
              <w:right w:w="120" w:type="dxa"/>
            </w:tcMar>
            <w:vAlign w:val="center"/>
          </w:tcPr>
          <w:p>
            <w:pPr>
              <w:spacing w:after="0"/>
              <w:jc w:val="both"/>
            </w:pPr>
            <w:r>
              <w:rPr>
                <w:rFonts w:ascii="Ubuntu" w:hAnsi="Ubuntu" w:cs="Ubuntu"/>
                <w:sz w:val="21"/>
                <w:szCs w:val="21"/>
              </w:rPr>
              <w:t xml:space="preserve">RF-16, RF-17, RF-18, RF-19, RF-23, RF-26, RF-31, RF-32, RF-33, RF-35, RF-36, RF-37, RF-38</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M6 Reportes EPM (34 iniciales)</w:t>
            </w:r>
          </w:p>
        </w:tc>
        <w:tc>
          <w:tcPr>
            <w:tcW w:w="5838" w:type="dxa"/>
            <w:tcMar>
              <w:top w:w="80" w:type="dxa"/>
              <w:left w:w="120" w:type="dxa"/>
              <w:bottom w:w="80" w:type="dxa"/>
              <w:right w:w="120" w:type="dxa"/>
            </w:tcMar>
            <w:vAlign w:val="center"/>
          </w:tcPr>
          <w:p>
            <w:pPr>
              <w:spacing w:after="0"/>
              <w:jc w:val="both"/>
            </w:pPr>
            <w:r>
              <w:rPr>
                <w:rFonts w:ascii="Ubuntu" w:hAnsi="Ubuntu" w:cs="Ubuntu"/>
                <w:sz w:val="21"/>
                <w:szCs w:val="21"/>
              </w:rPr>
              <w:t xml:space="preserve">RF-20, RF-21, RF-22, RF-27, RF-28, RF-29, RF-30, RF-34</w:t>
            </w:r>
          </w:p>
        </w:tc>
      </w:tr>
    </w:tbl>
    <w:p>
      <w:pPr>
        <w:spacing w:after="0"/>
      </w:pPr>
    </w:p>
    <w:p>
      <w:pPr>
        <w:pStyle w:val="Heading1"/>
        <w:spacing w:before="360" w:after="160"/>
        <w:jc w:val="left"/>
      </w:pPr>
      <w:r>
        <w:rPr>
          <w:rFonts w:ascii="Ubuntu" w:hAnsi="Ubuntu" w:cs="Ubuntu"/>
          <w:b/>
          <w:bCs/>
          <w:color w:val="365F91"/>
          <w:sz w:val="32"/>
          <w:szCs w:val="32"/>
        </w:rPr>
        <w:t xml:space="preserve">12. Supuestos, dependencias y preguntas abiertas</w:t>
      </w:r>
    </w:p>
    <w:p>
      <w:pPr>
        <w:pStyle w:val="Heading2"/>
        <w:spacing w:before="240" w:after="120"/>
        <w:jc w:val="left"/>
      </w:pPr>
      <w:r>
        <w:rPr>
          <w:rFonts w:ascii="Ubuntu" w:hAnsi="Ubuntu" w:cs="Ubuntu"/>
          <w:b/>
          <w:bCs/>
          <w:color w:val="365F91"/>
          <w:sz w:val="28"/>
          <w:szCs w:val="28"/>
        </w:rPr>
        <w:t xml:space="preserve">12.1 Supuestos</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El acelerador es un producto interno de CM Consulting, reutilizable en varios clientes.</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El prototipo se construye sobre la arquitectura A, el ambiente con acceso disponible (Sesión técnica 16-Oct-26, G7 13:23-13:30), y se ejecuta desde el equipo del Consultor implementador (G7 20:56-21:27).</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Los clientes permiten instalar código Z y aplicar transportes (Sesión interna CM 16-Oct-26).</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La información se levantó en una sola sesión técnica grabada; los nombres técnicos inferidos de la transcripción están sujetos a las preguntas abiertas 2 y 11.</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El mecanismo de inyección es RFC con paquete Z y transportes, con respaldo UJBR para el modelo estándar (Sesión interna CM 16-Oct-26). Se valida con una prueba técnica en la arquitectura A antes del desarrollo.</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La matriz de soporte inicial son las versiones de los dos ambientes disponibles; otras versiones se agregan como variantes (RNF-Comp-04).</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Las tasas de cambio se toman de SAP y siguen NIC 21 (RN-11), sujeto a la pregunta abierta 3.</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Las reglas de consolidación de la sección 5.9 se generan con las funciones estándar de BPC (modelo de propiedad, reglas de negocio, asientos, bloqueo y flujo de proceso); la arquitectura B, donde su disponibilidad está por confirmar (pregunta abierta 17), queda fuera de la versión 1.</w:t>
      </w:r>
    </w:p>
    <w:p>
      <w:pPr>
        <w:pStyle w:val="Heading2"/>
        <w:spacing w:before="240" w:after="120"/>
        <w:jc w:val="left"/>
      </w:pPr>
      <w:r>
        <w:rPr>
          <w:rFonts w:ascii="Ubuntu" w:hAnsi="Ubuntu" w:cs="Ubuntu"/>
          <w:b/>
          <w:bCs/>
          <w:color w:val="365F91"/>
          <w:sz w:val="28"/>
          <w:szCs w:val="28"/>
        </w:rPr>
        <w:t xml:space="preserve">12.2 Dependencias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3000"/>
        <w:gridCol w:w="1800"/>
        <w:gridCol w:w="1400"/>
        <w:gridCol w:w="2638"/>
      </w:tblGrid>
      <w:tr>
        <w:trPr>
          <w:tblHeader/>
        </w:trPr>
        <w:tc>
          <w:tcPr>
            <w:tcW w:w="30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Dependencia</w:t>
            </w:r>
          </w:p>
        </w:tc>
        <w:tc>
          <w:tcPr>
            <w:tcW w:w="1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Responsable</w:t>
            </w:r>
          </w:p>
        </w:tc>
        <w:tc>
          <w:tcPr>
            <w:tcW w:w="14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Fecha propuesta</w:t>
            </w:r>
          </w:p>
        </w:tc>
        <w:tc>
          <w:tcPr>
            <w:tcW w:w="26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Impacto</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Acceso al ambiente de arquitectura A desde el equipo del consultor</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Consultor SAP BPC</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23-Oct-26</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Sin acceso no hay prueba técnica ni prototipo.</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Documento de pasos de implementación y casos de uso existentes</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Consultor SAP BPC</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23-Oct-26</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Detalla RF-08 a RF-19 para las historias de usuario.</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Catálogo de cerca de 50 reportes existentes</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Consultor SAP BPC</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23-Oct-26</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Necesario para cerrar la pregunta 6.</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Usuario técnico y permiso para paquete Z y transportes en el ambiente de prueba</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Administrador SAP del cliente</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23-Oct-26</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Bloquea la prueba técnica del mecanismo de inyección.</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Ambiente BW/4HANA con BPC 2021 modelo estándar para pruebas</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CM Consulting – Dirección</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Por definir</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Bloquea RNF-Comp-05.</w:t>
            </w:r>
          </w:p>
        </w:tc>
      </w:tr>
    </w:tbl>
    <w:p>
      <w:pPr>
        <w:spacing w:after="0"/>
      </w:pPr>
    </w:p>
    <w:p>
      <w:pPr>
        <w:pStyle w:val="Heading2"/>
        <w:spacing w:before="240" w:after="120"/>
        <w:jc w:val="left"/>
      </w:pPr>
      <w:r>
        <w:rPr>
          <w:rFonts w:ascii="Ubuntu" w:hAnsi="Ubuntu" w:cs="Ubuntu"/>
          <w:b/>
          <w:bCs/>
          <w:color w:val="365F91"/>
          <w:sz w:val="28"/>
          <w:szCs w:val="28"/>
        </w:rPr>
        <w:t xml:space="preserve">12.3 Preguntas abiertas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500"/>
        <w:gridCol w:w="4438"/>
        <w:gridCol w:w="900"/>
        <w:gridCol w:w="1800"/>
        <w:gridCol w:w="1200"/>
      </w:tblGrid>
      <w:tr>
        <w:trPr>
          <w:tblHeader/>
        </w:trPr>
        <w:tc>
          <w:tcPr>
            <w:tcW w:w="5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w:t>
            </w:r>
          </w:p>
        </w:tc>
        <w:tc>
          <w:tcPr>
            <w:tcW w:w="44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Pregunta</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Crítica</w:t>
            </w:r>
          </w:p>
        </w:tc>
        <w:tc>
          <w:tcPr>
            <w:tcW w:w="1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Responsable</w:t>
            </w:r>
          </w:p>
        </w:tc>
        <w:tc>
          <w:tcPr>
            <w:tcW w:w="12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Fecha objetivo</w:t>
            </w:r>
          </w:p>
        </w:tc>
      </w:tr>
      <w:tr>
        <w:tc>
          <w:tcPr>
            <w:tcW w:w="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w:t>
            </w:r>
          </w:p>
        </w:tc>
        <w:tc>
          <w:tcPr>
            <w:tcW w:w="4438" w:type="dxa"/>
            <w:tcMar>
              <w:top w:w="80" w:type="dxa"/>
              <w:left w:w="120" w:type="dxa"/>
              <w:bottom w:w="80" w:type="dxa"/>
              <w:right w:w="120" w:type="dxa"/>
            </w:tcMar>
            <w:vAlign w:val="center"/>
          </w:tcPr>
          <w:p>
            <w:pPr>
              <w:spacing w:after="0"/>
              <w:jc w:val="both"/>
            </w:pPr>
            <w:r>
              <w:rPr>
                <w:rFonts w:ascii="Ubuntu" w:hAnsi="Ubuntu" w:cs="Ubuntu"/>
                <w:sz w:val="21"/>
                <w:szCs w:val="21"/>
              </w:rPr>
              <w:t xml:space="preserve">Validar los 10 reportes propuestos por CM para presupuesto, activos fijos y deterioros (tabla 5.8.1) y cuáles reportes de consolidación alimentan (RF-30 propone R08, R10 y R11).</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Consultor SAP BPC</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23-Oct-26</w:t>
            </w:r>
          </w:p>
        </w:tc>
      </w:tr>
      <w:tr>
        <w:tc>
          <w:tcPr>
            <w:tcW w:w="500" w:type="dxa"/>
            <w:tcMar>
              <w:top w:w="80" w:type="dxa"/>
              <w:left w:w="120" w:type="dxa"/>
              <w:bottom w:w="80" w:type="dxa"/>
              <w:right w:w="120" w:type="dxa"/>
            </w:tcMar>
            <w:vAlign w:val="center"/>
          </w:tcPr>
          <w:p>
            <w:pPr>
              <w:spacing w:after="0"/>
              <w:jc w:val="both"/>
            </w:pPr>
            <w:r>
              <w:rPr>
                <w:rFonts w:ascii="Ubuntu" w:hAnsi="Ubuntu" w:cs="Ubuntu"/>
                <w:sz w:val="21"/>
                <w:szCs w:val="21"/>
              </w:rPr>
              <w:t xml:space="preserve">2</w:t>
            </w:r>
          </w:p>
        </w:tc>
        <w:tc>
          <w:tcPr>
            <w:tcW w:w="4438" w:type="dxa"/>
            <w:tcMar>
              <w:top w:w="80" w:type="dxa"/>
              <w:left w:w="120" w:type="dxa"/>
              <w:bottom w:w="80" w:type="dxa"/>
              <w:right w:w="120" w:type="dxa"/>
            </w:tcMar>
            <w:vAlign w:val="center"/>
          </w:tcPr>
          <w:p>
            <w:pPr>
              <w:spacing w:after="0"/>
              <w:jc w:val="both"/>
            </w:pPr>
            <w:r>
              <w:rPr>
                <w:rFonts w:ascii="Ubuntu" w:hAnsi="Ubuntu" w:cs="Ubuntu"/>
                <w:sz w:val="21"/>
                <w:szCs w:val="21"/>
              </w:rPr>
              <w:t xml:space="preserve">Versiones exactas de los dos ambientes disponibles, que forman la matriz de soporte inicial. A: ¿BW 7.5 con BPC 10.1 modelo estándar o BPC 7.5 NW? B: ¿S/4HANA 2025 con BW y BPC embebidos, o BW/4HANA? (en la grabación se oye 'BWU 2025' y 'BPC 11').</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Consultor SAP BPC</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23-Oct-26</w:t>
            </w:r>
          </w:p>
        </w:tc>
      </w:tr>
      <w:tr>
        <w:tc>
          <w:tcPr>
            <w:tcW w:w="5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c>
          <w:tcPr>
            <w:tcW w:w="4438"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Confirmar los tipos de tasa de RN-11 (NIC 21) y de qué tabla de SAP se toman las tasas de cambio.</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Consultor SAP BPC</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30-Oct-26</w:t>
            </w:r>
          </w:p>
        </w:tc>
      </w:tr>
      <w:tr>
        <w:tc>
          <w:tcPr>
            <w:tcW w:w="5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44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configurador web se ejecuta en el equipo del consultor o en un servidor de CM? Define autenticación y despliegue.</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CM Consulting – Arquitectura</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30-Oct-26</w:t>
            </w:r>
          </w:p>
        </w:tc>
      </w:tr>
      <w:tr>
        <w:tc>
          <w:tcPr>
            <w:tcW w:w="500" w:type="dxa"/>
            <w:tcMar>
              <w:top w:w="80" w:type="dxa"/>
              <w:left w:w="120" w:type="dxa"/>
              <w:bottom w:w="80" w:type="dxa"/>
              <w:right w:w="120" w:type="dxa"/>
            </w:tcMar>
            <w:vAlign w:val="center"/>
          </w:tcPr>
          <w:p>
            <w:pPr>
              <w:spacing w:after="0"/>
              <w:jc w:val="both"/>
            </w:pPr>
            <w:r>
              <w:rPr>
                <w:rFonts w:ascii="Ubuntu" w:hAnsi="Ubuntu" w:cs="Ubuntu"/>
                <w:sz w:val="21"/>
                <w:szCs w:val="21"/>
              </w:rPr>
              <w:t xml:space="preserve">5</w:t>
            </w:r>
          </w:p>
        </w:tc>
        <w:tc>
          <w:tcPr>
            <w:tcW w:w="4438" w:type="dxa"/>
            <w:tcMar>
              <w:top w:w="80" w:type="dxa"/>
              <w:left w:w="120" w:type="dxa"/>
              <w:bottom w:w="80" w:type="dxa"/>
              <w:right w:w="120" w:type="dxa"/>
            </w:tcMar>
            <w:vAlign w:val="center"/>
          </w:tcPr>
          <w:p>
            <w:pPr>
              <w:spacing w:after="0"/>
              <w:jc w:val="both"/>
            </w:pPr>
            <w:r>
              <w:rPr>
                <w:rFonts w:ascii="Ubuntu" w:hAnsi="Ubuntu" w:cs="Ubuntu"/>
                <w:sz w:val="21"/>
                <w:szCs w:val="21"/>
              </w:rPr>
              <w:t xml:space="preserve">Formato de carga de la información de sociedades no SAP (INT-04).</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Consultor SAP BPC</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30-Oct-26</w:t>
            </w:r>
          </w:p>
        </w:tc>
      </w:tr>
      <w:tr>
        <w:tc>
          <w:tcPr>
            <w:tcW w:w="500" w:type="dxa"/>
            <w:tcMar>
              <w:top w:w="80" w:type="dxa"/>
              <w:left w:w="120" w:type="dxa"/>
              <w:bottom w:w="80" w:type="dxa"/>
              <w:right w:w="120" w:type="dxa"/>
            </w:tcMar>
            <w:vAlign w:val="center"/>
          </w:tcPr>
          <w:p>
            <w:pPr>
              <w:spacing w:after="0"/>
              <w:jc w:val="both"/>
            </w:pPr>
            <w:r>
              <w:rPr>
                <w:rFonts w:ascii="Ubuntu" w:hAnsi="Ubuntu" w:cs="Ubuntu"/>
                <w:sz w:val="21"/>
                <w:szCs w:val="21"/>
              </w:rPr>
              <w:t xml:space="preserve">6</w:t>
            </w:r>
          </w:p>
        </w:tc>
        <w:tc>
          <w:tcPr>
            <w:tcW w:w="4438" w:type="dxa"/>
            <w:tcMar>
              <w:top w:w="80" w:type="dxa"/>
              <w:left w:w="120" w:type="dxa"/>
              <w:bottom w:w="80" w:type="dxa"/>
              <w:right w:w="120" w:type="dxa"/>
            </w:tcMar>
            <w:vAlign w:val="center"/>
          </w:tcPr>
          <w:p>
            <w:pPr>
              <w:spacing w:after="0"/>
              <w:jc w:val="both"/>
            </w:pPr>
            <w:r>
              <w:rPr>
                <w:rFonts w:ascii="Ubuntu" w:hAnsi="Ubuntu" w:cs="Ubuntu"/>
                <w:sz w:val="21"/>
                <w:szCs w:val="21"/>
              </w:rPr>
              <w:t xml:space="preserve">Validar los 8 reportes agregados por CM (R02 a R06, R15, R16, R19) contra el catálogo de cerca de 50 reportes, e identificar dos reportes dictados que no se entendieron: 'certificación proyecti nominal' y 'el de cuentas'.</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Consultor SAP BPC</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30-Oct-26</w:t>
            </w:r>
          </w:p>
        </w:tc>
      </w:tr>
      <w:tr>
        <w:tc>
          <w:tcPr>
            <w:tcW w:w="500" w:type="dxa"/>
            <w:tcMar>
              <w:top w:w="80" w:type="dxa"/>
              <w:left w:w="120" w:type="dxa"/>
              <w:bottom w:w="80" w:type="dxa"/>
              <w:right w:w="120" w:type="dxa"/>
            </w:tcMar>
            <w:vAlign w:val="center"/>
          </w:tcPr>
          <w:p>
            <w:pPr>
              <w:spacing w:after="0"/>
              <w:jc w:val="both"/>
            </w:pPr>
            <w:r>
              <w:rPr>
                <w:rFonts w:ascii="Ubuntu" w:hAnsi="Ubuntu" w:cs="Ubuntu"/>
                <w:sz w:val="21"/>
                <w:szCs w:val="21"/>
              </w:rPr>
              <w:t xml:space="preserve">7</w:t>
            </w:r>
          </w:p>
        </w:tc>
        <w:tc>
          <w:tcPr>
            <w:tcW w:w="4438" w:type="dxa"/>
            <w:tcMar>
              <w:top w:w="80" w:type="dxa"/>
              <w:left w:w="120" w:type="dxa"/>
              <w:bottom w:w="80" w:type="dxa"/>
              <w:right w:w="120" w:type="dxa"/>
            </w:tcMar>
            <w:vAlign w:val="center"/>
          </w:tcPr>
          <w:p>
            <w:pPr>
              <w:spacing w:after="0"/>
              <w:jc w:val="both"/>
            </w:pPr>
            <w:r>
              <w:rPr>
                <w:rFonts w:ascii="Ubuntu" w:hAnsi="Ubuntu" w:cs="Ubuntu"/>
                <w:sz w:val="21"/>
                <w:szCs w:val="21"/>
              </w:rPr>
              <w:t xml:space="preserve">Volumen esperado (sociedades, movimientos por día) y duración de la ventana nocturna para la carga delta (RNF-Rend-01).</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Consultor SAP BPC</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30-Oct-26</w:t>
            </w:r>
          </w:p>
        </w:tc>
      </w:tr>
      <w:tr>
        <w:tc>
          <w:tcPr>
            <w:tcW w:w="500" w:type="dxa"/>
            <w:tcMar>
              <w:top w:w="80" w:type="dxa"/>
              <w:left w:w="120" w:type="dxa"/>
              <w:bottom w:w="80" w:type="dxa"/>
              <w:right w:w="120" w:type="dxa"/>
            </w:tcMar>
            <w:vAlign w:val="center"/>
          </w:tcPr>
          <w:p>
            <w:pPr>
              <w:spacing w:after="0"/>
              <w:jc w:val="both"/>
            </w:pPr>
            <w:r>
              <w:rPr>
                <w:rFonts w:ascii="Ubuntu" w:hAnsi="Ubuntu" w:cs="Ubuntu"/>
                <w:sz w:val="21"/>
                <w:szCs w:val="21"/>
              </w:rPr>
              <w:t xml:space="preserve">8</w:t>
            </w:r>
          </w:p>
        </w:tc>
        <w:tc>
          <w:tcPr>
            <w:tcW w:w="4438" w:type="dxa"/>
            <w:tcMar>
              <w:top w:w="80" w:type="dxa"/>
              <w:left w:w="120" w:type="dxa"/>
              <w:bottom w:w="80" w:type="dxa"/>
              <w:right w:w="120" w:type="dxa"/>
            </w:tcMar>
            <w:vAlign w:val="center"/>
          </w:tcPr>
          <w:p>
            <w:pPr>
              <w:spacing w:after="0"/>
              <w:jc w:val="both"/>
            </w:pPr>
            <w:r>
              <w:rPr>
                <w:rFonts w:ascii="Ubuntu" w:hAnsi="Ubuntu" w:cs="Ubuntu"/>
                <w:sz w:val="21"/>
                <w:szCs w:val="21"/>
              </w:rPr>
              <w:t xml:space="preserve">Número aproximado de Usuarios financieros por cliente.</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Consultor SAP BPC</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30-Oct-26</w:t>
            </w:r>
          </w:p>
        </w:tc>
      </w:tr>
      <w:tr>
        <w:tc>
          <w:tcPr>
            <w:tcW w:w="500" w:type="dxa"/>
            <w:tcMar>
              <w:top w:w="80" w:type="dxa"/>
              <w:left w:w="120" w:type="dxa"/>
              <w:bottom w:w="80" w:type="dxa"/>
              <w:right w:w="120" w:type="dxa"/>
            </w:tcMar>
            <w:vAlign w:val="center"/>
          </w:tcPr>
          <w:p>
            <w:pPr>
              <w:spacing w:after="0"/>
              <w:jc w:val="both"/>
            </w:pPr>
            <w:r>
              <w:rPr>
                <w:rFonts w:ascii="Ubuntu" w:hAnsi="Ubuntu" w:cs="Ubuntu"/>
                <w:sz w:val="21"/>
                <w:szCs w:val="21"/>
              </w:rPr>
              <w:t xml:space="preserve">9</w:t>
            </w:r>
          </w:p>
        </w:tc>
        <w:tc>
          <w:tcPr>
            <w:tcW w:w="44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reporte de beneficios a empleados desagrega por empleado? Cambia la clasificación del dato.</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Consultor SAP BPC</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30-Oct-26</w:t>
            </w:r>
          </w:p>
        </w:tc>
      </w:tr>
      <w:tr>
        <w:tc>
          <w:tcPr>
            <w:tcW w:w="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10</w:t>
            </w:r>
          </w:p>
        </w:tc>
        <w:tc>
          <w:tcPr>
            <w:tcW w:w="4438" w:type="dxa"/>
            <w:tcMar>
              <w:top w:w="80" w:type="dxa"/>
              <w:left w:w="120" w:type="dxa"/>
              <w:bottom w:w="80" w:type="dxa"/>
              <w:right w:w="120" w:type="dxa"/>
            </w:tcMar>
            <w:vAlign w:val="center"/>
          </w:tcPr>
          <w:p>
            <w:pPr>
              <w:spacing w:after="0"/>
              <w:jc w:val="both"/>
            </w:pPr>
            <w:r>
              <w:rPr>
                <w:rFonts w:ascii="Ubuntu" w:hAnsi="Ubuntu" w:cs="Ubuntu"/>
                <w:sz w:val="21"/>
                <w:szCs w:val="21"/>
              </w:rPr>
              <w:t xml:space="preserve">¿Algún cliente objetivo está vigilado por la Superintendencia Financiera (Circular 007)?</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CM Consulting – Dirección</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30-Oct-26</w:t>
            </w:r>
          </w:p>
        </w:tc>
      </w:tr>
      <w:tr>
        <w:tc>
          <w:tcPr>
            <w:tcW w:w="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11</w:t>
            </w:r>
          </w:p>
        </w:tc>
        <w:tc>
          <w:tcPr>
            <w:tcW w:w="4438"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Confirmar nombres inferidos de la grabación: extractor financiero (0FI_GL_14 en ECC; en S/4HANA, extractores sobre ACDOCA), el rubro 'PIGs' (propiedad, planta y equipo), los dividendos de R17 y R18, los nombres de los extractores de activos fijos (p. ej. 0FI_AA_11 / 0FI_AA_12) y de deterioros, si deterioros se refiere a cartera o a activos, y que el presupuesto quede registrado en el ledger que lee 0FI_GL_14.</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Consultor SAP BPC</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30-Oct-26</w:t>
            </w:r>
          </w:p>
        </w:tc>
      </w:tr>
      <w:tr>
        <w:tc>
          <w:tcPr>
            <w:tcW w:w="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12</w:t>
            </w:r>
          </w:p>
        </w:tc>
        <w:tc>
          <w:tcPr>
            <w:tcW w:w="4438" w:type="dxa"/>
            <w:tcMar>
              <w:top w:w="80" w:type="dxa"/>
              <w:left w:w="120" w:type="dxa"/>
              <w:bottom w:w="80" w:type="dxa"/>
              <w:right w:w="120" w:type="dxa"/>
            </w:tcMar>
            <w:vAlign w:val="center"/>
          </w:tcPr>
          <w:p>
            <w:pPr>
              <w:spacing w:after="0"/>
              <w:jc w:val="both"/>
            </w:pPr>
            <w:r>
              <w:rPr>
                <w:rFonts w:ascii="Ubuntu" w:hAnsi="Ubuntu" w:cs="Ubuntu"/>
                <w:sz w:val="21"/>
                <w:szCs w:val="21"/>
              </w:rPr>
              <w:t xml:space="preserve">¿Cómo leen BW los reportes de activos fijos y deterioros con EPM add-in: conexión directa a consultas BW o un resumen en BPC? Se define en arquitectura.</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CM Consulting – Arquitectura</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30-Oct-26</w:t>
            </w:r>
          </w:p>
        </w:tc>
      </w:tr>
      <w:tr>
        <w:tc>
          <w:tcPr>
            <w:tcW w:w="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13</w:t>
            </w:r>
          </w:p>
        </w:tc>
        <w:tc>
          <w:tcPr>
            <w:tcW w:w="4438" w:type="dxa"/>
            <w:tcMar>
              <w:top w:w="80" w:type="dxa"/>
              <w:left w:w="120" w:type="dxa"/>
              <w:bottom w:w="80" w:type="dxa"/>
              <w:right w:w="120" w:type="dxa"/>
            </w:tcMar>
            <w:vAlign w:val="center"/>
          </w:tcPr>
          <w:p>
            <w:pPr>
              <w:spacing w:after="0"/>
              <w:jc w:val="both"/>
            </w:pPr>
            <w:r>
              <w:rPr>
                <w:rFonts w:ascii="Ubuntu" w:hAnsi="Ubuntu" w:cs="Ubuntu"/>
                <w:sz w:val="21"/>
                <w:szCs w:val="21"/>
              </w:rPr>
              <w:t xml:space="preserve">Para una versión posterior (B fuera de la versión 1): ¿EPM add-in sirve como herramienta de reportes con BPC modelo embebido (arquitectura B), donde SAP orienta hacia Analysis for Office?</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CM Consulting – Arquitectura</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30-Oct-26</w:t>
            </w:r>
          </w:p>
        </w:tc>
      </w:tr>
      <w:tr>
        <w:tc>
          <w:tcPr>
            <w:tcW w:w="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14</w:t>
            </w:r>
          </w:p>
        </w:tc>
        <w:tc>
          <w:tcPr>
            <w:tcW w:w="4438" w:type="dxa"/>
            <w:tcMar>
              <w:top w:w="80" w:type="dxa"/>
              <w:left w:w="120" w:type="dxa"/>
              <w:bottom w:w="80" w:type="dxa"/>
              <w:right w:w="120" w:type="dxa"/>
            </w:tcMar>
            <w:vAlign w:val="center"/>
          </w:tcPr>
          <w:p>
            <w:pPr>
              <w:spacing w:after="0"/>
              <w:jc w:val="both"/>
            </w:pPr>
            <w:r>
              <w:rPr>
                <w:rFonts w:ascii="Ubuntu" w:hAnsi="Ubuntu" w:cs="Ubuntu"/>
                <w:sz w:val="21"/>
                <w:szCs w:val="21"/>
              </w:rPr>
              <w:t xml:space="preserve">Tolerancia de redondeo para la validación de cuadre (RN-16) y umbral de diferencia que marca una pareja en la conciliación intercompañía (RF-34). ¿Fijos o configurables por cliente?</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Consultor SAP BPC</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30-Oct-26</w:t>
            </w:r>
          </w:p>
        </w:tc>
      </w:tr>
      <w:tr>
        <w:tc>
          <w:tcPr>
            <w:tcW w:w="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15</w:t>
            </w:r>
          </w:p>
        </w:tc>
        <w:tc>
          <w:tcPr>
            <w:tcW w:w="4438"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Confirmar los métodos de consolidación de RN-13 y su tratamiento, y si las cuentas de destino de la eliminación de inversión, el interés minoritario y la diferencia en conversión se configuran por cliente.</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Consultor SAP BPC</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30-Oct-26</w:t>
            </w:r>
          </w:p>
        </w:tc>
      </w:tr>
      <w:tr>
        <w:tc>
          <w:tcPr>
            <w:tcW w:w="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16</w:t>
            </w:r>
          </w:p>
        </w:tc>
        <w:tc>
          <w:tcPr>
            <w:tcW w:w="44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moneda de presentación del grupo debe poder configurarse (p. ej. peso chileno o peso colombiano) o siempre es el dólar (RN-06)?</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CM Consulting – Dirección</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30-Oct-26</w:t>
            </w:r>
          </w:p>
        </w:tc>
      </w:tr>
      <w:tr>
        <w:tc>
          <w:tcPr>
            <w:tcW w:w="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17</w:t>
            </w:r>
          </w:p>
        </w:tc>
        <w:tc>
          <w:tcPr>
            <w:tcW w:w="4438" w:type="dxa"/>
            <w:tcMar>
              <w:top w:w="80" w:type="dxa"/>
              <w:left w:w="120" w:type="dxa"/>
              <w:bottom w:w="80" w:type="dxa"/>
              <w:right w:w="120" w:type="dxa"/>
            </w:tcMar>
            <w:vAlign w:val="center"/>
          </w:tcPr>
          <w:p>
            <w:pPr>
              <w:spacing w:after="0"/>
              <w:jc w:val="both"/>
            </w:pPr>
            <w:r>
              <w:rPr>
                <w:rFonts w:ascii="Ubuntu" w:hAnsi="Ubuntu" w:cs="Ubuntu"/>
                <w:sz w:val="21"/>
                <w:szCs w:val="21"/>
              </w:rPr>
              <w:t xml:space="preserve">Para una versión posterior (B fuera de la versión 1): ¿los asientos de ajuste (RF-35), el bloqueo por sociedad (RF-37) y el flujo de cierre (RF-38) están disponibles en BPC modelo embebido (arquitectura B)?</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CM Consulting – Arquitectura</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30-Oct-26</w:t>
            </w:r>
          </w:p>
        </w:tc>
      </w:tr>
      <w:tr>
        <w:tc>
          <w:tcPr>
            <w:tcW w:w="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18</w:t>
            </w:r>
          </w:p>
        </w:tc>
        <w:tc>
          <w:tcPr>
            <w:tcW w:w="4438" w:type="dxa"/>
            <w:tcMar>
              <w:top w:w="80" w:type="dxa"/>
              <w:left w:w="120" w:type="dxa"/>
              <w:bottom w:w="80" w:type="dxa"/>
              <w:right w:w="120" w:type="dxa"/>
            </w:tcMar>
            <w:vAlign w:val="center"/>
          </w:tcPr>
          <w:p>
            <w:pPr>
              <w:spacing w:after="0"/>
              <w:jc w:val="both"/>
            </w:pPr>
            <w:r>
              <w:rPr>
                <w:rFonts w:ascii="Ubuntu" w:hAnsi="Ubuntu" w:cs="Ubuntu"/>
                <w:sz w:val="21"/>
                <w:szCs w:val="21"/>
              </w:rPr>
              <w:t xml:space="preserve">Versiones exactas de BW/4HANA y BPC 2021 para la variante de RNF-Comp-05 y ambiente disponible para probarla.</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CM Consulting – Dirección</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30-Oct-26</w:t>
            </w:r>
          </w:p>
        </w:tc>
      </w:tr>
    </w:tbl>
    <w:p>
      <w:pPr>
        <w:spacing w:after="0"/>
      </w:pPr>
    </w:p>
    <w:p>
      <w:pPr>
        <w:spacing w:before="0" w:after="120" w:line="288" w:lineRule="auto"/>
        <w:jc w:val="both"/>
      </w:pPr>
      <w:r>
        <w:rPr>
          <w:rFonts w:ascii="Ubuntu" w:hAnsi="Ubuntu" w:cs="Ubuntu"/>
          <w:sz w:val="22"/>
          <w:szCs w:val="22"/>
        </w:rPr>
        <w:t xml:space="preserve">No quedan preguntas críticas abiertas. Las preguntas de esta tabla se resuelven durante las fases de UX y arquitectura sin cambiar el alcance.</w:t>
      </w:r>
    </w:p>
    <w:p>
      <w:r>
        <w:br w:type="page"/>
      </w:r>
    </w:p>
    <w:p>
      <w:pPr>
        <w:pStyle w:val="Heading1"/>
        <w:spacing w:before="360" w:after="160"/>
        <w:jc w:val="left"/>
      </w:pPr>
      <w:r>
        <w:rPr>
          <w:rFonts w:ascii="Ubuntu" w:hAnsi="Ubuntu" w:cs="Ubuntu"/>
          <w:b/>
          <w:bCs/>
          <w:color w:val="365F91"/>
          <w:sz w:val="32"/>
          <w:szCs w:val="32"/>
        </w:rPr>
        <w:t xml:space="preserve">13. Aprobación</w:t>
      </w:r>
    </w:p>
    <w:p>
      <w:pPr>
        <w:spacing w:before="0" w:after="120" w:line="288" w:lineRule="auto"/>
        <w:jc w:val="both"/>
      </w:pPr>
      <w:r>
        <w:rPr>
          <w:rFonts w:ascii="Ubuntu" w:hAnsi="Ubuntu" w:cs="Ubuntu"/>
          <w:sz w:val="22"/>
          <w:szCs w:val="22"/>
        </w:rPr>
        <w:t xml:space="preserve">Mediante la firma del presente documento, el área de CM Consulting SAS responsable del producto aprueba esta línea base funcional. A partir de la firma, cualquier cambio a los requerimientos RF, RNF, RN e INT sigue el control de cambios formal.</w:t>
      </w:r>
    </w:p>
    <w:p>
      <w:pPr>
        <w:spacing w:after="0"/>
      </w:pPr>
    </w:p>
    <w:p>
      <w:pPr>
        <w:spacing w:after="0"/>
      </w:pP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2800"/>
        <w:gridCol w:w="6038"/>
      </w:tblGrid>
      <w:tr>
        <w:trPr>
          <w:tblHeader/>
        </w:trPr>
        <w:tc>
          <w:tcPr>
            <w:tcW w:w="2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Campo</w:t>
            </w:r>
          </w:p>
        </w:tc>
        <w:tc>
          <w:tcPr>
            <w:tcW w:w="60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Información</w:t>
            </w:r>
          </w:p>
        </w:tc>
      </w:tr>
      <w:tr>
        <w:tc>
          <w:tcPr>
            <w:tcW w:w="2800" w:type="dxa"/>
            <w:tcMar>
              <w:top w:w="80" w:type="dxa"/>
              <w:left w:w="120" w:type="dxa"/>
              <w:bottom w:w="80" w:type="dxa"/>
              <w:right w:w="120" w:type="dxa"/>
            </w:tcMar>
            <w:vAlign w:val="center"/>
          </w:tcPr>
          <w:p>
            <w:pPr>
              <w:spacing w:after="0"/>
              <w:jc w:val="both"/>
            </w:pPr>
            <w:r>
              <w:rPr>
                <w:rFonts w:ascii="Ubuntu" w:hAnsi="Ubuntu" w:cs="Ubuntu"/>
                <w:sz w:val="21"/>
                <w:szCs w:val="21"/>
              </w:rPr>
              <w:t xml:space="preserve">Área responsable del producto</w:t>
            </w:r>
          </w:p>
        </w:tc>
        <w:tc>
          <w:tcPr>
            <w:tcW w:w="6038" w:type="dxa"/>
            <w:tcMar>
              <w:top w:w="80" w:type="dxa"/>
              <w:left w:w="120" w:type="dxa"/>
              <w:bottom w:w="80" w:type="dxa"/>
              <w:right w:w="120" w:type="dxa"/>
            </w:tcMar>
            <w:vAlign w:val="center"/>
          </w:tcPr>
          <w:p>
            <w:pPr>
              <w:spacing w:after="0"/>
              <w:jc w:val="both"/>
            </w:pPr>
            <w:r>
              <w:rPr>
                <w:rFonts w:ascii="Ubuntu" w:hAnsi="Ubuntu" w:cs="Ubuntu"/>
                <w:sz w:val="21"/>
                <w:szCs w:val="21"/>
              </w:rPr>
              <w:t xml:space="preserve"/>
            </w:r>
          </w:p>
        </w:tc>
      </w:tr>
      <w:tr>
        <w:tc>
          <w:tcPr>
            <w:tcW w:w="28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Nombre</w:t>
            </w:r>
          </w:p>
        </w:tc>
        <w:tc>
          <w:tcPr>
            <w:tcW w:w="6038" w:type="dxa"/>
            <w:tcMar>
              <w:top w:w="80" w:type="dxa"/>
              <w:left w:w="120" w:type="dxa"/>
              <w:bottom w:w="80" w:type="dxa"/>
              <w:right w:w="120" w:type="dxa"/>
            </w:tcMar>
            <w:vAlign w:val="center"/>
          </w:tcPr>
          <w:p>
            <w:pPr>
              <w:spacing w:after="0"/>
              <w:jc w:val="both"/>
            </w:pPr>
            <w:r>
              <w:rPr>
                <w:rFonts w:ascii="Ubuntu" w:hAnsi="Ubuntu" w:cs="Ubuntu"/>
                <w:sz w:val="21"/>
                <w:szCs w:val="21"/>
              </w:rPr>
              <w:t xml:space="preserve"/>
            </w:r>
          </w:p>
        </w:tc>
      </w:tr>
      <w:tr>
        <w:tc>
          <w:tcPr>
            <w:tcW w:w="2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Cargo</w:t>
            </w:r>
          </w:p>
        </w:tc>
        <w:tc>
          <w:tcPr>
            <w:tcW w:w="6038" w:type="dxa"/>
            <w:tcMar>
              <w:top w:w="80" w:type="dxa"/>
              <w:left w:w="120" w:type="dxa"/>
              <w:bottom w:w="80" w:type="dxa"/>
              <w:right w:w="120" w:type="dxa"/>
            </w:tcMar>
            <w:vAlign w:val="center"/>
          </w:tcPr>
          <w:p>
            <w:pPr>
              <w:spacing w:after="0"/>
              <w:jc w:val="both"/>
            </w:pPr>
            <w:r>
              <w:rPr>
                <w:rFonts w:ascii="Ubuntu" w:hAnsi="Ubuntu" w:cs="Ubuntu"/>
                <w:sz w:val="21"/>
                <w:szCs w:val="21"/>
              </w:rPr>
              <w:t xml:space="preserve"/>
            </w:r>
          </w:p>
        </w:tc>
      </w:tr>
      <w:tr>
        <w:tc>
          <w:tcPr>
            <w:tcW w:w="2800" w:type="dxa"/>
            <w:tcMar>
              <w:top w:w="80" w:type="dxa"/>
              <w:left w:w="120" w:type="dxa"/>
              <w:bottom w:w="80" w:type="dxa"/>
              <w:right w:w="120" w:type="dxa"/>
            </w:tcMar>
            <w:vAlign w:val="center"/>
          </w:tcPr>
          <w:p>
            <w:pPr>
              <w:spacing w:after="0"/>
              <w:jc w:val="both"/>
            </w:pPr>
            <w:r>
              <w:rPr>
                <w:rFonts w:ascii="Ubuntu" w:hAnsi="Ubuntu" w:cs="Ubuntu"/>
                <w:sz w:val="21"/>
                <w:szCs w:val="21"/>
              </w:rPr>
              <w:t xml:space="preserve">Fecha de aprobación</w:t>
            </w:r>
          </w:p>
        </w:tc>
        <w:tc>
          <w:tcPr>
            <w:tcW w:w="6038" w:type="dxa"/>
            <w:tcMar>
              <w:top w:w="80" w:type="dxa"/>
              <w:left w:w="120" w:type="dxa"/>
              <w:bottom w:w="80" w:type="dxa"/>
              <w:right w:w="120" w:type="dxa"/>
            </w:tcMar>
            <w:vAlign w:val="center"/>
          </w:tcPr>
          <w:p>
            <w:pPr>
              <w:spacing w:after="0"/>
              <w:jc w:val="both"/>
            </w:pPr>
            <w:r>
              <w:rPr>
                <w:rFonts w:ascii="Ubuntu" w:hAnsi="Ubuntu" w:cs="Ubuntu"/>
                <w:sz w:val="21"/>
                <w:szCs w:val="21"/>
              </w:rPr>
              <w:t xml:space="preserve"/>
            </w:r>
          </w:p>
        </w:tc>
      </w:tr>
      <w:tr>
        <w:tc>
          <w:tcPr>
            <w:tcW w:w="2800" w:type="dxa"/>
            <w:tcMar>
              <w:top w:w="80" w:type="dxa"/>
              <w:left w:w="120" w:type="dxa"/>
              <w:bottom w:w="80" w:type="dxa"/>
              <w:right w:w="120" w:type="dxa"/>
            </w:tcMar>
            <w:vAlign w:val="center"/>
          </w:tcPr>
          <w:p>
            <w:pPr>
              <w:spacing w:after="0"/>
              <w:jc w:val="both"/>
            </w:pPr>
            <w:r>
              <w:rPr>
                <w:rFonts w:ascii="Ubuntu" w:hAnsi="Ubuntu" w:cs="Ubuntu"/>
                <w:sz w:val="21"/>
                <w:szCs w:val="21"/>
              </w:rPr>
              <w:t xml:space="preserve">Firma</w:t>
            </w:r>
          </w:p>
        </w:tc>
        <w:tc>
          <w:tcPr>
            <w:tcW w:w="6038" w:type="dxa"/>
            <w:tcMar>
              <w:top w:w="80" w:type="dxa"/>
              <w:left w:w="120" w:type="dxa"/>
              <w:bottom w:w="80" w:type="dxa"/>
              <w:right w:w="120" w:type="dxa"/>
            </w:tcMar>
            <w:vAlign w:val="center"/>
          </w:tcPr>
          <w:p>
            <w:pPr>
              <w:spacing w:after="0"/>
              <w:jc w:val="both"/>
            </w:pPr>
            <w:r>
              <w:rPr>
                <w:rFonts w:ascii="Ubuntu" w:hAnsi="Ubuntu" w:cs="Ubuntu"/>
                <w:sz w:val="21"/>
                <w:szCs w:val="21"/>
              </w:rPr>
              <w:t xml:space="preserve"/>
            </w:r>
          </w:p>
        </w:tc>
      </w:tr>
    </w:tbl>
    <w:p>
      <w:pPr>
        <w:spacing w:after="0"/>
      </w:pPr>
    </w:p>
    <w:sectPr w:rsidR="00710EEC" w:rsidRPr="00A95390" w:rsidSect="009B462A">
      <w:headerReference w:type="even" r:id="rId12"/>
      <w:headerReference w:type="default" r:id="rId13"/>
      <w:footerReference w:type="default" r:id="rId14"/>
      <w:headerReference w:type="first" r:id="rId15"/>
      <w:footerReference w:type="first" r:id="rId16"/>
      <w:type w:val="continuous"/>
      <w:pgSz w:w="12240" w:h="15840"/>
      <w:pgMar w:top="2268" w:right="1701" w:bottom="1701"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2EEAB" w14:textId="77777777" w:rsidR="007306DA" w:rsidRDefault="007306DA" w:rsidP="00926CDD">
      <w:r>
        <w:separator/>
      </w:r>
    </w:p>
    <w:p w14:paraId="04BB047F" w14:textId="77777777" w:rsidR="007306DA" w:rsidRDefault="007306DA" w:rsidP="00926CDD"/>
    <w:p w14:paraId="15A81EAE" w14:textId="77777777" w:rsidR="007306DA" w:rsidRDefault="007306DA"/>
  </w:endnote>
  <w:endnote w:type="continuationSeparator" w:id="0">
    <w:p w14:paraId="3F025CDB" w14:textId="77777777" w:rsidR="007306DA" w:rsidRDefault="007306DA" w:rsidP="00926CDD">
      <w:r>
        <w:continuationSeparator/>
      </w:r>
    </w:p>
    <w:p w14:paraId="58B103EA" w14:textId="77777777" w:rsidR="007306DA" w:rsidRDefault="007306DA" w:rsidP="00926CDD"/>
    <w:p w14:paraId="19F0175B" w14:textId="77777777" w:rsidR="007306DA" w:rsidRDefault="007306DA"/>
  </w:endnote>
  <w:endnote w:type="continuationNotice" w:id="1">
    <w:p w14:paraId="237AEBE0" w14:textId="77777777" w:rsidR="007306DA" w:rsidRDefault="007306DA" w:rsidP="00926CDD"/>
    <w:p w14:paraId="3DB7B708" w14:textId="77777777" w:rsidR="007306DA" w:rsidRDefault="007306DA" w:rsidP="00926CDD"/>
    <w:p w14:paraId="4BF592C2" w14:textId="77777777" w:rsidR="007306DA" w:rsidRDefault="007306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Ubuntu">
    <w:panose1 w:val="020B05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41670" w14:textId="61FC0D77" w:rsidR="006F3393" w:rsidRDefault="00E65E56">
    <w:pPr>
      <w:pStyle w:val="Footer"/>
      <w:jc w:val="center"/>
    </w:pPr>
    <w:r w:rsidRPr="00B76DA9">
      <w:rPr>
        <w:noProof/>
      </w:rPr>
      <mc:AlternateContent>
        <mc:Choice Requires="wps">
          <w:drawing>
            <wp:anchor distT="0" distB="0" distL="114300" distR="114300" simplePos="0" relativeHeight="251658250" behindDoc="1" locked="0" layoutInCell="1" allowOverlap="1" wp14:anchorId="38C08485" wp14:editId="68FFA6A2">
              <wp:simplePos x="0" y="0"/>
              <wp:positionH relativeFrom="column">
                <wp:posOffset>-1471295</wp:posOffset>
              </wp:positionH>
              <wp:positionV relativeFrom="paragraph">
                <wp:posOffset>104008</wp:posOffset>
              </wp:positionV>
              <wp:extent cx="8593200" cy="1068705"/>
              <wp:effectExtent l="0" t="0" r="0" b="0"/>
              <wp:wrapNone/>
              <wp:docPr id="36" name="Flowchart: Manual Input 36"/>
              <wp:cNvGraphicFramePr/>
              <a:graphic xmlns:a="http://schemas.openxmlformats.org/drawingml/2006/main">
                <a:graphicData uri="http://schemas.microsoft.com/office/word/2010/wordprocessingShape">
                  <wps:wsp>
                    <wps:cNvSpPr/>
                    <wps:spPr>
                      <a:xfrm>
                        <a:off x="0" y="0"/>
                        <a:ext cx="8593200" cy="1068705"/>
                      </a:xfrm>
                      <a:prstGeom prst="flowChartManualInput">
                        <a:avLst/>
                      </a:prstGeom>
                      <a:solidFill>
                        <a:srgbClr val="144E8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DA7E8EA" id="_x0000_t118" coordsize="21600,21600" o:spt="118" path="m,4292l21600,r,21600l,21600xe">
              <v:stroke joinstyle="miter"/>
              <v:path gradientshapeok="t" o:connecttype="custom" o:connectlocs="10800,2146;0,10800;10800,21600;21600,10800" textboxrect="0,4291,21600,21600"/>
            </v:shapetype>
            <v:shape id="Flowchart: Manual Input 36" o:spid="_x0000_s1026" type="#_x0000_t118" style="position:absolute;margin-left:-115.85pt;margin-top:8.2pt;width:676.65pt;height:84.15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0EKpwIAAKYFAAAOAAAAZHJzL2Uyb0RvYy54bWysVN1P2zAQf5+0/8Hy+0haKJSIFFVlnZAY VIOJZ9exm0iO7dnu1/763dlJYAztYVoeHJ/v7nffd3V9aBXZCecbo0s6OskpEZqbqtGbkn5/Wn6a UuID0xVTRouSHoWn17OPH672thBjUxtVCUcARPtib0tah2CLLPO8Fi3zJ8YKDUxpXMsCkG6TVY7t Ab1V2TjPz7O9cZV1hgvv4fUmMeks4kspeHiQ0otAVEnBtxBPF881ntnsihUbx2zd8M4N9g9etKzR YHSAumGBka1r/oBqG+6MNzKccNNmRsqGixgDRDPK30TzWDMrYiyQHG+HNPn/B8vvdytHmqqkp+eU aNZCjZbK7HnNXCjIV6a3TJFbbbeBgASka299AVqPduU6ysMVYz9I1+IfoiKHmOLjkGJxCITD43Ry eQp1o4QDb5SfTy/yCaJmL+rW+fBFmJbgpaQSvFmgN8mX6EpMNdvd+ZBUexW07o1qqmWjVCTcZr1Q juwY1H90dvZ5uuis/SamNAprg2oJEV8yDDUFF2/hqATKKf1NSMgZhDOOnsRuFYMdxrnQYZRYNatE Mj/J4eutY3+jRow8AiKyBPsDdgfQSyaQHjt52cmjqojNPijnf3MsKQ8a0bLRYVBuG23cewAKouos J/k+SSk1mKW1qY7QUc6kUfOWLxuo4x3zYcUczBbUHvZFeIADS1tS090oqY37+d47ykPLA5eSPcxq Sf2PLXOCEnWrYRguobI43JE4m1yMgXCvOevXHL1tFwbbATaT5fGK8kH1V+lM+wxrZY5WgcU0B9sl 5cH1xCKkHQKLiYv5PIrBQFsW7vSj5QiOWcW+fDo8M2e7Zg4wB/emn2tWvOnhJIua2sy3wcgmNvhL Xrt8wzKIjdMtLtw2r+ko9bJeZ78AAAD//wMAUEsDBBQABgAIAAAAIQBMpxmW4AAAAAwBAAAPAAAA ZHJzL2Rvd25yZXYueG1sTI/BTsMwDIbvSLxDZCRuW9putFVpOiGkcQIhBkgcs8a01RqnarItvD3e CW62/k+/P9ebaEdxwtkPjhSkywQEUuvMQJ2Cj/ftogThgyajR0eo4Ac9bJrrq1pXxp3pDU+70Aku IV9pBX0IUyWlb3u02i/dhMTZt5utDrzOnTSzPnO5HWWWJLm0eiC+0OsJH3tsD7ujVXD3OngsV5+9 +Xp2sTi8ZNv4ZJW6vYkP9yACxvAHw0Wf1aFhp707kvFiVLDIVmnBLCf5GsSFSLM0B7HnqVwXIJta /n+i+QUAAP//AwBQSwECLQAUAAYACAAAACEAtoM4kv4AAADhAQAAEwAAAAAAAAAAAAAAAAAAAAAA W0NvbnRlbnRfVHlwZXNdLnhtbFBLAQItABQABgAIAAAAIQA4/SH/1gAAAJQBAAALAAAAAAAAAAAA AAAAAC8BAABfcmVscy8ucmVsc1BLAQItABQABgAIAAAAIQCZ+0EKpwIAAKYFAAAOAAAAAAAAAAAA AAAAAC4CAABkcnMvZTJvRG9jLnhtbFBLAQItABQABgAIAAAAIQBMpxmW4AAAAAwBAAAPAAAAAAAA AAAAAAAAAAEFAABkcnMvZG93bnJldi54bWxQSwUGAAAAAAQABADzAAAADgYAAAAA " fillcolor="#144e8c" stroked="f" strokeweight="2pt"/>
          </w:pict>
        </mc:Fallback>
      </mc:AlternateContent>
    </w:r>
  </w:p>
  <w:sdt>
    <w:sdtPr>
      <w:id w:val="2128191080"/>
      <w:docPartObj>
        <w:docPartGallery w:val="Page Numbers (Bottom of Page)"/>
        <w:docPartUnique/>
      </w:docPartObj>
    </w:sdtPr>
    <w:sdtEndPr>
      <w:rPr>
        <w:noProof/>
      </w:rPr>
    </w:sdtEndPr>
    <w:sdtContent>
      <w:p w14:paraId="578E8609" w14:textId="77777777" w:rsidR="006F3393" w:rsidRDefault="006F3393" w:rsidP="008367FC">
        <w:pPr>
          <w:pStyle w:val="Footer"/>
          <w:jc w:val="center"/>
        </w:pPr>
      </w:p>
      <w:p w14:paraId="56C0AD2D" w14:textId="7C0EE1DE" w:rsidR="006F3393" w:rsidRDefault="006F3393" w:rsidP="008367FC">
        <w:pPr>
          <w:pStyle w:val="Footer"/>
          <w:jc w:val="center"/>
          <w:rPr>
            <w:noProof/>
          </w:rPr>
        </w:pPr>
        <w:r w:rsidRPr="00B76DA9">
          <w:rPr>
            <w:noProof/>
          </w:rPr>
          <w:drawing>
            <wp:anchor distT="0" distB="0" distL="114300" distR="114300" simplePos="0" relativeHeight="251658251" behindDoc="0" locked="0" layoutInCell="1" allowOverlap="1" wp14:anchorId="7E449359" wp14:editId="32A88492">
              <wp:simplePos x="0" y="0"/>
              <wp:positionH relativeFrom="column">
                <wp:posOffset>-885825</wp:posOffset>
              </wp:positionH>
              <wp:positionV relativeFrom="paragraph">
                <wp:posOffset>100198</wp:posOffset>
              </wp:positionV>
              <wp:extent cx="2375599" cy="577660"/>
              <wp:effectExtent l="0" t="0" r="571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rotWithShape="1">
                      <a:blip r:embed="rId1">
                        <a:extLst>
                          <a:ext uri="{28A0092B-C50C-407E-A947-70E740481C1C}">
                            <a14:useLocalDpi xmlns:a14="http://schemas.microsoft.com/office/drawing/2010/main" val="0"/>
                          </a:ext>
                        </a:extLst>
                      </a:blip>
                      <a:srcRect l="19827" t="42609" r="20024" b="42753"/>
                      <a:stretch/>
                    </pic:blipFill>
                    <pic:spPr bwMode="auto">
                      <a:xfrm>
                        <a:off x="0" y="0"/>
                        <a:ext cx="2375599" cy="57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6DA9">
          <w:rPr>
            <w:noProof/>
          </w:rPr>
          <mc:AlternateContent>
            <mc:Choice Requires="wps">
              <w:drawing>
                <wp:anchor distT="0" distB="0" distL="114300" distR="114300" simplePos="0" relativeHeight="251658252" behindDoc="0" locked="0" layoutInCell="1" allowOverlap="1" wp14:anchorId="4F14143C" wp14:editId="50592C0B">
                  <wp:simplePos x="0" y="0"/>
                  <wp:positionH relativeFrom="column">
                    <wp:posOffset>4308475</wp:posOffset>
                  </wp:positionH>
                  <wp:positionV relativeFrom="paragraph">
                    <wp:posOffset>28575</wp:posOffset>
                  </wp:positionV>
                  <wp:extent cx="2087880" cy="275590"/>
                  <wp:effectExtent l="0" t="0" r="7620" b="0"/>
                  <wp:wrapNone/>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880" cy="275590"/>
                          </a:xfrm>
                          <a:prstGeom prst="rect">
                            <a:avLst/>
                          </a:prstGeom>
                          <a:solidFill>
                            <a:srgbClr val="144E8C"/>
                          </a:solidFill>
                          <a:ln w="9525">
                            <a:noFill/>
                            <a:miter lim="800000"/>
                            <a:headEnd/>
                            <a:tailEnd/>
                          </a:ln>
                        </wps:spPr>
                        <wps:txbx>
                          <w:txbxContent>
                            <w:p w14:paraId="18CF7825" w14:textId="30BA33CF" w:rsidR="006F3393" w:rsidRPr="002766E0" w:rsidRDefault="006F3393" w:rsidP="008367FC">
                              <w:pPr>
                                <w:jc w:val="right"/>
                                <w:rPr>
                                  <w:color w:val="FDB813"/>
                                  <w:lang w:val="en-US"/>
                                </w:rPr>
                              </w:pPr>
                              <w:hyperlink r:id="rId2" w:history="1">
                                <w:r w:rsidRPr="002766E0">
                                  <w:rPr>
                                    <w:rStyle w:val="BodyText3Char"/>
                                    <w:rFonts w:eastAsiaTheme="minorEastAsia"/>
                                    <w:color w:val="FDB813"/>
                                  </w:rPr>
                                  <w:t>www.cmconsulting.com.co</w:t>
                                </w:r>
                              </w:hyperlink>
                            </w:p>
                          </w:txbxContent>
                        </wps:txbx>
                        <wps:bodyPr rot="0" vert="horz" wrap="square" lIns="91440" tIns="45720" rIns="91440" bIns="45720" anchor="t" anchorCtr="0">
                          <a:spAutoFit/>
                        </wps:bodyPr>
                      </wps:wsp>
                    </a:graphicData>
                  </a:graphic>
                </wp:anchor>
              </w:drawing>
            </mc:Choice>
            <mc:Fallback>
              <w:pict>
                <v:shapetype w14:anchorId="4F14143C" id="_x0000_t202" coordsize="21600,21600" o:spt="202" path="m,l,21600r21600,l21600,xe">
                  <v:stroke joinstyle="miter"/>
                  <v:path gradientshapeok="t" o:connecttype="rect"/>
                </v:shapetype>
                <v:shape id="_x0000_s1028" type="#_x0000_t202" style="position:absolute;left:0;text-align:left;margin-left:339.25pt;margin-top:2.25pt;width:164.4pt;height:21.7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c7I+EwIAAP0DAAAOAAAAZHJzL2Uyb0RvYy54bWysU9tu2zAMfR+wfxD0vtgxksUxohRd2gwD ugvQ7QNkWY6FyaImKbG7rx8lp2nQvQ3zg0Ca5BF5eLS5GXtNTtJ5BYbR+SynRBoBjTIHRn98378r KfGBm4ZrMJLRJ+npzfbtm81gK1lAB7qRjiCI8dVgGe1CsFWWedHJnvsZWGkw2ILreUDXHbLG8QHR e50Vef4+G8A11oGQ3uPfuylItwm/baUIX9vWy0A0o9hbSKdLZx3PbLvh1cFx2ylxboP/Qxc9VwYv vUDd8cDJ0am/oHolHHhow0xAn0HbKiHTDDjNPH81zWPHrUyzIDneXmjy/w9WfDk92m+OhPEDjLjA NIS3DyB+emJg13FzkLfOwdBJ3uDF80hZNlhfnUsj1b7yEaQePkODS+bHAAlobF0fWcE5CaLjAp4u pMsxEIE/i7xclSWGBMaK1XK5TlvJePVcbZ0PHyX0JBqMOlxqQuenBx9iN7x6TomXedCq2Sutk+MO 9U47cuIogPlicV/u0gCv0rQhA6PrZbFMyAZifdJGrwIKVKue0TKP3ySZyMa9aVJK4EpPNnaizZme yMjETRjrkaiG0UWsjWzV0DwhXw4mPeL7QaMD95uSAbXIqP915E5Soj8Z5HyNjUfxJmexXBXouOtI fR3hRiAUo4GSydyFJPhEh73F3exVou2lk3PLqLHE5vk9RBFf+ynr5dVu/wAAAP//AwBQSwMEFAAG AAgAAAAhAFG3ic/gAAAADgEAAA8AAABkcnMvZG93bnJldi54bWxMT81OwzAMviPxDpGRuLGEv3Z0 TSfEhAQblwUeIGtCW9EkVZK26dvjneBiy/7s76fcJtOTSfvQOcvhdsWAaFs71dmGw9fn680aSIjS Ktk7qzksOsC2urwoZaHcbI96ErEhSGJDITm0MQ4FpaFutZFh5QZtEft23siIo2+o8nJGctPTO8Yy amRnUaGVg35pdf0jRsNhpkcvxl3y08fh8LaITLyn/cL59VXabbA8b4BEneLfB5wzoH+o0NjJjVYF 0nPI8vUjnnJ4wHbGGcvvgZxwkT8BrUr6P0b1CwAA//8DAFBLAQItABQABgAIAAAAIQC2gziS/gAA AOEBAAATAAAAAAAAAAAAAAAAAAAAAABbQ29udGVudF9UeXBlc10ueG1sUEsBAi0AFAAGAAgAAAAh ADj9If/WAAAAlAEAAAsAAAAAAAAAAAAAAAAALwEAAF9yZWxzLy5yZWxzUEsBAi0AFAAGAAgAAAAh AGlzsj4TAgAA/QMAAA4AAAAAAAAAAAAAAAAALgIAAGRycy9lMm9Eb2MueG1sUEsBAi0AFAAGAAgA AAAhAFG3ic/gAAAADgEAAA8AAAAAAAAAAAAAAAAAbQQAAGRycy9kb3ducmV2LnhtbFBLBQYAAAAA BAAEAPMAAAB6BQAAAAA= " fillcolor="#144e8c" stroked="f">
                  <v:textbox style="mso-fit-shape-to-text:t">
                    <w:txbxContent>
                      <w:p w14:paraId="18CF7825" w14:textId="30BA33CF" w:rsidR="006F3393" w:rsidRPr="002766E0" w:rsidRDefault="006F3393" w:rsidP="008367FC">
                        <w:pPr>
                          <w:jc w:val="right"/>
                          <w:rPr>
                            <w:color w:val="FDB813"/>
                            <w:lang w:val="en-US"/>
                          </w:rPr>
                        </w:pPr>
                        <w:hyperlink r:id="rId3" w:history="1">
                          <w:r w:rsidRPr="002766E0">
                            <w:rPr>
                              <w:rStyle w:val="BodyText3Char"/>
                              <w:rFonts w:eastAsiaTheme="minorEastAsia"/>
                              <w:color w:val="FDB813"/>
                            </w:rPr>
                            <w:t>www.cmconsulting.com.co</w:t>
                          </w:r>
                        </w:hyperlink>
                      </w:p>
                    </w:txbxContent>
                  </v:textbox>
                </v:shape>
              </w:pict>
            </mc:Fallback>
          </mc:AlternateContent>
        </w:r>
        <w:r w:rsidRPr="00B76DA9">
          <w:rPr>
            <w:noProof/>
          </w:rPr>
          <mc:AlternateContent>
            <mc:Choice Requires="wps">
              <w:drawing>
                <wp:anchor distT="0" distB="0" distL="114300" distR="114300" simplePos="0" relativeHeight="251658253" behindDoc="0" locked="0" layoutInCell="1" allowOverlap="1" wp14:anchorId="07FB9191" wp14:editId="590C2CE9">
                  <wp:simplePos x="0" y="0"/>
                  <wp:positionH relativeFrom="column">
                    <wp:posOffset>3912870</wp:posOffset>
                  </wp:positionH>
                  <wp:positionV relativeFrom="paragraph">
                    <wp:posOffset>256540</wp:posOffset>
                  </wp:positionV>
                  <wp:extent cx="2482850" cy="275590"/>
                  <wp:effectExtent l="0" t="0" r="0"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0" cy="275590"/>
                          </a:xfrm>
                          <a:prstGeom prst="rect">
                            <a:avLst/>
                          </a:prstGeom>
                          <a:solidFill>
                            <a:srgbClr val="144E8C"/>
                          </a:solidFill>
                          <a:ln w="9525">
                            <a:noFill/>
                            <a:miter lim="800000"/>
                            <a:headEnd/>
                            <a:tailEnd/>
                          </a:ln>
                        </wps:spPr>
                        <wps:txbx>
                          <w:txbxContent>
                            <w:p w14:paraId="6A40E5E7" w14:textId="77777777" w:rsidR="006F3393" w:rsidRPr="00716805" w:rsidRDefault="006F3393" w:rsidP="008367FC">
                              <w:pPr>
                                <w:jc w:val="right"/>
                                <w:rPr>
                                  <w:color w:val="FDB813"/>
                                  <w:lang w:val="en-US"/>
                                </w:rPr>
                              </w:pPr>
                              <w:hyperlink r:id="rId4" w:history="1">
                                <w:r w:rsidRPr="00716805">
                                  <w:rPr>
                                    <w:rStyle w:val="BodyText3Char"/>
                                    <w:rFonts w:eastAsiaTheme="minorEastAsia"/>
                                    <w:color w:val="FDB813"/>
                                  </w:rPr>
                                  <w:t>contactos@cmconsulting.com.co</w:t>
                                </w:r>
                              </w:hyperlink>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7FB9191" id="_x0000_s1035" type="#_x0000_t202" style="position:absolute;left:0;text-align:left;margin-left:308.1pt;margin-top:20.2pt;width:195.5pt;height:21.7pt;z-index:25165825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dzqMFAIAAP4DAAAOAAAAZHJzL2Uyb0RvYy54bWysU9tu2zAMfR+wfxD0vjjx4jUx4hRd2gwD ugvQ7QMUWY6FyaJGKbG7ry8lp2nQvQ3zgyCa5CF5eLS6HjrDjgq9Blvx2WTKmbISam33Ff/5Y/tu wZkPwtbCgFUVf1SeX6/fvln1rlQ5tGBqhYxArC97V/E2BFdmmZet6oSfgFOWnA1gJwKZuM9qFD2h dybLp9MPWQ9YOwSpvKe/t6OTrxN+0ygZvjWNV4GZilNvIZ2Yzl08s/VKlHsUrtXy1Ib4hy46oS0V PUPdiiDYAfVfUJ2WCB6aMJHQZdA0Wqo0A00zm76a5qEVTqVZiBzvzjT5/wcrvx4f3HdkYfgIAy0w DeHdPchfnlnYtMLu1Q0i9K0SNRWeRcqy3vnylBqp9qWPILv+C9S0ZHEIkICGBrvICs3JCJ0W8Hgm XQ2BSfqZzxf5oiCXJF9+VRTLtJVMlM/ZDn34pKBj8VJxpKUmdHG89yF2I8rnkFjMg9H1VhuTDNzv NgbZUZAAZvP53WKTBngVZizrK74s8iIhW4j5SRudDiRQo7uKL6bxGyUT2bizdQoJQpvxTp0Ye6In MjJyE4bdwHRN9d/H5EjXDupHIgxhFCQ9ILq0gH8460mMFfe/DwIVZ+azJdKX1HlUbzLmxVVOBl56 dpceYSVBVTxwNl43ISk+8eFuaDlbnXh76eTUM4ks0Xl6EFHFl3aKenm26ycAAAD//wMAUEsDBBQA BgAIAAAAIQAbe10Q4gAAAA8BAAAPAAAAZHJzL2Rvd25yZXYueG1sTE/LTsMwELwj8Q/WInGjdksV ojROhaiQgPZSwwe48ZJExHZkO4nz97gnuKy0O7PzKPdR92RC5ztrOKxXDAia2qrONBy+Pl8fciA+ SKNkbw1yWNDDvrq9KWWh7GzOOInQkCRifCE5tCEMBaW+blFLv7IDmoR9W6dlSKtrqHJyTuK6pxvG MqplZ5JDKwd8abH+EaPmMNOzE+Mhuul0PL4tIhPv8WPh/P4uHnZpPO+ABIzh7wOuHVJ+qFKwix2N 8qTnkK2zTaJy2LItkCuBsad0uXDIH3OgVUn/96h+AQAA//8DAFBLAQItABQABgAIAAAAIQC2gziS /gAAAOEBAAATAAAAAAAAAAAAAAAAAAAAAABbQ29udGVudF9UeXBlc10ueG1sUEsBAi0AFAAGAAgA AAAhADj9If/WAAAAlAEAAAsAAAAAAAAAAAAAAAAALwEAAF9yZWxzLy5yZWxzUEsBAi0AFAAGAAgA AAAhAJ53OowUAgAA/gMAAA4AAAAAAAAAAAAAAAAALgIAAGRycy9lMm9Eb2MueG1sUEsBAi0AFAAG AAgAAAAhABt7XRDiAAAADwEAAA8AAAAAAAAAAAAAAAAAbgQAAGRycy9kb3ducmV2LnhtbFBLBQYA AAAABAAEAPMAAAB9BQAAAAA= " fillcolor="#144e8c" stroked="f">
                  <v:textbox style="mso-fit-shape-to-text:t">
                    <w:txbxContent>
                      <w:p w14:paraId="6A40E5E7" w14:textId="77777777" w:rsidR="006F3393" w:rsidRPr="00716805" w:rsidRDefault="006F3393" w:rsidP="008367FC">
                        <w:pPr>
                          <w:jc w:val="right"/>
                          <w:rPr>
                            <w:color w:val="FDB813"/>
                            <w:lang w:val="en-US"/>
                          </w:rPr>
                        </w:pPr>
                        <w:hyperlink r:id="rId5" w:history="1">
                          <w:r w:rsidRPr="00716805">
                            <w:rPr>
                              <w:rStyle w:val="BodyText3Char"/>
                              <w:rFonts w:eastAsiaTheme="minorEastAsia"/>
                              <w:color w:val="FDB813"/>
                            </w:rPr>
                            <w:t>contactos@cmconsulting.com.co</w:t>
                          </w:r>
                        </w:hyperlink>
                      </w:p>
                    </w:txbxContent>
                  </v:textbox>
                </v:shape>
              </w:pict>
            </mc:Fallback>
          </mc:AlternateContent>
        </w:r>
        <w:r w:rsidRPr="00B76DA9">
          <w:rPr>
            <w:color w:val="FDB813"/>
          </w:rPr>
          <w:fldChar w:fldCharType="begin"/>
        </w:r>
        <w:r w:rsidRPr="00B76DA9">
          <w:rPr>
            <w:color w:val="FDB813"/>
          </w:rPr>
          <w:instrText xml:space="preserve"> PAGE   \* MERGEFORMAT </w:instrText>
        </w:r>
        <w:r w:rsidRPr="00B76DA9">
          <w:rPr>
            <w:color w:val="FDB813"/>
          </w:rPr>
          <w:fldChar w:fldCharType="separate"/>
        </w:r>
        <w:r>
          <w:rPr>
            <w:color w:val="FDB813"/>
          </w:rPr>
          <w:t>2</w:t>
        </w:r>
        <w:r w:rsidRPr="00B76DA9">
          <w:rPr>
            <w:noProof/>
            <w:color w:val="FDB813"/>
          </w:rPr>
          <w:fldChar w:fldCharType="end"/>
        </w:r>
      </w:p>
    </w:sdtContent>
  </w:sdt>
  <w:p w14:paraId="6E850D6A" w14:textId="3F563CB7" w:rsidR="006F3393" w:rsidRPr="000161F8" w:rsidRDefault="006F3393" w:rsidP="00926CDD">
    <w:pPr>
      <w:pStyle w:val="Footer"/>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6B9CD" w14:textId="49C80BB5" w:rsidR="006F3393" w:rsidRDefault="00E65E56" w:rsidP="00926CDD">
    <w:pPr>
      <w:pStyle w:val="Footer"/>
    </w:pPr>
    <w:r>
      <w:rPr>
        <w:noProof/>
      </w:rPr>
      <mc:AlternateContent>
        <mc:Choice Requires="wps">
          <w:drawing>
            <wp:anchor distT="0" distB="0" distL="114300" distR="114300" simplePos="0" relativeHeight="251658244" behindDoc="0" locked="0" layoutInCell="1" allowOverlap="1" wp14:anchorId="7D9E979B" wp14:editId="4C68EE98">
              <wp:simplePos x="0" y="0"/>
              <wp:positionH relativeFrom="column">
                <wp:posOffset>-1078230</wp:posOffset>
              </wp:positionH>
              <wp:positionV relativeFrom="paragraph">
                <wp:posOffset>-290830</wp:posOffset>
              </wp:positionV>
              <wp:extent cx="7812000" cy="1068705"/>
              <wp:effectExtent l="0" t="0" r="0" b="0"/>
              <wp:wrapNone/>
              <wp:docPr id="19" name="Flowchart: Manual Input 19"/>
              <wp:cNvGraphicFramePr/>
              <a:graphic xmlns:a="http://schemas.openxmlformats.org/drawingml/2006/main">
                <a:graphicData uri="http://schemas.microsoft.com/office/word/2010/wordprocessingShape">
                  <wps:wsp>
                    <wps:cNvSpPr/>
                    <wps:spPr>
                      <a:xfrm>
                        <a:off x="0" y="0"/>
                        <a:ext cx="7812000" cy="1068705"/>
                      </a:xfrm>
                      <a:prstGeom prst="flowChartManualInput">
                        <a:avLst/>
                      </a:prstGeom>
                      <a:solidFill>
                        <a:srgbClr val="144E8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597FAD3" id="_x0000_t118" coordsize="21600,21600" o:spt="118" path="m,4292l21600,r,21600l,21600xe">
              <v:stroke joinstyle="miter"/>
              <v:path gradientshapeok="t" o:connecttype="custom" o:connectlocs="10800,2146;0,10800;10800,21600;21600,10800" textboxrect="0,4291,21600,21600"/>
            </v:shapetype>
            <v:shape id="Flowchart: Manual Input 19" o:spid="_x0000_s1026" type="#_x0000_t118" style="position:absolute;margin-left:-84.9pt;margin-top:-22.9pt;width:615.1pt;height:84.15pt;z-index:25165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5BJ1pAIAAKYFAAAOAAAAZHJzL2Uyb0RvYy54bWysVF9P2zAQf5+072D5fSStWigRKarKOiEx QMDEs+vYTSTH59lu0+7T72yngQHaw7SX5M5397v/d3G5bxXZCesa0CUdneSUCM2havSmpD+eVl9m lDjPdMUUaFHSg3D0cv7500VnCjGGGlQlLEEQ7YrOlLT23hRZ5ngtWuZOwAiNQgm2ZR5Zu8kqyzpE b1U2zvPTrANbGQtcOIevV0lI5xFfSsH9nZROeKJKirH5+LXxuw7fbH7Bio1lpm54Hwb7hyha1mh0 OkBdMc/I1jbvoNqGW3Ag/QmHNgMpGy5iDpjNKH+TzWPNjIi5YHGcGcrk/h8sv93dW9JU2LtzSjRr sUcrBR2vmfUF+c70lilyrc3WE9TAcnXGFWj1aO5tzzkkQ+57advwx6zIPpb4MJRY7D3h+Hg2G2Hb sBMcZaP8dHaWTwNq9mJurPPfBLQkECWVGM0yRJNiiaHEUrPdjfPJ9GgSvDtQTbVqlIqM3ayXypId w/6PJpOvs2Xv7Q81pYOyhmCWEMNLFlJNyUXKH5QIeko/CIk1w3TGMZI4rWLwwzgX2o+SqGaVSO6n mHccOMx1sIiZR8CALNH/gN0DhE14j52i7PWDqYjDPhjnfwssGQ8W0TNoPxi3jQb7EYDCrHrPSf9Y pFSaUKU1VAecKAtp1Zzhqwb7eMOcv2cWdwt7j/fC3+EntLak0FOU1GB/ffQe9HHkUUpJh7taUvdz y6ygRF1rXIZz7GxY7shMpmdjZOxryfq1RG/bJYRxwMtkeCSDvldHUlpon/GsLIJXFDHN0XdJubdH ZunTDcHDxMViEdVwoQ3zN/rR8AAeqhrm8mn/zKzph9njHtzCca9Z8WaGk26w1LDYepBNHPCXuvb1 xmMQB6c/XOHavOaj1st5nf8GAAD//wMAUEsDBBQABgAIAAAAIQDIIpt24AAAAA0BAAAPAAAAZHJz L2Rvd25yZXYueG1sTI/BTsMwDIbvSLxDZCRuW7KyllGaTghpnECIARLHrDFNtcapmmwrb493gttn +dfvz9V68r044hi7QBoWcwUCqQm2o1bDx/tmtgIRkyFr+kCo4QcjrOvLi8qUNpzoDY/b1AouoVga DS6loZQyNg69ifMwIPHuO4zeJB7HVtrRnLjc9zJTqpDedMQXnBnw0WGz3x68hvy1i7i6+XT26zlM t/uXbDM9ea2vr6aHexAJp/QXhrM+q0PNTrtwIBtFr2G2KO7YPTEtc4ZzRBVqCWLHlGU5yLqS/7+o fwEAAP//AwBQSwECLQAUAAYACAAAACEAtoM4kv4AAADhAQAAEwAAAAAAAAAAAAAAAAAAAAAAW0Nv bnRlbnRfVHlwZXNdLnhtbFBLAQItABQABgAIAAAAIQA4/SH/1gAAAJQBAAALAAAAAAAAAAAAAAAA AC8BAABfcmVscy8ucmVsc1BLAQItABQABgAIAAAAIQCo5BJ1pAIAAKYFAAAOAAAAAAAAAAAAAAAA AC4CAABkcnMvZTJvRG9jLnhtbFBLAQItABQABgAIAAAAIQDIIpt24AAAAA0BAAAPAAAAAAAAAAAA AAAAAP4EAABkcnMvZG93bnJldi54bWxQSwUGAAAAAAQABADzAAAACwYAAAAA " fillcolor="#144e8c" stroked="f" strokeweight="2pt"/>
          </w:pict>
        </mc:Fallback>
      </mc:AlternateContent>
    </w:r>
    <w:r w:rsidR="006F3393">
      <w:rPr>
        <w:noProof/>
      </w:rPr>
      <mc:AlternateContent>
        <mc:Choice Requires="wps">
          <w:drawing>
            <wp:anchor distT="0" distB="0" distL="114300" distR="114300" simplePos="0" relativeHeight="251658247" behindDoc="0" locked="0" layoutInCell="1" allowOverlap="1" wp14:anchorId="09BBEC2D" wp14:editId="1A760662">
              <wp:simplePos x="0" y="0"/>
              <wp:positionH relativeFrom="column">
                <wp:posOffset>3911600</wp:posOffset>
              </wp:positionH>
              <wp:positionV relativeFrom="paragraph">
                <wp:posOffset>254000</wp:posOffset>
              </wp:positionV>
              <wp:extent cx="2482850" cy="275590"/>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0" cy="275590"/>
                      </a:xfrm>
                      <a:prstGeom prst="rect">
                        <a:avLst/>
                      </a:prstGeom>
                      <a:solidFill>
                        <a:srgbClr val="144E8C"/>
                      </a:solidFill>
                      <a:ln w="9525">
                        <a:noFill/>
                        <a:miter lim="800000"/>
                        <a:headEnd/>
                        <a:tailEnd/>
                      </a:ln>
                    </wps:spPr>
                    <wps:txbx>
                      <w:txbxContent>
                        <w:p w14:paraId="32D96AF7" w14:textId="70BE677E" w:rsidR="006F3393" w:rsidRPr="00716805" w:rsidRDefault="006F3393" w:rsidP="002766E0">
                          <w:pPr>
                            <w:jc w:val="right"/>
                            <w:rPr>
                              <w:color w:val="FDB813"/>
                              <w:lang w:val="en-US"/>
                            </w:rPr>
                          </w:pPr>
                          <w:hyperlink r:id="rId1" w:history="1">
                            <w:r w:rsidRPr="00716805">
                              <w:rPr>
                                <w:rStyle w:val="Hyperlink"/>
                                <w:color w:val="FDB813"/>
                                <w:u w:val="none"/>
                              </w:rPr>
                              <w:t>contactos@cmconsulting.com.co</w:t>
                            </w:r>
                          </w:hyperlink>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09BBEC2D" id="_x0000_t202" coordsize="21600,21600" o:spt="202" path="m,l,21600r21600,l21600,xe">
              <v:stroke joinstyle="miter"/>
              <v:path gradientshapeok="t" o:connecttype="rect"/>
            </v:shapetype>
            <v:shape id="_x0000_s1036" type="#_x0000_t202" style="position:absolute;left:0;text-align:left;margin-left:308pt;margin-top:20pt;width:195.5pt;height:21.7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eqAiEgIAAP4DAAAOAAAAZHJzL2Uyb0RvYy54bWysU9tu2zAMfR+wfxD0vjgxkjUx4hRd2gwD ugvQ7QNkWY6FyaJGKbGzrx8lp2nQvQ3zgyCa5CF5eLS+HTrDjgq9Blvy2WTKmbISam33Jf/xffdu yZkPwtbCgFUlPynPbzdv36x7V6gcWjC1QkYg1he9K3kbgiuyzMtWdcJPwClLzgawE4FM3Gc1ip7Q O5Pl0+n7rAesHYJU3tPf+9HJNwm/aZQMX5vGq8BMyam3kE5MZxXPbLMWxR6Fa7U8tyH+oYtOaEtF L1D3Igh2QP0XVKclgocmTCR0GTSNlirNQNPMpq+meWqFU2kWIse7C03+/8HKL8cn9w1ZGD7AQAtM Q3j3CPKnZxa2rbB7dYcIfatETYVnkbKsd744p0aqfeEjSNV/hpqWLA4BEtDQYBdZoTkZodMCThfS 1RCYpJ/5fJkvF+SS5MtvFotV2komiudshz58VNCxeCk50lITujg++hC7EcVzSCzmweh6p41JBu6r rUF2FCSA2Xz+sNymAV6FGcv6kq8W+SIhW4j5SRudDiRQo7uSL6fxGyUT2XiwdQoJQpvxTp0Ye6Yn MjJyE4ZqYLqO9WNypKuC+kSEIYyCpAdElxbwN2c9ibHk/tdBoOLMfLJE+oo6j+pNxnxxk5OB157q 2iOsJKiSB87G6zYkxSc+3B0tZ6cTby+dnHsmkSU6zw8iqvjaTlEvz3bzBwAA//8DAFBLAwQUAAYA CAAAACEAmF2C3+EAAAAPAQAADwAAAGRycy9kb3ducmV2LnhtbEyPy07DMBBF90j8gzVI7KhdqEKV xqkQFRJQNjV8gBubJCIeR7bz+numK9jMQzNz555iP7uOjTbE1qOE9UoAs1h502It4evz5W4LLCaN RncerYTFRtiX11eFzo2f8GRHlWpGIhhzLaFJqc85j1VjnY4r31uk2bcPTidqQ81N0BOJu47fC5Fx p1ukD43u7XNjqx81OAkTPwU1HOYwfhyPr4vK1Nv8vkh5ezMfdhSedsCSndPfBVwYyD+UZOzsBzSR dRKydUZAScJGUL4sCPFI1VnC9mEDvCz4f47yFwAA//8DAFBLAQItABQABgAIAAAAIQC2gziS/gAA AOEBAAATAAAAAAAAAAAAAAAAAAAAAABbQ29udGVudF9UeXBlc10ueG1sUEsBAi0AFAAGAAgAAAAh ADj9If/WAAAAlAEAAAsAAAAAAAAAAAAAAAAALwEAAF9yZWxzLy5yZWxzUEsBAi0AFAAGAAgAAAAh AGN6oCISAgAA/gMAAA4AAAAAAAAAAAAAAAAALgIAAGRycy9lMm9Eb2MueG1sUEsBAi0AFAAGAAgA AAAhAJhdgt/hAAAADwEAAA8AAAAAAAAAAAAAAAAAbAQAAGRycy9kb3ducmV2LnhtbFBLBQYAAAAA BAAEAPMAAAB6BQAAAAA= " fillcolor="#144e8c" stroked="f">
              <v:textbox style="mso-fit-shape-to-text:t">
                <w:txbxContent>
                  <w:p w14:paraId="32D96AF7" w14:textId="70BE677E" w:rsidR="006F3393" w:rsidRPr="00716805" w:rsidRDefault="006F3393" w:rsidP="002766E0">
                    <w:pPr>
                      <w:jc w:val="right"/>
                      <w:rPr>
                        <w:color w:val="FDB813"/>
                        <w:lang w:val="en-US"/>
                      </w:rPr>
                    </w:pPr>
                    <w:hyperlink r:id="rId2" w:history="1">
                      <w:r w:rsidRPr="00716805">
                        <w:rPr>
                          <w:rStyle w:val="Hyperlink"/>
                          <w:color w:val="FDB813"/>
                          <w:u w:val="none"/>
                        </w:rPr>
                        <w:t>contactos@cmconsulting.com.co</w:t>
                      </w:r>
                    </w:hyperlink>
                  </w:p>
                </w:txbxContent>
              </v:textbox>
            </v:shape>
          </w:pict>
        </mc:Fallback>
      </mc:AlternateContent>
    </w:r>
    <w:r w:rsidR="006F3393">
      <w:rPr>
        <w:noProof/>
      </w:rPr>
      <mc:AlternateContent>
        <mc:Choice Requires="wps">
          <w:drawing>
            <wp:anchor distT="0" distB="0" distL="114300" distR="114300" simplePos="0" relativeHeight="251658246" behindDoc="0" locked="0" layoutInCell="1" allowOverlap="1" wp14:anchorId="4DD02048" wp14:editId="29CAF45A">
              <wp:simplePos x="0" y="0"/>
              <wp:positionH relativeFrom="column">
                <wp:posOffset>4307205</wp:posOffset>
              </wp:positionH>
              <wp:positionV relativeFrom="paragraph">
                <wp:posOffset>26035</wp:posOffset>
              </wp:positionV>
              <wp:extent cx="2087880" cy="275590"/>
              <wp:effectExtent l="0" t="0" r="762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880" cy="275590"/>
                      </a:xfrm>
                      <a:prstGeom prst="rect">
                        <a:avLst/>
                      </a:prstGeom>
                      <a:solidFill>
                        <a:srgbClr val="144E8C"/>
                      </a:solidFill>
                      <a:ln w="9525">
                        <a:noFill/>
                        <a:miter lim="800000"/>
                        <a:headEnd/>
                        <a:tailEnd/>
                      </a:ln>
                    </wps:spPr>
                    <wps:txbx>
                      <w:txbxContent>
                        <w:p w14:paraId="2E9CCA10" w14:textId="39AE4C50" w:rsidR="006F3393" w:rsidRPr="002766E0" w:rsidRDefault="006F3393" w:rsidP="006424FD">
                          <w:pPr>
                            <w:jc w:val="right"/>
                            <w:rPr>
                              <w:color w:val="FDB813"/>
                              <w:lang w:val="en-US"/>
                            </w:rPr>
                          </w:pPr>
                          <w:hyperlink r:id="rId3" w:history="1">
                            <w:r w:rsidRPr="002766E0">
                              <w:rPr>
                                <w:rStyle w:val="Hyperlink"/>
                                <w:color w:val="FDB813"/>
                                <w:u w:val="none"/>
                              </w:rPr>
                              <w:t>www.cmconsulting.com.co</w:t>
                            </w:r>
                          </w:hyperlink>
                        </w:p>
                      </w:txbxContent>
                    </wps:txbx>
                    <wps:bodyPr rot="0" vert="horz" wrap="square" lIns="91440" tIns="45720" rIns="91440" bIns="45720" anchor="t" anchorCtr="0">
                      <a:spAutoFit/>
                    </wps:bodyPr>
                  </wps:wsp>
                </a:graphicData>
              </a:graphic>
            </wp:anchor>
          </w:drawing>
        </mc:Choice>
        <mc:Fallback>
          <w:pict>
            <v:shapetype w14:anchorId="4DD02048" id="_x0000_t202" coordsize="21600,21600" o:spt="202" path="m,l,21600r21600,l21600,xe">
              <v:stroke joinstyle="miter"/>
              <v:path gradientshapeok="t" o:connecttype="rect"/>
            </v:shapetype>
            <v:shape id="_x0000_s1031" type="#_x0000_t202" style="position:absolute;left:0;text-align:left;margin-left:339.15pt;margin-top:2.05pt;width:164.4pt;height:21.7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rXD/EwIAAP0DAAAOAAAAZHJzL2Uyb0RvYy54bWysU9tu2zAMfR+wfxD0vtgxksUxohRd2gwD ugvQ7QNkWY6FyaImKbG7rx8lp2nQvQ3zg0Ca5BF5eLS5GXtNTtJ5BYbR+SynRBoBjTIHRn98378r KfGBm4ZrMJLRJ+npzfbtm81gK1lAB7qRjiCI8dVgGe1CsFWWedHJnvsZWGkw2ILreUDXHbLG8QHR e50Vef4+G8A11oGQ3uPfuylItwm/baUIX9vWy0A0o9hbSKdLZx3PbLvh1cFx2ylxboP/Qxc9VwYv vUDd8cDJ0am/oHolHHhow0xAn0HbKiHTDDjNPH81zWPHrUyzIDneXmjy/w9WfDk92m+OhPEDjLjA NIS3DyB+emJg13FzkLfOwdBJ3uDF80hZNlhfnUsj1b7yEaQePkODS+bHAAlobF0fWcE5CaLjAp4u pMsxEIE/i7xclSWGBMaK1XK5TlvJePVcbZ0PHyX0JBqMOlxqQuenBx9iN7x6TomXedCq2Sutk+MO 9U47cuIogPlicV/u0gCv0rQhA6PrZbFMyAZifdJGrwIKVKue0TKP3ySZyMa9aVJK4EpPNnaizZme yMjETRjrkaiG0VWsjWzV0DwhXw4mPeL7QaMD95uSAbXIqP915E5Soj8Z5HyNjUfxJmexXBXouOtI fR3hRiAUo4GSydyFJPhEh73F3exVou2lk3PLqLHE5vk9RBFf+ynr5dVu/wAAAP//AwBQSwMEFAAG AAgAAAAhAEdW+2DhAAAADgEAAA8AAABkcnMvZG93bnJldi54bWxMT81OwzAMviPxDpGRuLFk/LRT 13RCTEjAuCzwAFkT2oomqZK0Td8e7zQulu3P/n7KXTI9mbQPnbMc1isGRNvaqc42HL6/Xu82QEKU VsneWc1h0QF21fVVKQvlZnvUk4gNQRIbCsmhjXEoKA11q40MKzdoi9iP80ZGHH1DlZczkpue3jOW USM7iwqtHPRLq+tfMRoOMz16Me6Tnz4Ph7dFZOI9fSyc396k/RbL8xZI1ClePuCcAf1DhcZObrQq kJ5Dlm8e8JTD4xrIGWcsx+6Ei/wJaFXS/zGqPwAAAP//AwBQSwECLQAUAAYACAAAACEAtoM4kv4A AADhAQAAEwAAAAAAAAAAAAAAAAAAAAAAW0NvbnRlbnRfVHlwZXNdLnhtbFBLAQItABQABgAIAAAA IQA4/SH/1gAAAJQBAAALAAAAAAAAAAAAAAAAAC8BAABfcmVscy8ucmVsc1BLAQItABQABgAIAAAA IQBerXD/EwIAAP0DAAAOAAAAAAAAAAAAAAAAAC4CAABkcnMvZTJvRG9jLnhtbFBLAQItABQABgAI AAAAIQBHVvtg4QAAAA4BAAAPAAAAAAAAAAAAAAAAAG0EAABkcnMvZG93bnJldi54bWxQSwUGAAAA AAQABADzAAAAewUAAAAA " fillcolor="#144e8c" stroked="f">
              <v:textbox style="mso-fit-shape-to-text:t">
                <w:txbxContent>
                  <w:p w14:paraId="2E9CCA10" w14:textId="39AE4C50" w:rsidR="006F3393" w:rsidRPr="002766E0" w:rsidRDefault="006F3393" w:rsidP="006424FD">
                    <w:pPr>
                      <w:jc w:val="right"/>
                      <w:rPr>
                        <w:color w:val="FDB813"/>
                        <w:lang w:val="en-US"/>
                      </w:rPr>
                    </w:pPr>
                    <w:hyperlink r:id="rId4" w:history="1">
                      <w:r w:rsidRPr="002766E0">
                        <w:rPr>
                          <w:rStyle w:val="Hyperlink"/>
                          <w:color w:val="FDB813"/>
                          <w:u w:val="none"/>
                        </w:rPr>
                        <w:t>www.cmconsulting.com.co</w:t>
                      </w:r>
                    </w:hyperlink>
                  </w:p>
                </w:txbxContent>
              </v:textbox>
            </v:shape>
          </w:pict>
        </mc:Fallback>
      </mc:AlternateContent>
    </w:r>
    <w:r w:rsidR="006F3393">
      <w:rPr>
        <w:noProof/>
      </w:rPr>
      <w:drawing>
        <wp:anchor distT="0" distB="0" distL="114300" distR="114300" simplePos="0" relativeHeight="251658245" behindDoc="0" locked="0" layoutInCell="1" allowOverlap="1" wp14:anchorId="4FDAA92F" wp14:editId="0EF0F8D4">
          <wp:simplePos x="0" y="0"/>
          <wp:positionH relativeFrom="column">
            <wp:posOffset>-775335</wp:posOffset>
          </wp:positionH>
          <wp:positionV relativeFrom="paragraph">
            <wp:posOffset>82378</wp:posOffset>
          </wp:positionV>
          <wp:extent cx="2159635" cy="525145"/>
          <wp:effectExtent l="0" t="0" r="0" b="825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rotWithShape="1">
                  <a:blip r:embed="rId5">
                    <a:extLst>
                      <a:ext uri="{28A0092B-C50C-407E-A947-70E740481C1C}">
                        <a14:useLocalDpi xmlns:a14="http://schemas.microsoft.com/office/drawing/2010/main" val="0"/>
                      </a:ext>
                    </a:extLst>
                  </a:blip>
                  <a:srcRect l="19827" t="42609" r="20024" b="42753"/>
                  <a:stretch/>
                </pic:blipFill>
                <pic:spPr bwMode="auto">
                  <a:xfrm>
                    <a:off x="0" y="0"/>
                    <a:ext cx="2159635" cy="525145"/>
                  </a:xfrm>
                  <a:prstGeom prst="rect">
                    <a:avLst/>
                  </a:prstGeom>
                  <a:ln>
                    <a:noFill/>
                  </a:ln>
                  <a:extLst>
                    <a:ext uri="{53640926-AAD7-44D8-BBD7-CCE9431645EC}">
                      <a14:shadowObscured xmlns:a14="http://schemas.microsoft.com/office/drawing/2010/main"/>
                    </a:ext>
                  </a:extLst>
                </pic:spPr>
              </pic:pic>
            </a:graphicData>
          </a:graphic>
        </wp:anchor>
      </w:drawing>
    </w:r>
  </w:p>
  <w:p w14:paraId="0FB13A36" w14:textId="2376324A" w:rsidR="006F3393" w:rsidRDefault="006F3393" w:rsidP="00926C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BBA52" w14:textId="77777777" w:rsidR="007306DA" w:rsidRDefault="007306DA" w:rsidP="00926CDD">
      <w:r>
        <w:separator/>
      </w:r>
    </w:p>
    <w:p w14:paraId="63C788BF" w14:textId="77777777" w:rsidR="007306DA" w:rsidRDefault="007306DA" w:rsidP="00926CDD"/>
    <w:p w14:paraId="78D5E0A0" w14:textId="77777777" w:rsidR="007306DA" w:rsidRDefault="007306DA"/>
  </w:footnote>
  <w:footnote w:type="continuationSeparator" w:id="0">
    <w:p w14:paraId="0CF74AF6" w14:textId="77777777" w:rsidR="007306DA" w:rsidRDefault="007306DA" w:rsidP="00926CDD">
      <w:r>
        <w:continuationSeparator/>
      </w:r>
    </w:p>
    <w:p w14:paraId="060386C7" w14:textId="77777777" w:rsidR="007306DA" w:rsidRDefault="007306DA" w:rsidP="00926CDD"/>
    <w:p w14:paraId="505637BD" w14:textId="77777777" w:rsidR="007306DA" w:rsidRDefault="007306DA"/>
  </w:footnote>
  <w:footnote w:type="continuationNotice" w:id="1">
    <w:p w14:paraId="5B4A8FC1" w14:textId="77777777" w:rsidR="007306DA" w:rsidRDefault="007306DA" w:rsidP="00926CDD"/>
    <w:p w14:paraId="5679C132" w14:textId="77777777" w:rsidR="007306DA" w:rsidRDefault="007306DA" w:rsidP="00926CDD"/>
    <w:p w14:paraId="17F56C17" w14:textId="77777777" w:rsidR="007306DA" w:rsidRDefault="007306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D6D29" w14:textId="5D621E38" w:rsidR="006F3393" w:rsidRDefault="007306DA" w:rsidP="00926CDD">
    <w:pPr>
      <w:pStyle w:val="Header"/>
    </w:pPr>
    <w:r>
      <w:rPr>
        <w:noProof/>
        <w:lang w:eastAsia="en-US"/>
      </w:rPr>
      <w:pict w14:anchorId="55CF67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left:0;text-align:left;margin-left:0;margin-top:0;width:524.6pt;height:98.35pt;rotation:315;z-index:-251658224;mso-wrap-edited:f;mso-width-percent:0;mso-height-percent:0;mso-position-horizontal:center;mso-position-horizontal-relative:margin;mso-position-vertical:center;mso-position-vertical-relative:margin;mso-width-percent:0;mso-height-percent:0" o:allowincell="f" fillcolor="#d8d8d8 [2732]" stroked="f">
          <v:fill opacity=".5"/>
          <v:textpath style="font-family:&quot;Calibri&quot;;font-size:1pt" string="OFERTA COMERCIAL"/>
          <w10:wrap anchorx="margin" anchory="margin"/>
        </v:shape>
      </w:pict>
    </w:r>
    <w:r>
      <w:rPr>
        <w:noProof/>
        <w:lang w:eastAsia="en-US"/>
      </w:rPr>
      <w:pict w14:anchorId="42F6B084">
        <v:shape id="_x0000_s1025" type="#_x0000_t136" alt="" style="position:absolute;left:0;text-align:left;margin-left:0;margin-top:0;width:524.6pt;height:98.35pt;rotation:315;z-index:-251658225;mso-wrap-edited:f;mso-width-percent:0;mso-height-percent:0;mso-position-horizontal:center;mso-position-horizontal-relative:margin;mso-position-vertical:center;mso-position-vertical-relative:margin;mso-width-percent:0;mso-height-percent:0" o:allowincell="f" fillcolor="#d8d8d8 [2732]" stroked="f">
          <v:fill opacity=".5"/>
          <v:textpath style="font-family:&quot;Calibri&quot;;font-size:1pt" string="OFERTA COMERC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F97DD" w14:textId="6D0EF04D" w:rsidR="006F3393" w:rsidRDefault="004713B3" w:rsidP="00926CDD">
    <w:pPr>
      <w:pStyle w:val="Header"/>
      <w:rPr>
        <w:sz w:val="20"/>
      </w:rPr>
    </w:pPr>
    <w:r w:rsidRPr="004713B3">
      <w:rPr>
        <w:noProof/>
        <w:sz w:val="20"/>
      </w:rPr>
      <w:drawing>
        <wp:anchor distT="0" distB="0" distL="114300" distR="114300" simplePos="0" relativeHeight="251658278" behindDoc="0" locked="0" layoutInCell="1" allowOverlap="1" wp14:anchorId="16557476" wp14:editId="752C7F9E">
          <wp:simplePos x="0" y="0"/>
          <wp:positionH relativeFrom="column">
            <wp:posOffset>2089785</wp:posOffset>
          </wp:positionH>
          <wp:positionV relativeFrom="paragraph">
            <wp:posOffset>-257810</wp:posOffset>
          </wp:positionV>
          <wp:extent cx="1439545" cy="880745"/>
          <wp:effectExtent l="0" t="0" r="8255" b="0"/>
          <wp:wrapNone/>
          <wp:docPr id="31" name="Picture 31" descr="A white rectangular sign with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rectangular sign with text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39545" cy="880745"/>
                  </a:xfrm>
                  <a:prstGeom prst="rect">
                    <a:avLst/>
                  </a:prstGeom>
                </pic:spPr>
              </pic:pic>
            </a:graphicData>
          </a:graphic>
        </wp:anchor>
      </w:drawing>
    </w:r>
    <w:r w:rsidRPr="004713B3">
      <w:rPr>
        <w:noProof/>
        <w:sz w:val="20"/>
      </w:rPr>
      <w:drawing>
        <wp:anchor distT="0" distB="0" distL="114300" distR="114300" simplePos="0" relativeHeight="251658277" behindDoc="0" locked="0" layoutInCell="1" allowOverlap="1" wp14:anchorId="449A69E1" wp14:editId="005C6F75">
          <wp:simplePos x="0" y="0"/>
          <wp:positionH relativeFrom="column">
            <wp:posOffset>3560445</wp:posOffset>
          </wp:positionH>
          <wp:positionV relativeFrom="paragraph">
            <wp:posOffset>-252730</wp:posOffset>
          </wp:positionV>
          <wp:extent cx="1439545" cy="880110"/>
          <wp:effectExtent l="0" t="0" r="825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39545" cy="880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713B3">
      <w:rPr>
        <w:noProof/>
        <w:sz w:val="20"/>
      </w:rPr>
      <w:drawing>
        <wp:anchor distT="0" distB="0" distL="114300" distR="114300" simplePos="0" relativeHeight="251658276" behindDoc="0" locked="0" layoutInCell="1" allowOverlap="1" wp14:anchorId="4B6AABD9" wp14:editId="5F955EA3">
          <wp:simplePos x="0" y="0"/>
          <wp:positionH relativeFrom="column">
            <wp:posOffset>5043442</wp:posOffset>
          </wp:positionH>
          <wp:positionV relativeFrom="paragraph">
            <wp:posOffset>-251188</wp:posOffset>
          </wp:positionV>
          <wp:extent cx="1439545" cy="880110"/>
          <wp:effectExtent l="0" t="0" r="825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439545" cy="880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4C75" w:rsidRPr="00B24C75">
      <w:rPr>
        <w:noProof/>
        <w:sz w:val="20"/>
      </w:rPr>
      <w:drawing>
        <wp:anchor distT="0" distB="0" distL="114300" distR="114300" simplePos="0" relativeHeight="251658272" behindDoc="0" locked="0" layoutInCell="1" allowOverlap="1" wp14:anchorId="38C168FE" wp14:editId="776B3132">
          <wp:simplePos x="0" y="0"/>
          <wp:positionH relativeFrom="column">
            <wp:posOffset>-909683</wp:posOffset>
          </wp:positionH>
          <wp:positionV relativeFrom="paragraph">
            <wp:posOffset>-130447</wp:posOffset>
          </wp:positionV>
          <wp:extent cx="2159635" cy="53911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horizontal.jpg"/>
                  <pic:cNvPicPr/>
                </pic:nvPicPr>
                <pic:blipFill rotWithShape="1">
                  <a:blip r:embed="rId4">
                    <a:extLst>
                      <a:ext uri="{28A0092B-C50C-407E-A947-70E740481C1C}">
                        <a14:useLocalDpi xmlns:a14="http://schemas.microsoft.com/office/drawing/2010/main" val="0"/>
                      </a:ext>
                    </a:extLst>
                  </a:blip>
                  <a:srcRect l="19388" t="42275" r="19368" b="42403"/>
                  <a:stretch/>
                </pic:blipFill>
                <pic:spPr bwMode="auto">
                  <a:xfrm>
                    <a:off x="0" y="0"/>
                    <a:ext cx="2159635" cy="539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3393" w:rsidRPr="000161F8">
      <w:rPr>
        <w:noProof/>
      </w:rPr>
      <mc:AlternateContent>
        <mc:Choice Requires="wps">
          <w:drawing>
            <wp:anchor distT="0" distB="0" distL="114300" distR="114300" simplePos="0" relativeHeight="251658249" behindDoc="0" locked="0" layoutInCell="1" allowOverlap="1" wp14:anchorId="41574DE3" wp14:editId="664B327D">
              <wp:simplePos x="0" y="0"/>
              <wp:positionH relativeFrom="column">
                <wp:posOffset>626745</wp:posOffset>
              </wp:positionH>
              <wp:positionV relativeFrom="paragraph">
                <wp:posOffset>-737870</wp:posOffset>
              </wp:positionV>
              <wp:extent cx="2531745" cy="274955"/>
              <wp:effectExtent l="0" t="0" r="1905" b="127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1745" cy="274955"/>
                      </a:xfrm>
                      <a:prstGeom prst="rect">
                        <a:avLst/>
                      </a:prstGeom>
                      <a:solidFill>
                        <a:srgbClr val="144E8C"/>
                      </a:solidFill>
                      <a:ln w="9525">
                        <a:noFill/>
                        <a:miter lim="800000"/>
                        <a:headEnd/>
                        <a:tailEnd/>
                      </a:ln>
                    </wps:spPr>
                    <wps:txbx>
                      <w:txbxContent>
                        <w:p w14:paraId="7E29312D" w14:textId="77777777" w:rsidR="006F3393" w:rsidRPr="00716805" w:rsidRDefault="006F3393" w:rsidP="000161F8">
                          <w:pPr>
                            <w:jc w:val="right"/>
                            <w:rPr>
                              <w:color w:val="FDB813"/>
                              <w:lang w:val="en-US"/>
                            </w:rPr>
                          </w:pPr>
                          <w:hyperlink r:id="rId5" w:history="1">
                            <w:r w:rsidRPr="00716805">
                              <w:rPr>
                                <w:rStyle w:val="BodyText3Char"/>
                                <w:rFonts w:eastAsiaTheme="minorEastAsia"/>
                                <w:color w:val="FDB813"/>
                              </w:rPr>
                              <w:t>contactos@cmconsulting.com.co</w:t>
                            </w:r>
                          </w:hyperlink>
                        </w:p>
                      </w:txbxContent>
                    </wps:txbx>
                    <wps:bodyPr rot="0" vert="horz" wrap="square" lIns="91440" tIns="45720" rIns="91440" bIns="45720" anchor="t" anchorCtr="0">
                      <a:spAutoFit/>
                    </wps:bodyPr>
                  </wps:wsp>
                </a:graphicData>
              </a:graphic>
            </wp:anchor>
          </w:drawing>
        </mc:Choice>
        <mc:Fallback>
          <w:pict>
            <v:shapetype w14:anchorId="41574DE3" id="_x0000_t202" coordsize="21600,21600" o:spt="202" path="m,l,21600r21600,l21600,xe">
              <v:stroke joinstyle="miter"/>
              <v:path gradientshapeok="t" o:connecttype="rect"/>
            </v:shapetype>
            <v:shape id="_x0000_s1032" type="#_x0000_t202" style="position:absolute;left:0;text-align:left;margin-left:49.35pt;margin-top:-58.1pt;width:199.35pt;height:21.6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3RjQFAIAAP4DAAAOAAAAZHJzL2Uyb0RvYy54bWysU9tu2zAMfR+wfxD0vtjx4iUx4hRd2gwD ugvQ7QNkWY6FyaImKbGzry8lu2m2vQ3zgyCa5CF5eLS5GTpFTsI6Cbqk81lKidAcaqkPJf3+bf9m RYnzTNdMgRYlPQtHb7avX216U4gMWlC1sARBtCt6U9LWe1MkieOt6JibgREanQ3Yjnk07SGpLesR vVNJlqbvkh5sbSxw4Rz+vRuddBvxm0Zw/6VpnPBElRR78/G08azCmWw3rDhYZlrJpzbYP3TRMamx 6AXqjnlGjlb+BdVJbsFB42ccugSaRnIRZ8Bp5ukf0zy2zIg4C5LjzIUm9/9g+efTo/lqiR/ew4AL jEM48wD8hyMadi3TB3FrLfStYDUWngfKkt64YkoNVLvCBZCq/wQ1LpkdPUSgobFdYAXnJIiOCzhf SBeDJxx/Zvnb+XKRU8LRly0X6zyPJVjxnG2s8x8EdCRcSmpxqRGdnR6cD92w4jkkFHOgZL2XSkXD HqqdsuTEUADzxeJ+tZvQfwtTmvQlXedZHpE1hPyojU56FKiSXUlXafhGyQQ27nUdQzyTarxjJ0pP 9ARGRm78UA1E1lg/Jge6KqjPSJiFUZD4gPDSgv1FSY9iLKn7eWRWUKI+aiR9jZ0H9UZjkS8zNOy1 p7r2MM0RqqSekvG681HxkQ9zi8vZy8jbSydTzyiySOf0IIKKr+0Y9fJst08AAAD//wMAUEsDBBQA BgAIAAAAIQC22MzW4wAAABABAAAPAAAAZHJzL2Rvd25yZXYueG1sTE/LTsMwELwj8Q/WInFrnURV 0qRxKkSFBJRLDR/gxiaJiO3Idl5/z3Kil5V2Z3Ye5XHRPZmU8501DOJtBESZ2srONAy+Pl82eyA+ CCNFb41isCoPx+r+rhSFtLO5qImHhqCI8YVg0IYwFJT6ulVa+K0dlEHs2zotAq6uodKJGcV1T5Mo SqkWnUGHVgzquVX1Dx81g5leHB9Pi5s+zufXlaf8bXlfGXt8WE4HHE8HIEEt4f8D/jpgfqgw2NWO RnrSM8j3GTIZbOI4TYAgY5dnOyBXPGVJDrQq6W2R6hcAAP//AwBQSwECLQAUAAYACAAAACEAtoM4 kv4AAADhAQAAEwAAAAAAAAAAAAAAAAAAAAAAW0NvbnRlbnRfVHlwZXNdLnhtbFBLAQItABQABgAI AAAAIQA4/SH/1gAAAJQBAAALAAAAAAAAAAAAAAAAAC8BAABfcmVscy8ucmVsc1BLAQItABQABgAI AAAAIQBE3RjQFAIAAP4DAAAOAAAAAAAAAAAAAAAAAC4CAABkcnMvZTJvRG9jLnhtbFBLAQItABQA BgAIAAAAIQC22MzW4wAAABABAAAPAAAAAAAAAAAAAAAAAG4EAABkcnMvZG93bnJldi54bWxQSwUG AAAAAAQABADzAAAAfgUAAAAA " fillcolor="#144e8c" stroked="f">
              <v:textbox style="mso-fit-shape-to-text:t">
                <w:txbxContent>
                  <w:p w14:paraId="7E29312D" w14:textId="77777777" w:rsidR="006F3393" w:rsidRPr="00716805" w:rsidRDefault="006F3393" w:rsidP="000161F8">
                    <w:pPr>
                      <w:jc w:val="right"/>
                      <w:rPr>
                        <w:color w:val="FDB813"/>
                        <w:lang w:val="en-US"/>
                      </w:rPr>
                    </w:pPr>
                    <w:hyperlink r:id="rId6" w:history="1">
                      <w:r w:rsidRPr="00716805">
                        <w:rPr>
                          <w:rStyle w:val="BodyText3Char"/>
                          <w:rFonts w:eastAsiaTheme="minorEastAsia"/>
                          <w:color w:val="FDB813"/>
                        </w:rPr>
                        <w:t>contactos@cmconsulting.com.co</w:t>
                      </w:r>
                    </w:hyperlink>
                  </w:p>
                </w:txbxContent>
              </v:textbox>
            </v:shape>
          </w:pict>
        </mc:Fallback>
      </mc:AlternateContent>
    </w:r>
    <w:r w:rsidR="006F3393" w:rsidRPr="000161F8">
      <w:rPr>
        <w:noProof/>
      </w:rPr>
      <mc:AlternateContent>
        <mc:Choice Requires="wps">
          <w:drawing>
            <wp:anchor distT="0" distB="0" distL="114300" distR="114300" simplePos="0" relativeHeight="251658248" behindDoc="0" locked="0" layoutInCell="1" allowOverlap="1" wp14:anchorId="7CA6FF58" wp14:editId="76FD2BCB">
              <wp:simplePos x="0" y="0"/>
              <wp:positionH relativeFrom="column">
                <wp:posOffset>1071245</wp:posOffset>
              </wp:positionH>
              <wp:positionV relativeFrom="paragraph">
                <wp:posOffset>-965200</wp:posOffset>
              </wp:positionV>
              <wp:extent cx="2087245" cy="274955"/>
              <wp:effectExtent l="0" t="0" r="8255" b="127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245" cy="274955"/>
                      </a:xfrm>
                      <a:prstGeom prst="rect">
                        <a:avLst/>
                      </a:prstGeom>
                      <a:solidFill>
                        <a:srgbClr val="144E8C"/>
                      </a:solidFill>
                      <a:ln w="9525">
                        <a:noFill/>
                        <a:miter lim="800000"/>
                        <a:headEnd/>
                        <a:tailEnd/>
                      </a:ln>
                    </wps:spPr>
                    <wps:txbx>
                      <w:txbxContent>
                        <w:p w14:paraId="159DDF65" w14:textId="4665C3BD" w:rsidR="006F3393" w:rsidRPr="002766E0" w:rsidRDefault="006F3393" w:rsidP="000161F8">
                          <w:pPr>
                            <w:jc w:val="right"/>
                            <w:rPr>
                              <w:color w:val="FDB813"/>
                              <w:lang w:val="en-US"/>
                            </w:rPr>
                          </w:pPr>
                          <w:hyperlink r:id="rId7" w:history="1">
                            <w:r w:rsidRPr="002766E0">
                              <w:rPr>
                                <w:rStyle w:val="BodyText3Char"/>
                                <w:rFonts w:eastAsiaTheme="minorEastAsia"/>
                                <w:color w:val="FDB813"/>
                              </w:rPr>
                              <w:t>www.cmconsulting.com.co</w:t>
                            </w:r>
                          </w:hyperlink>
                        </w:p>
                      </w:txbxContent>
                    </wps:txbx>
                    <wps:bodyPr rot="0" vert="horz" wrap="square" lIns="91440" tIns="45720" rIns="91440" bIns="45720" anchor="t" anchorCtr="0">
                      <a:spAutoFit/>
                    </wps:bodyPr>
                  </wps:wsp>
                </a:graphicData>
              </a:graphic>
            </wp:anchor>
          </w:drawing>
        </mc:Choice>
        <mc:Fallback>
          <w:pict>
            <v:shapetype w14:anchorId="7CA6FF58" id="_x0000_t202" coordsize="21600,21600" o:spt="202" path="m,l,21600r21600,l21600,xe">
              <v:stroke joinstyle="miter"/>
              <v:path gradientshapeok="t" o:connecttype="rect"/>
            </v:shapetype>
            <v:shape id="_x0000_s1027" type="#_x0000_t202" style="position:absolute;left:0;text-align:left;margin-left:84.35pt;margin-top:-76pt;width:164.35pt;height:21.6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Yb75FAIAAP0DAAAOAAAAZHJzL2Uyb0RvYy54bWysU9tu2zAMfR+wfxD0vtjx4iUx4hRd2gwD ugvQ7QNkWY6FyaImKbGzry8lu2m2vQ3zgyCa5CF5eLS5GTpFTsI6Cbqk81lKidAcaqkPJf3+bf9m RYnzTNdMgRYlPQtHb7avX216U4gMWlC1sARBtCt6U9LWe1MkieOt6JibgREanQ3Yjnk07SGpLesR vVNJlqbvkh5sbSxw4Rz+vRuddBvxm0Zw/6VpnPBElRR78/G08azCmWw3rDhYZlrJpzbYP3TRMamx 6AXqjnlGjlb+BdVJbsFB42ccugSaRnIRZ8Bp5ukf0zy2zIg4C5LjzIUm9/9g+efTo/lqiR/ew4AL jEM48wD8hyMadi3TB3FrLfStYDUWngfKkt64YkoNVLvCBZCq/wQ1LpkdPUSgobFdYAXnJIiOCzhf SBeDJxx/ZulqmS1ySjj6suVineexBCues411/oOAjoRLSS0uNaKz04PzoRtWPIeEYg6UrPdSqWjY Q7VTlpwYCmC+WNyvdhP6b2FKk76k6zzLI7KGkB+10UmPAlWyK+kqDd8omcDGva5jiGdSjXfsROmJ nsDIyI0fqoHIuqRvQ25gq4L6jHxZGPWI7wcvLdhflPSoxZK6n0dmBSXqo0bO19h4EG80FvkyQ8Ne e6prD9McoUrqKRmvOx8FH+kwt7ibvYy0vXQytYwai2xO7yGI+NqOUS+vdvsEAAD//wMAUEsDBBQA BgAIAAAAIQDbhnN95AAAABIBAAAPAAAAZHJzL2Rvd25yZXYueG1sTE9BTsMwELwj8Qdrkbi1TquS ljROhaiQgHKp4QFusiQRsR3ZTuL8nu0JLivNzuzsTH6IumMjOt9aI2C1TIChKW3VmlrA1+fLYgfM B2Uq1VmDAmb0cChub3KVVXYyZxxlqBmZGJ8pAU0Ifca5LxvUyi9tj4a4b+u0CgRdzSunJjLXHV8n Scq1ag19aFSPzw2WP3LQAiZ+dnI4Rjd+nE6vs0zlW3yfhbi/i8c9jac9sIAx/F3AtQPlh4KCXexg Ks86wuluS1IBi9XDmqqRZPO43QC7XFcJkbzI+f8qxS8AAAD//wMAUEsBAi0AFAAGAAgAAAAhALaD OJL+AAAA4QEAABMAAAAAAAAAAAAAAAAAAAAAAFtDb250ZW50X1R5cGVzXS54bWxQSwECLQAUAAYA CAAAACEAOP0h/9YAAACUAQAACwAAAAAAAAAAAAAAAAAvAQAAX3JlbHMvLnJlbHNQSwECLQAUAAYA CAAAACEAbGG++RQCAAD9AwAADgAAAAAAAAAAAAAAAAAuAgAAZHJzL2Uyb0RvYy54bWxQSwECLQAU AAYACAAAACEA24ZzfeQAAAASAQAADwAAAAAAAAAAAAAAAABuBAAAZHJzL2Rvd25yZXYueG1sUEsF BgAAAAAEAAQA8wAAAH8FAAAAAA== " fillcolor="#144e8c" stroked="f">
              <v:textbox style="mso-fit-shape-to-text:t">
                <w:txbxContent>
                  <w:p w14:paraId="159DDF65" w14:textId="4665C3BD" w:rsidR="006F3393" w:rsidRPr="002766E0" w:rsidRDefault="006F3393" w:rsidP="000161F8">
                    <w:pPr>
                      <w:jc w:val="right"/>
                      <w:rPr>
                        <w:color w:val="FDB813"/>
                        <w:lang w:val="en-US"/>
                      </w:rPr>
                    </w:pPr>
                    <w:hyperlink r:id="rId8" w:history="1">
                      <w:r w:rsidRPr="002766E0">
                        <w:rPr>
                          <w:rStyle w:val="BodyText3Char"/>
                          <w:rFonts w:eastAsiaTheme="minorEastAsia"/>
                          <w:color w:val="FDB813"/>
                        </w:rPr>
                        <w:t>www.cmconsulting.com.co</w:t>
                      </w:r>
                    </w:hyperlink>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D9E3" w14:textId="63CDA903" w:rsidR="006F3393" w:rsidRDefault="00DC12ED" w:rsidP="00926CDD">
    <w:pPr>
      <w:pStyle w:val="Header"/>
    </w:pPr>
    <w:r>
      <w:rPr>
        <w:noProof/>
      </w:rPr>
      <w:drawing>
        <wp:anchor distT="0" distB="0" distL="114300" distR="114300" simplePos="0" relativeHeight="251658254" behindDoc="0" locked="0" layoutInCell="1" allowOverlap="1" wp14:anchorId="63D9D12C" wp14:editId="16A3177D">
          <wp:simplePos x="0" y="0"/>
          <wp:positionH relativeFrom="column">
            <wp:posOffset>4672965</wp:posOffset>
          </wp:positionH>
          <wp:positionV relativeFrom="paragraph">
            <wp:posOffset>1905</wp:posOffset>
          </wp:positionV>
          <wp:extent cx="2015635" cy="720000"/>
          <wp:effectExtent l="0" t="0" r="3810" b="4445"/>
          <wp:wrapNone/>
          <wp:docPr id="3" name="Picture 3"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015635" cy="720000"/>
                  </a:xfrm>
                  <a:prstGeom prst="rect">
                    <a:avLst/>
                  </a:prstGeom>
                </pic:spPr>
              </pic:pic>
            </a:graphicData>
          </a:graphic>
        </wp:anchor>
      </w:drawing>
    </w:r>
    <w:r w:rsidR="006F3393">
      <w:rPr>
        <w:noProof/>
      </w:rPr>
      <w:drawing>
        <wp:anchor distT="0" distB="0" distL="114300" distR="114300" simplePos="0" relativeHeight="251658243" behindDoc="0" locked="0" layoutInCell="1" allowOverlap="1" wp14:anchorId="5315B6B9" wp14:editId="61CFF3E2">
          <wp:simplePos x="0" y="0"/>
          <wp:positionH relativeFrom="column">
            <wp:posOffset>-817417</wp:posOffset>
          </wp:positionH>
          <wp:positionV relativeFrom="paragraph">
            <wp:posOffset>-68580</wp:posOffset>
          </wp:positionV>
          <wp:extent cx="2880000" cy="720520"/>
          <wp:effectExtent l="0" t="0" r="0" b="381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horizontal.jpg"/>
                  <pic:cNvPicPr/>
                </pic:nvPicPr>
                <pic:blipFill rotWithShape="1">
                  <a:blip r:embed="rId2">
                    <a:extLst>
                      <a:ext uri="{28A0092B-C50C-407E-A947-70E740481C1C}">
                        <a14:useLocalDpi xmlns:a14="http://schemas.microsoft.com/office/drawing/2010/main" val="0"/>
                      </a:ext>
                    </a:extLst>
                  </a:blip>
                  <a:srcRect l="19388" t="42275" r="19368" b="42403"/>
                  <a:stretch/>
                </pic:blipFill>
                <pic:spPr bwMode="auto">
                  <a:xfrm>
                    <a:off x="0" y="0"/>
                    <a:ext cx="2880000" cy="720520"/>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http://schemas.openxmlformats.org/wordprocessingml/2006/main">
  <w:abstractNum w:abstractNumId="10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abstractNum>
  <w:abstractNum w:abstractNumId="10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num w:numId="1">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isplayBackgroundShape/>
  <w:defaultTabStop w:val="709"/>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155"/>
    <w:rsid w:val="00001261"/>
    <w:rsid w:val="000012F8"/>
    <w:rsid w:val="0000133E"/>
    <w:rsid w:val="00001D34"/>
    <w:rsid w:val="0000218E"/>
    <w:rsid w:val="00002A9F"/>
    <w:rsid w:val="00002D91"/>
    <w:rsid w:val="0000399B"/>
    <w:rsid w:val="00003CE5"/>
    <w:rsid w:val="000043EC"/>
    <w:rsid w:val="000046A1"/>
    <w:rsid w:val="00005472"/>
    <w:rsid w:val="0000567A"/>
    <w:rsid w:val="00005BF4"/>
    <w:rsid w:val="00005D06"/>
    <w:rsid w:val="000061C3"/>
    <w:rsid w:val="00010915"/>
    <w:rsid w:val="00010EB6"/>
    <w:rsid w:val="0001103B"/>
    <w:rsid w:val="00011BD1"/>
    <w:rsid w:val="00011BF3"/>
    <w:rsid w:val="0001252B"/>
    <w:rsid w:val="000134C3"/>
    <w:rsid w:val="00013B77"/>
    <w:rsid w:val="00013D3E"/>
    <w:rsid w:val="00014568"/>
    <w:rsid w:val="00015008"/>
    <w:rsid w:val="00015DC0"/>
    <w:rsid w:val="000161F8"/>
    <w:rsid w:val="0001713C"/>
    <w:rsid w:val="00017A5F"/>
    <w:rsid w:val="00020327"/>
    <w:rsid w:val="0002048A"/>
    <w:rsid w:val="0002102B"/>
    <w:rsid w:val="00022391"/>
    <w:rsid w:val="000226DE"/>
    <w:rsid w:val="00022849"/>
    <w:rsid w:val="00022983"/>
    <w:rsid w:val="00023092"/>
    <w:rsid w:val="000232DA"/>
    <w:rsid w:val="00023BB0"/>
    <w:rsid w:val="000244BE"/>
    <w:rsid w:val="00025087"/>
    <w:rsid w:val="000268DF"/>
    <w:rsid w:val="00026EE7"/>
    <w:rsid w:val="00031B84"/>
    <w:rsid w:val="000321C8"/>
    <w:rsid w:val="0003237C"/>
    <w:rsid w:val="00032AC9"/>
    <w:rsid w:val="00032B1C"/>
    <w:rsid w:val="00033D6D"/>
    <w:rsid w:val="00035D49"/>
    <w:rsid w:val="00036CE6"/>
    <w:rsid w:val="000376B3"/>
    <w:rsid w:val="00037BFC"/>
    <w:rsid w:val="00041644"/>
    <w:rsid w:val="000417D1"/>
    <w:rsid w:val="00042237"/>
    <w:rsid w:val="0004267F"/>
    <w:rsid w:val="00042788"/>
    <w:rsid w:val="00042B3E"/>
    <w:rsid w:val="00043055"/>
    <w:rsid w:val="00043057"/>
    <w:rsid w:val="00043612"/>
    <w:rsid w:val="0004387F"/>
    <w:rsid w:val="00043BCC"/>
    <w:rsid w:val="0004491A"/>
    <w:rsid w:val="00045764"/>
    <w:rsid w:val="00045EF3"/>
    <w:rsid w:val="00046767"/>
    <w:rsid w:val="00046D15"/>
    <w:rsid w:val="00047538"/>
    <w:rsid w:val="00047D34"/>
    <w:rsid w:val="00050D46"/>
    <w:rsid w:val="0005184C"/>
    <w:rsid w:val="00051DE4"/>
    <w:rsid w:val="00051FC1"/>
    <w:rsid w:val="000521D9"/>
    <w:rsid w:val="00052957"/>
    <w:rsid w:val="00054559"/>
    <w:rsid w:val="000549D5"/>
    <w:rsid w:val="00054CE2"/>
    <w:rsid w:val="00054F00"/>
    <w:rsid w:val="00055216"/>
    <w:rsid w:val="00055573"/>
    <w:rsid w:val="00055A15"/>
    <w:rsid w:val="00055D22"/>
    <w:rsid w:val="0005602D"/>
    <w:rsid w:val="000607C0"/>
    <w:rsid w:val="00060D3F"/>
    <w:rsid w:val="0006154A"/>
    <w:rsid w:val="00061726"/>
    <w:rsid w:val="000617AA"/>
    <w:rsid w:val="00061CC8"/>
    <w:rsid w:val="00062B74"/>
    <w:rsid w:val="00063B1A"/>
    <w:rsid w:val="00064043"/>
    <w:rsid w:val="000643A8"/>
    <w:rsid w:val="00064453"/>
    <w:rsid w:val="00064A92"/>
    <w:rsid w:val="00064FBA"/>
    <w:rsid w:val="000654EB"/>
    <w:rsid w:val="000658A5"/>
    <w:rsid w:val="00065D11"/>
    <w:rsid w:val="00066367"/>
    <w:rsid w:val="00067145"/>
    <w:rsid w:val="00071643"/>
    <w:rsid w:val="00071A6C"/>
    <w:rsid w:val="00072E0F"/>
    <w:rsid w:val="00073988"/>
    <w:rsid w:val="000746E4"/>
    <w:rsid w:val="000746E6"/>
    <w:rsid w:val="000749B5"/>
    <w:rsid w:val="00076413"/>
    <w:rsid w:val="00076CC6"/>
    <w:rsid w:val="00076DF8"/>
    <w:rsid w:val="000803BB"/>
    <w:rsid w:val="00080B44"/>
    <w:rsid w:val="00081641"/>
    <w:rsid w:val="00081703"/>
    <w:rsid w:val="00081F62"/>
    <w:rsid w:val="0008209E"/>
    <w:rsid w:val="00082701"/>
    <w:rsid w:val="0008279F"/>
    <w:rsid w:val="00082D3B"/>
    <w:rsid w:val="00083886"/>
    <w:rsid w:val="000839F1"/>
    <w:rsid w:val="00084AAF"/>
    <w:rsid w:val="00085C49"/>
    <w:rsid w:val="00086688"/>
    <w:rsid w:val="00086CCC"/>
    <w:rsid w:val="000907E6"/>
    <w:rsid w:val="00090BC3"/>
    <w:rsid w:val="00091B36"/>
    <w:rsid w:val="000923CA"/>
    <w:rsid w:val="00093162"/>
    <w:rsid w:val="00093BC7"/>
    <w:rsid w:val="000946E8"/>
    <w:rsid w:val="000954AA"/>
    <w:rsid w:val="0009676D"/>
    <w:rsid w:val="000969BB"/>
    <w:rsid w:val="00097805"/>
    <w:rsid w:val="000A01CE"/>
    <w:rsid w:val="000A0768"/>
    <w:rsid w:val="000A16B5"/>
    <w:rsid w:val="000A2F3F"/>
    <w:rsid w:val="000A3A9D"/>
    <w:rsid w:val="000A3C81"/>
    <w:rsid w:val="000A413C"/>
    <w:rsid w:val="000A41B8"/>
    <w:rsid w:val="000A4DA6"/>
    <w:rsid w:val="000A5320"/>
    <w:rsid w:val="000A546E"/>
    <w:rsid w:val="000A6594"/>
    <w:rsid w:val="000A6B0F"/>
    <w:rsid w:val="000A6BF8"/>
    <w:rsid w:val="000A6D91"/>
    <w:rsid w:val="000A6E32"/>
    <w:rsid w:val="000A7677"/>
    <w:rsid w:val="000A7999"/>
    <w:rsid w:val="000A7A82"/>
    <w:rsid w:val="000B0132"/>
    <w:rsid w:val="000B0B6E"/>
    <w:rsid w:val="000B0C22"/>
    <w:rsid w:val="000B1087"/>
    <w:rsid w:val="000B12B3"/>
    <w:rsid w:val="000B1319"/>
    <w:rsid w:val="000B140E"/>
    <w:rsid w:val="000B14D3"/>
    <w:rsid w:val="000B1708"/>
    <w:rsid w:val="000B1BB9"/>
    <w:rsid w:val="000B270F"/>
    <w:rsid w:val="000B3E9A"/>
    <w:rsid w:val="000B5E98"/>
    <w:rsid w:val="000B619E"/>
    <w:rsid w:val="000B6B9D"/>
    <w:rsid w:val="000B7A37"/>
    <w:rsid w:val="000B7BEA"/>
    <w:rsid w:val="000B7DD7"/>
    <w:rsid w:val="000C1486"/>
    <w:rsid w:val="000C1813"/>
    <w:rsid w:val="000C2844"/>
    <w:rsid w:val="000C2A8A"/>
    <w:rsid w:val="000C3105"/>
    <w:rsid w:val="000C39AD"/>
    <w:rsid w:val="000C4910"/>
    <w:rsid w:val="000C4C5E"/>
    <w:rsid w:val="000C506B"/>
    <w:rsid w:val="000C57EB"/>
    <w:rsid w:val="000C609F"/>
    <w:rsid w:val="000C764C"/>
    <w:rsid w:val="000C779F"/>
    <w:rsid w:val="000C7977"/>
    <w:rsid w:val="000C7BCE"/>
    <w:rsid w:val="000C7E16"/>
    <w:rsid w:val="000D02EF"/>
    <w:rsid w:val="000D0EC1"/>
    <w:rsid w:val="000D1534"/>
    <w:rsid w:val="000D178A"/>
    <w:rsid w:val="000D2F77"/>
    <w:rsid w:val="000D33CF"/>
    <w:rsid w:val="000D55CC"/>
    <w:rsid w:val="000D55D3"/>
    <w:rsid w:val="000D69AC"/>
    <w:rsid w:val="000D6D09"/>
    <w:rsid w:val="000D7C03"/>
    <w:rsid w:val="000E1A86"/>
    <w:rsid w:val="000E269B"/>
    <w:rsid w:val="000E2D81"/>
    <w:rsid w:val="000E3873"/>
    <w:rsid w:val="000E436E"/>
    <w:rsid w:val="000E5D75"/>
    <w:rsid w:val="000E60C5"/>
    <w:rsid w:val="000E7B7B"/>
    <w:rsid w:val="000F0C16"/>
    <w:rsid w:val="000F0DA7"/>
    <w:rsid w:val="000F1291"/>
    <w:rsid w:val="000F162F"/>
    <w:rsid w:val="000F16B5"/>
    <w:rsid w:val="000F2085"/>
    <w:rsid w:val="000F2444"/>
    <w:rsid w:val="000F2A5A"/>
    <w:rsid w:val="000F2BDD"/>
    <w:rsid w:val="000F2C6C"/>
    <w:rsid w:val="000F3867"/>
    <w:rsid w:val="000F3CE9"/>
    <w:rsid w:val="000F446C"/>
    <w:rsid w:val="000F4D46"/>
    <w:rsid w:val="000F59A6"/>
    <w:rsid w:val="000F7060"/>
    <w:rsid w:val="000F7E80"/>
    <w:rsid w:val="0010016E"/>
    <w:rsid w:val="00100A8C"/>
    <w:rsid w:val="00101BDB"/>
    <w:rsid w:val="00101DAB"/>
    <w:rsid w:val="00101E2C"/>
    <w:rsid w:val="0010256C"/>
    <w:rsid w:val="001026D7"/>
    <w:rsid w:val="00103BEE"/>
    <w:rsid w:val="00104698"/>
    <w:rsid w:val="001060A3"/>
    <w:rsid w:val="00106188"/>
    <w:rsid w:val="001066C9"/>
    <w:rsid w:val="00107F75"/>
    <w:rsid w:val="0011009D"/>
    <w:rsid w:val="001101A1"/>
    <w:rsid w:val="0011118F"/>
    <w:rsid w:val="00112262"/>
    <w:rsid w:val="0011276E"/>
    <w:rsid w:val="00114243"/>
    <w:rsid w:val="00114D10"/>
    <w:rsid w:val="001151DE"/>
    <w:rsid w:val="00115642"/>
    <w:rsid w:val="00115DB9"/>
    <w:rsid w:val="00115DC3"/>
    <w:rsid w:val="00116557"/>
    <w:rsid w:val="001170F4"/>
    <w:rsid w:val="0011771F"/>
    <w:rsid w:val="0012088D"/>
    <w:rsid w:val="0012090A"/>
    <w:rsid w:val="00120B3C"/>
    <w:rsid w:val="00120F70"/>
    <w:rsid w:val="00121119"/>
    <w:rsid w:val="0012168D"/>
    <w:rsid w:val="00122097"/>
    <w:rsid w:val="001240D6"/>
    <w:rsid w:val="00124247"/>
    <w:rsid w:val="0012446B"/>
    <w:rsid w:val="0012507A"/>
    <w:rsid w:val="00125F18"/>
    <w:rsid w:val="0012614C"/>
    <w:rsid w:val="00126188"/>
    <w:rsid w:val="00126553"/>
    <w:rsid w:val="001272CA"/>
    <w:rsid w:val="001307BB"/>
    <w:rsid w:val="00130C5B"/>
    <w:rsid w:val="00130FED"/>
    <w:rsid w:val="00131515"/>
    <w:rsid w:val="0013180B"/>
    <w:rsid w:val="00131981"/>
    <w:rsid w:val="00131BCC"/>
    <w:rsid w:val="00131E36"/>
    <w:rsid w:val="001323D2"/>
    <w:rsid w:val="00132489"/>
    <w:rsid w:val="00132DA1"/>
    <w:rsid w:val="00133716"/>
    <w:rsid w:val="00133FF7"/>
    <w:rsid w:val="00134302"/>
    <w:rsid w:val="00136010"/>
    <w:rsid w:val="001361E0"/>
    <w:rsid w:val="00136209"/>
    <w:rsid w:val="00137A6B"/>
    <w:rsid w:val="00140308"/>
    <w:rsid w:val="001415C0"/>
    <w:rsid w:val="001417C4"/>
    <w:rsid w:val="001422AC"/>
    <w:rsid w:val="001445FB"/>
    <w:rsid w:val="0014601D"/>
    <w:rsid w:val="001470A9"/>
    <w:rsid w:val="00150CDC"/>
    <w:rsid w:val="00151744"/>
    <w:rsid w:val="00152630"/>
    <w:rsid w:val="0015282B"/>
    <w:rsid w:val="00152AAD"/>
    <w:rsid w:val="00152C2C"/>
    <w:rsid w:val="00152D02"/>
    <w:rsid w:val="00153A07"/>
    <w:rsid w:val="00153D8B"/>
    <w:rsid w:val="00153E27"/>
    <w:rsid w:val="00153EE2"/>
    <w:rsid w:val="00153FB4"/>
    <w:rsid w:val="00154AEF"/>
    <w:rsid w:val="00154CFA"/>
    <w:rsid w:val="0015594C"/>
    <w:rsid w:val="00155BC3"/>
    <w:rsid w:val="00155C70"/>
    <w:rsid w:val="001563E9"/>
    <w:rsid w:val="00156480"/>
    <w:rsid w:val="00156495"/>
    <w:rsid w:val="0015685F"/>
    <w:rsid w:val="00156A02"/>
    <w:rsid w:val="00156A93"/>
    <w:rsid w:val="00157CD9"/>
    <w:rsid w:val="0016076D"/>
    <w:rsid w:val="00161673"/>
    <w:rsid w:val="00161AF5"/>
    <w:rsid w:val="00161FC4"/>
    <w:rsid w:val="001625D8"/>
    <w:rsid w:val="0016278C"/>
    <w:rsid w:val="00162961"/>
    <w:rsid w:val="001634D1"/>
    <w:rsid w:val="00163E18"/>
    <w:rsid w:val="00163E36"/>
    <w:rsid w:val="0016451D"/>
    <w:rsid w:val="00164A5E"/>
    <w:rsid w:val="0016553D"/>
    <w:rsid w:val="0016569B"/>
    <w:rsid w:val="00166155"/>
    <w:rsid w:val="00166470"/>
    <w:rsid w:val="00166D41"/>
    <w:rsid w:val="00167D7A"/>
    <w:rsid w:val="00170592"/>
    <w:rsid w:val="001705A7"/>
    <w:rsid w:val="00170FCC"/>
    <w:rsid w:val="00171043"/>
    <w:rsid w:val="001718B4"/>
    <w:rsid w:val="001721B9"/>
    <w:rsid w:val="00172EC3"/>
    <w:rsid w:val="00173872"/>
    <w:rsid w:val="00174614"/>
    <w:rsid w:val="00175CC8"/>
    <w:rsid w:val="001769DA"/>
    <w:rsid w:val="00177023"/>
    <w:rsid w:val="00177E65"/>
    <w:rsid w:val="00181A40"/>
    <w:rsid w:val="00181D82"/>
    <w:rsid w:val="00182A7A"/>
    <w:rsid w:val="00183048"/>
    <w:rsid w:val="001836AD"/>
    <w:rsid w:val="0018396E"/>
    <w:rsid w:val="00183D97"/>
    <w:rsid w:val="00183E4A"/>
    <w:rsid w:val="00184C5F"/>
    <w:rsid w:val="00184DAB"/>
    <w:rsid w:val="00184F18"/>
    <w:rsid w:val="00185403"/>
    <w:rsid w:val="00185AE6"/>
    <w:rsid w:val="001861AF"/>
    <w:rsid w:val="001901BC"/>
    <w:rsid w:val="0019045E"/>
    <w:rsid w:val="00190A48"/>
    <w:rsid w:val="0019139E"/>
    <w:rsid w:val="00191E74"/>
    <w:rsid w:val="001930AD"/>
    <w:rsid w:val="00193373"/>
    <w:rsid w:val="00193975"/>
    <w:rsid w:val="00194949"/>
    <w:rsid w:val="00196777"/>
    <w:rsid w:val="00196880"/>
    <w:rsid w:val="00196A4B"/>
    <w:rsid w:val="00196F74"/>
    <w:rsid w:val="001A003B"/>
    <w:rsid w:val="001A0934"/>
    <w:rsid w:val="001A102D"/>
    <w:rsid w:val="001A165B"/>
    <w:rsid w:val="001A2010"/>
    <w:rsid w:val="001A2171"/>
    <w:rsid w:val="001A227B"/>
    <w:rsid w:val="001A251E"/>
    <w:rsid w:val="001A29EA"/>
    <w:rsid w:val="001A514B"/>
    <w:rsid w:val="001A59E1"/>
    <w:rsid w:val="001A5B0A"/>
    <w:rsid w:val="001A5BF5"/>
    <w:rsid w:val="001A5ED2"/>
    <w:rsid w:val="001A7E65"/>
    <w:rsid w:val="001A7FF8"/>
    <w:rsid w:val="001B102C"/>
    <w:rsid w:val="001B10BE"/>
    <w:rsid w:val="001B10CE"/>
    <w:rsid w:val="001B1437"/>
    <w:rsid w:val="001B2B96"/>
    <w:rsid w:val="001B32C3"/>
    <w:rsid w:val="001B39D7"/>
    <w:rsid w:val="001B3FFD"/>
    <w:rsid w:val="001B4063"/>
    <w:rsid w:val="001B4321"/>
    <w:rsid w:val="001B45AA"/>
    <w:rsid w:val="001B481A"/>
    <w:rsid w:val="001B55EE"/>
    <w:rsid w:val="001B7216"/>
    <w:rsid w:val="001B7777"/>
    <w:rsid w:val="001C0588"/>
    <w:rsid w:val="001C0B59"/>
    <w:rsid w:val="001C0E63"/>
    <w:rsid w:val="001C1001"/>
    <w:rsid w:val="001C1262"/>
    <w:rsid w:val="001C1A40"/>
    <w:rsid w:val="001C1FE4"/>
    <w:rsid w:val="001C21B6"/>
    <w:rsid w:val="001C2798"/>
    <w:rsid w:val="001C27B4"/>
    <w:rsid w:val="001C33FB"/>
    <w:rsid w:val="001C3488"/>
    <w:rsid w:val="001C48A2"/>
    <w:rsid w:val="001C4FA9"/>
    <w:rsid w:val="001C5FD5"/>
    <w:rsid w:val="001C63BB"/>
    <w:rsid w:val="001C7793"/>
    <w:rsid w:val="001C7957"/>
    <w:rsid w:val="001D015A"/>
    <w:rsid w:val="001D01A9"/>
    <w:rsid w:val="001D0473"/>
    <w:rsid w:val="001D095B"/>
    <w:rsid w:val="001D2345"/>
    <w:rsid w:val="001D2353"/>
    <w:rsid w:val="001D475B"/>
    <w:rsid w:val="001D59A0"/>
    <w:rsid w:val="001D639B"/>
    <w:rsid w:val="001D676B"/>
    <w:rsid w:val="001E00D8"/>
    <w:rsid w:val="001E084C"/>
    <w:rsid w:val="001E1F7A"/>
    <w:rsid w:val="001E250E"/>
    <w:rsid w:val="001E388B"/>
    <w:rsid w:val="001E3B37"/>
    <w:rsid w:val="001E46FD"/>
    <w:rsid w:val="001E48EE"/>
    <w:rsid w:val="001E508E"/>
    <w:rsid w:val="001E6287"/>
    <w:rsid w:val="001E65F0"/>
    <w:rsid w:val="001E7377"/>
    <w:rsid w:val="001E79D7"/>
    <w:rsid w:val="001F2E2B"/>
    <w:rsid w:val="001F3352"/>
    <w:rsid w:val="001F3372"/>
    <w:rsid w:val="001F33E0"/>
    <w:rsid w:val="001F37DB"/>
    <w:rsid w:val="001F5133"/>
    <w:rsid w:val="002000C6"/>
    <w:rsid w:val="0020046B"/>
    <w:rsid w:val="00200827"/>
    <w:rsid w:val="00200ADA"/>
    <w:rsid w:val="00200B8E"/>
    <w:rsid w:val="002015FE"/>
    <w:rsid w:val="0020182C"/>
    <w:rsid w:val="0020276B"/>
    <w:rsid w:val="00202821"/>
    <w:rsid w:val="00203FAC"/>
    <w:rsid w:val="00204763"/>
    <w:rsid w:val="002055E1"/>
    <w:rsid w:val="00205D6B"/>
    <w:rsid w:val="0020741B"/>
    <w:rsid w:val="00211C24"/>
    <w:rsid w:val="00211F75"/>
    <w:rsid w:val="002121B6"/>
    <w:rsid w:val="00212683"/>
    <w:rsid w:val="0021362A"/>
    <w:rsid w:val="00215228"/>
    <w:rsid w:val="0021682F"/>
    <w:rsid w:val="00217669"/>
    <w:rsid w:val="00221BF7"/>
    <w:rsid w:val="00222133"/>
    <w:rsid w:val="00222CEE"/>
    <w:rsid w:val="0022365F"/>
    <w:rsid w:val="0022392A"/>
    <w:rsid w:val="00223BFB"/>
    <w:rsid w:val="002240FD"/>
    <w:rsid w:val="00224B65"/>
    <w:rsid w:val="00225CC2"/>
    <w:rsid w:val="00226340"/>
    <w:rsid w:val="00226FDF"/>
    <w:rsid w:val="002275D5"/>
    <w:rsid w:val="00227E33"/>
    <w:rsid w:val="00232A9F"/>
    <w:rsid w:val="00232F8D"/>
    <w:rsid w:val="002331F3"/>
    <w:rsid w:val="00233A25"/>
    <w:rsid w:val="002343E8"/>
    <w:rsid w:val="00235067"/>
    <w:rsid w:val="002352DB"/>
    <w:rsid w:val="0023632F"/>
    <w:rsid w:val="0023734E"/>
    <w:rsid w:val="00237382"/>
    <w:rsid w:val="00240106"/>
    <w:rsid w:val="0024015D"/>
    <w:rsid w:val="00240985"/>
    <w:rsid w:val="002409DC"/>
    <w:rsid w:val="00241993"/>
    <w:rsid w:val="0024200A"/>
    <w:rsid w:val="0024283C"/>
    <w:rsid w:val="00242EB5"/>
    <w:rsid w:val="00243086"/>
    <w:rsid w:val="00244B30"/>
    <w:rsid w:val="00245F68"/>
    <w:rsid w:val="00246F3F"/>
    <w:rsid w:val="002473A3"/>
    <w:rsid w:val="00247662"/>
    <w:rsid w:val="0024773A"/>
    <w:rsid w:val="00247EF0"/>
    <w:rsid w:val="00251220"/>
    <w:rsid w:val="0025227A"/>
    <w:rsid w:val="00253AC6"/>
    <w:rsid w:val="00253BE0"/>
    <w:rsid w:val="00253BE2"/>
    <w:rsid w:val="0025480B"/>
    <w:rsid w:val="00254B0F"/>
    <w:rsid w:val="00255D19"/>
    <w:rsid w:val="0025655C"/>
    <w:rsid w:val="002566F2"/>
    <w:rsid w:val="00256DDF"/>
    <w:rsid w:val="00256E3C"/>
    <w:rsid w:val="00257A60"/>
    <w:rsid w:val="002619F0"/>
    <w:rsid w:val="00261B9A"/>
    <w:rsid w:val="00262C1F"/>
    <w:rsid w:val="0026366D"/>
    <w:rsid w:val="00264E55"/>
    <w:rsid w:val="002662BC"/>
    <w:rsid w:val="0027130A"/>
    <w:rsid w:val="002720C8"/>
    <w:rsid w:val="002720F1"/>
    <w:rsid w:val="00272775"/>
    <w:rsid w:val="002735CF"/>
    <w:rsid w:val="002737C6"/>
    <w:rsid w:val="00273A44"/>
    <w:rsid w:val="00273BF8"/>
    <w:rsid w:val="00274084"/>
    <w:rsid w:val="00274899"/>
    <w:rsid w:val="00275671"/>
    <w:rsid w:val="00275906"/>
    <w:rsid w:val="002766E0"/>
    <w:rsid w:val="002772C7"/>
    <w:rsid w:val="00280B24"/>
    <w:rsid w:val="0028164A"/>
    <w:rsid w:val="00282D02"/>
    <w:rsid w:val="0028340A"/>
    <w:rsid w:val="002853BA"/>
    <w:rsid w:val="00285703"/>
    <w:rsid w:val="002859A1"/>
    <w:rsid w:val="00285B40"/>
    <w:rsid w:val="00285C41"/>
    <w:rsid w:val="00286FB8"/>
    <w:rsid w:val="00287499"/>
    <w:rsid w:val="002900C9"/>
    <w:rsid w:val="00290223"/>
    <w:rsid w:val="002904AC"/>
    <w:rsid w:val="0029091A"/>
    <w:rsid w:val="00292100"/>
    <w:rsid w:val="00292906"/>
    <w:rsid w:val="00293263"/>
    <w:rsid w:val="00293F02"/>
    <w:rsid w:val="002953F1"/>
    <w:rsid w:val="00295914"/>
    <w:rsid w:val="00295BEE"/>
    <w:rsid w:val="002978AC"/>
    <w:rsid w:val="00297DC4"/>
    <w:rsid w:val="002A0C6B"/>
    <w:rsid w:val="002A0D70"/>
    <w:rsid w:val="002A1596"/>
    <w:rsid w:val="002A18A8"/>
    <w:rsid w:val="002A2038"/>
    <w:rsid w:val="002A2DF0"/>
    <w:rsid w:val="002A3979"/>
    <w:rsid w:val="002A3B80"/>
    <w:rsid w:val="002A4B72"/>
    <w:rsid w:val="002A4BC9"/>
    <w:rsid w:val="002A6D63"/>
    <w:rsid w:val="002B1252"/>
    <w:rsid w:val="002B13A3"/>
    <w:rsid w:val="002B16EE"/>
    <w:rsid w:val="002B1F4B"/>
    <w:rsid w:val="002B27C7"/>
    <w:rsid w:val="002B2D16"/>
    <w:rsid w:val="002B2FFA"/>
    <w:rsid w:val="002B3524"/>
    <w:rsid w:val="002B4CFA"/>
    <w:rsid w:val="002B4FC7"/>
    <w:rsid w:val="002B64D5"/>
    <w:rsid w:val="002B6698"/>
    <w:rsid w:val="002B6DDF"/>
    <w:rsid w:val="002B712D"/>
    <w:rsid w:val="002B72A6"/>
    <w:rsid w:val="002B792E"/>
    <w:rsid w:val="002C02AE"/>
    <w:rsid w:val="002C1315"/>
    <w:rsid w:val="002C1CF0"/>
    <w:rsid w:val="002C1FA4"/>
    <w:rsid w:val="002C2F75"/>
    <w:rsid w:val="002C61DE"/>
    <w:rsid w:val="002C6811"/>
    <w:rsid w:val="002C7693"/>
    <w:rsid w:val="002D096C"/>
    <w:rsid w:val="002D1327"/>
    <w:rsid w:val="002D1FEF"/>
    <w:rsid w:val="002D36E6"/>
    <w:rsid w:val="002D37F2"/>
    <w:rsid w:val="002D4421"/>
    <w:rsid w:val="002D4AD6"/>
    <w:rsid w:val="002D4AE0"/>
    <w:rsid w:val="002D533A"/>
    <w:rsid w:val="002D5404"/>
    <w:rsid w:val="002D5A6F"/>
    <w:rsid w:val="002D6286"/>
    <w:rsid w:val="002D65D3"/>
    <w:rsid w:val="002D6B4D"/>
    <w:rsid w:val="002D70AC"/>
    <w:rsid w:val="002D7174"/>
    <w:rsid w:val="002D742E"/>
    <w:rsid w:val="002D7E6B"/>
    <w:rsid w:val="002E059F"/>
    <w:rsid w:val="002E0643"/>
    <w:rsid w:val="002E0BF1"/>
    <w:rsid w:val="002E17CD"/>
    <w:rsid w:val="002E2436"/>
    <w:rsid w:val="002E3039"/>
    <w:rsid w:val="002E368C"/>
    <w:rsid w:val="002E49C2"/>
    <w:rsid w:val="002E534C"/>
    <w:rsid w:val="002E5D04"/>
    <w:rsid w:val="002E64DF"/>
    <w:rsid w:val="002F10F7"/>
    <w:rsid w:val="002F134E"/>
    <w:rsid w:val="002F236C"/>
    <w:rsid w:val="002F315C"/>
    <w:rsid w:val="002F31EE"/>
    <w:rsid w:val="002F3242"/>
    <w:rsid w:val="002F43CC"/>
    <w:rsid w:val="002F4EE2"/>
    <w:rsid w:val="002F4FAF"/>
    <w:rsid w:val="002F554E"/>
    <w:rsid w:val="002F5D61"/>
    <w:rsid w:val="002F6746"/>
    <w:rsid w:val="002F6AFB"/>
    <w:rsid w:val="00300E63"/>
    <w:rsid w:val="00301578"/>
    <w:rsid w:val="003016F1"/>
    <w:rsid w:val="00301D74"/>
    <w:rsid w:val="00301F51"/>
    <w:rsid w:val="00302B7A"/>
    <w:rsid w:val="0030387A"/>
    <w:rsid w:val="00303C30"/>
    <w:rsid w:val="00304301"/>
    <w:rsid w:val="0030502D"/>
    <w:rsid w:val="00305A13"/>
    <w:rsid w:val="003060A0"/>
    <w:rsid w:val="00306307"/>
    <w:rsid w:val="00306748"/>
    <w:rsid w:val="003078B4"/>
    <w:rsid w:val="00307C43"/>
    <w:rsid w:val="00307E8C"/>
    <w:rsid w:val="00307ED2"/>
    <w:rsid w:val="003102AF"/>
    <w:rsid w:val="00310401"/>
    <w:rsid w:val="003109AC"/>
    <w:rsid w:val="00310B14"/>
    <w:rsid w:val="003112D2"/>
    <w:rsid w:val="00312912"/>
    <w:rsid w:val="00314FD8"/>
    <w:rsid w:val="0031504D"/>
    <w:rsid w:val="00316517"/>
    <w:rsid w:val="00316E96"/>
    <w:rsid w:val="00317BFF"/>
    <w:rsid w:val="00317F49"/>
    <w:rsid w:val="003202CA"/>
    <w:rsid w:val="0032089F"/>
    <w:rsid w:val="003219B8"/>
    <w:rsid w:val="00321C4F"/>
    <w:rsid w:val="003220AB"/>
    <w:rsid w:val="00322E21"/>
    <w:rsid w:val="00322EB4"/>
    <w:rsid w:val="00323A75"/>
    <w:rsid w:val="00323E50"/>
    <w:rsid w:val="003255F8"/>
    <w:rsid w:val="003277C8"/>
    <w:rsid w:val="00327EF6"/>
    <w:rsid w:val="00331B92"/>
    <w:rsid w:val="00331F07"/>
    <w:rsid w:val="00332BD0"/>
    <w:rsid w:val="0033405D"/>
    <w:rsid w:val="00334B35"/>
    <w:rsid w:val="00334BC1"/>
    <w:rsid w:val="00335677"/>
    <w:rsid w:val="00337895"/>
    <w:rsid w:val="00337CDE"/>
    <w:rsid w:val="00340578"/>
    <w:rsid w:val="0034095E"/>
    <w:rsid w:val="0034110C"/>
    <w:rsid w:val="00341E13"/>
    <w:rsid w:val="00342D9A"/>
    <w:rsid w:val="0034352E"/>
    <w:rsid w:val="00343765"/>
    <w:rsid w:val="00345205"/>
    <w:rsid w:val="00345431"/>
    <w:rsid w:val="00345869"/>
    <w:rsid w:val="00346373"/>
    <w:rsid w:val="00346E25"/>
    <w:rsid w:val="00350619"/>
    <w:rsid w:val="00350C16"/>
    <w:rsid w:val="00350C22"/>
    <w:rsid w:val="00352DEF"/>
    <w:rsid w:val="003538D2"/>
    <w:rsid w:val="00353FCF"/>
    <w:rsid w:val="00354F7C"/>
    <w:rsid w:val="00355C66"/>
    <w:rsid w:val="00356101"/>
    <w:rsid w:val="003563BC"/>
    <w:rsid w:val="003605B6"/>
    <w:rsid w:val="00360647"/>
    <w:rsid w:val="00360F52"/>
    <w:rsid w:val="003614C9"/>
    <w:rsid w:val="00362044"/>
    <w:rsid w:val="0036225A"/>
    <w:rsid w:val="003626CC"/>
    <w:rsid w:val="0036279A"/>
    <w:rsid w:val="00362AFA"/>
    <w:rsid w:val="003630AC"/>
    <w:rsid w:val="0036344C"/>
    <w:rsid w:val="003634E7"/>
    <w:rsid w:val="00363530"/>
    <w:rsid w:val="00364116"/>
    <w:rsid w:val="003647D8"/>
    <w:rsid w:val="003651FA"/>
    <w:rsid w:val="00365513"/>
    <w:rsid w:val="003661B2"/>
    <w:rsid w:val="00366D8A"/>
    <w:rsid w:val="0036757A"/>
    <w:rsid w:val="003677DE"/>
    <w:rsid w:val="003678D8"/>
    <w:rsid w:val="00367A95"/>
    <w:rsid w:val="00367C05"/>
    <w:rsid w:val="003705F7"/>
    <w:rsid w:val="0037061A"/>
    <w:rsid w:val="00370FBB"/>
    <w:rsid w:val="003712FB"/>
    <w:rsid w:val="00371797"/>
    <w:rsid w:val="00372C29"/>
    <w:rsid w:val="00373513"/>
    <w:rsid w:val="00374F38"/>
    <w:rsid w:val="00375F91"/>
    <w:rsid w:val="00375FBB"/>
    <w:rsid w:val="0037603C"/>
    <w:rsid w:val="003766AA"/>
    <w:rsid w:val="00376A69"/>
    <w:rsid w:val="0038076A"/>
    <w:rsid w:val="003814E0"/>
    <w:rsid w:val="00383396"/>
    <w:rsid w:val="00383E98"/>
    <w:rsid w:val="003844E5"/>
    <w:rsid w:val="00384741"/>
    <w:rsid w:val="00384828"/>
    <w:rsid w:val="00384C48"/>
    <w:rsid w:val="00385E65"/>
    <w:rsid w:val="00386580"/>
    <w:rsid w:val="00387950"/>
    <w:rsid w:val="00387B24"/>
    <w:rsid w:val="003905CE"/>
    <w:rsid w:val="00390D4F"/>
    <w:rsid w:val="00390FAD"/>
    <w:rsid w:val="00391267"/>
    <w:rsid w:val="00391E54"/>
    <w:rsid w:val="00391F4F"/>
    <w:rsid w:val="00393798"/>
    <w:rsid w:val="00394B0C"/>
    <w:rsid w:val="00394C96"/>
    <w:rsid w:val="00394EF1"/>
    <w:rsid w:val="00395706"/>
    <w:rsid w:val="00396F65"/>
    <w:rsid w:val="00397378"/>
    <w:rsid w:val="003975DC"/>
    <w:rsid w:val="003978E8"/>
    <w:rsid w:val="003A0B7C"/>
    <w:rsid w:val="003A0BE2"/>
    <w:rsid w:val="003A1235"/>
    <w:rsid w:val="003A29E6"/>
    <w:rsid w:val="003A378C"/>
    <w:rsid w:val="003A38C8"/>
    <w:rsid w:val="003A4675"/>
    <w:rsid w:val="003A5905"/>
    <w:rsid w:val="003A5921"/>
    <w:rsid w:val="003B0450"/>
    <w:rsid w:val="003B065D"/>
    <w:rsid w:val="003B0CC7"/>
    <w:rsid w:val="003B0F75"/>
    <w:rsid w:val="003B12E1"/>
    <w:rsid w:val="003B3996"/>
    <w:rsid w:val="003B45E0"/>
    <w:rsid w:val="003B606B"/>
    <w:rsid w:val="003B623D"/>
    <w:rsid w:val="003B6487"/>
    <w:rsid w:val="003B66BB"/>
    <w:rsid w:val="003B66CC"/>
    <w:rsid w:val="003B6AAD"/>
    <w:rsid w:val="003B6F27"/>
    <w:rsid w:val="003B7298"/>
    <w:rsid w:val="003B7B98"/>
    <w:rsid w:val="003C291F"/>
    <w:rsid w:val="003C2E21"/>
    <w:rsid w:val="003C3695"/>
    <w:rsid w:val="003C37A4"/>
    <w:rsid w:val="003C3E7D"/>
    <w:rsid w:val="003C4DB8"/>
    <w:rsid w:val="003C676D"/>
    <w:rsid w:val="003C6C2C"/>
    <w:rsid w:val="003C7971"/>
    <w:rsid w:val="003C7EE9"/>
    <w:rsid w:val="003D0241"/>
    <w:rsid w:val="003D0D13"/>
    <w:rsid w:val="003D1354"/>
    <w:rsid w:val="003D4882"/>
    <w:rsid w:val="003D792E"/>
    <w:rsid w:val="003D7F20"/>
    <w:rsid w:val="003E019C"/>
    <w:rsid w:val="003E102C"/>
    <w:rsid w:val="003E2A10"/>
    <w:rsid w:val="003E2AAA"/>
    <w:rsid w:val="003E410A"/>
    <w:rsid w:val="003E4B61"/>
    <w:rsid w:val="003E5218"/>
    <w:rsid w:val="003E5CC4"/>
    <w:rsid w:val="003E657F"/>
    <w:rsid w:val="003E65D1"/>
    <w:rsid w:val="003E6870"/>
    <w:rsid w:val="003E6BA3"/>
    <w:rsid w:val="003F00F0"/>
    <w:rsid w:val="003F0A96"/>
    <w:rsid w:val="003F1354"/>
    <w:rsid w:val="003F1495"/>
    <w:rsid w:val="003F29DA"/>
    <w:rsid w:val="003F3887"/>
    <w:rsid w:val="003F3966"/>
    <w:rsid w:val="003F3DA6"/>
    <w:rsid w:val="003F42BB"/>
    <w:rsid w:val="003F4604"/>
    <w:rsid w:val="003F4B69"/>
    <w:rsid w:val="003F4E18"/>
    <w:rsid w:val="003F59C7"/>
    <w:rsid w:val="003F6497"/>
    <w:rsid w:val="003F7034"/>
    <w:rsid w:val="003F7BCE"/>
    <w:rsid w:val="0040016B"/>
    <w:rsid w:val="004002C1"/>
    <w:rsid w:val="00401701"/>
    <w:rsid w:val="00402DD4"/>
    <w:rsid w:val="004031EC"/>
    <w:rsid w:val="004032C6"/>
    <w:rsid w:val="004039BC"/>
    <w:rsid w:val="004042B4"/>
    <w:rsid w:val="004046DB"/>
    <w:rsid w:val="00406ADD"/>
    <w:rsid w:val="004072AE"/>
    <w:rsid w:val="004111B1"/>
    <w:rsid w:val="004118DB"/>
    <w:rsid w:val="00411A0E"/>
    <w:rsid w:val="00411D74"/>
    <w:rsid w:val="00412979"/>
    <w:rsid w:val="00412CDA"/>
    <w:rsid w:val="004135CB"/>
    <w:rsid w:val="004136BA"/>
    <w:rsid w:val="00413C44"/>
    <w:rsid w:val="00414795"/>
    <w:rsid w:val="00414CAE"/>
    <w:rsid w:val="00415809"/>
    <w:rsid w:val="00415FAC"/>
    <w:rsid w:val="004169CD"/>
    <w:rsid w:val="00416BF4"/>
    <w:rsid w:val="00417E81"/>
    <w:rsid w:val="00420786"/>
    <w:rsid w:val="00420CBE"/>
    <w:rsid w:val="004227EF"/>
    <w:rsid w:val="00422B28"/>
    <w:rsid w:val="00422E74"/>
    <w:rsid w:val="00425D9E"/>
    <w:rsid w:val="004264DD"/>
    <w:rsid w:val="00426828"/>
    <w:rsid w:val="004275A0"/>
    <w:rsid w:val="004275BA"/>
    <w:rsid w:val="0042780D"/>
    <w:rsid w:val="00430AB1"/>
    <w:rsid w:val="00431F3B"/>
    <w:rsid w:val="00432309"/>
    <w:rsid w:val="00432448"/>
    <w:rsid w:val="0043262A"/>
    <w:rsid w:val="004331D7"/>
    <w:rsid w:val="00433926"/>
    <w:rsid w:val="00435B59"/>
    <w:rsid w:val="00435CCE"/>
    <w:rsid w:val="00437AF3"/>
    <w:rsid w:val="004405B9"/>
    <w:rsid w:val="00440E05"/>
    <w:rsid w:val="004416D9"/>
    <w:rsid w:val="00441BE7"/>
    <w:rsid w:val="004433A7"/>
    <w:rsid w:val="004439D9"/>
    <w:rsid w:val="00443E0A"/>
    <w:rsid w:val="00443FF6"/>
    <w:rsid w:val="00444C63"/>
    <w:rsid w:val="00444F5D"/>
    <w:rsid w:val="0044504D"/>
    <w:rsid w:val="00445131"/>
    <w:rsid w:val="00445483"/>
    <w:rsid w:val="00445887"/>
    <w:rsid w:val="004458DB"/>
    <w:rsid w:val="00445ACD"/>
    <w:rsid w:val="00445AF8"/>
    <w:rsid w:val="00445CA6"/>
    <w:rsid w:val="00445E71"/>
    <w:rsid w:val="00447546"/>
    <w:rsid w:val="004514E2"/>
    <w:rsid w:val="00451909"/>
    <w:rsid w:val="00451FD3"/>
    <w:rsid w:val="00452103"/>
    <w:rsid w:val="00453560"/>
    <w:rsid w:val="00453DED"/>
    <w:rsid w:val="004541F5"/>
    <w:rsid w:val="00454440"/>
    <w:rsid w:val="00454A58"/>
    <w:rsid w:val="00454AB3"/>
    <w:rsid w:val="00454B0A"/>
    <w:rsid w:val="00454B4D"/>
    <w:rsid w:val="00454C83"/>
    <w:rsid w:val="004554E8"/>
    <w:rsid w:val="0045577E"/>
    <w:rsid w:val="00455A69"/>
    <w:rsid w:val="004568C2"/>
    <w:rsid w:val="00456EA6"/>
    <w:rsid w:val="00460A43"/>
    <w:rsid w:val="004612F1"/>
    <w:rsid w:val="00461B2D"/>
    <w:rsid w:val="00461E87"/>
    <w:rsid w:val="00463939"/>
    <w:rsid w:val="00463B2D"/>
    <w:rsid w:val="00464060"/>
    <w:rsid w:val="00464B8F"/>
    <w:rsid w:val="00465419"/>
    <w:rsid w:val="00465B38"/>
    <w:rsid w:val="00466A79"/>
    <w:rsid w:val="00467CE4"/>
    <w:rsid w:val="0047039D"/>
    <w:rsid w:val="004713B3"/>
    <w:rsid w:val="0047156B"/>
    <w:rsid w:val="0047178C"/>
    <w:rsid w:val="00471911"/>
    <w:rsid w:val="004719B6"/>
    <w:rsid w:val="00471F04"/>
    <w:rsid w:val="00473098"/>
    <w:rsid w:val="00474AD8"/>
    <w:rsid w:val="00475323"/>
    <w:rsid w:val="0048066C"/>
    <w:rsid w:val="00481002"/>
    <w:rsid w:val="004813D3"/>
    <w:rsid w:val="00482CD5"/>
    <w:rsid w:val="00483A33"/>
    <w:rsid w:val="0048400B"/>
    <w:rsid w:val="004841E9"/>
    <w:rsid w:val="00484EC3"/>
    <w:rsid w:val="0048527A"/>
    <w:rsid w:val="00485ABA"/>
    <w:rsid w:val="00485BE3"/>
    <w:rsid w:val="00486604"/>
    <w:rsid w:val="0048787B"/>
    <w:rsid w:val="00487B82"/>
    <w:rsid w:val="004912C8"/>
    <w:rsid w:val="004912D3"/>
    <w:rsid w:val="00491390"/>
    <w:rsid w:val="00491D29"/>
    <w:rsid w:val="00492886"/>
    <w:rsid w:val="00493101"/>
    <w:rsid w:val="00493A79"/>
    <w:rsid w:val="004944D9"/>
    <w:rsid w:val="004947BF"/>
    <w:rsid w:val="00494F02"/>
    <w:rsid w:val="004951E4"/>
    <w:rsid w:val="00495A27"/>
    <w:rsid w:val="00496DCB"/>
    <w:rsid w:val="00496ED2"/>
    <w:rsid w:val="00497367"/>
    <w:rsid w:val="00497596"/>
    <w:rsid w:val="004A01B1"/>
    <w:rsid w:val="004A083E"/>
    <w:rsid w:val="004A20D0"/>
    <w:rsid w:val="004A28F7"/>
    <w:rsid w:val="004A2FAD"/>
    <w:rsid w:val="004A3E16"/>
    <w:rsid w:val="004A3F27"/>
    <w:rsid w:val="004A5964"/>
    <w:rsid w:val="004A5F2C"/>
    <w:rsid w:val="004A6656"/>
    <w:rsid w:val="004A7908"/>
    <w:rsid w:val="004B15CA"/>
    <w:rsid w:val="004B32C7"/>
    <w:rsid w:val="004B3737"/>
    <w:rsid w:val="004B37F5"/>
    <w:rsid w:val="004B3D60"/>
    <w:rsid w:val="004B4BAD"/>
    <w:rsid w:val="004B6EEC"/>
    <w:rsid w:val="004B7121"/>
    <w:rsid w:val="004B7432"/>
    <w:rsid w:val="004B7744"/>
    <w:rsid w:val="004C0407"/>
    <w:rsid w:val="004C125A"/>
    <w:rsid w:val="004C1430"/>
    <w:rsid w:val="004C15FB"/>
    <w:rsid w:val="004C2209"/>
    <w:rsid w:val="004C2F5A"/>
    <w:rsid w:val="004C323D"/>
    <w:rsid w:val="004C4BB2"/>
    <w:rsid w:val="004C4C33"/>
    <w:rsid w:val="004C59BF"/>
    <w:rsid w:val="004C6FD0"/>
    <w:rsid w:val="004C7840"/>
    <w:rsid w:val="004C7C60"/>
    <w:rsid w:val="004D183C"/>
    <w:rsid w:val="004D22AA"/>
    <w:rsid w:val="004D2BF9"/>
    <w:rsid w:val="004D30D2"/>
    <w:rsid w:val="004D33E4"/>
    <w:rsid w:val="004D3D4C"/>
    <w:rsid w:val="004D4296"/>
    <w:rsid w:val="004D4872"/>
    <w:rsid w:val="004D50FF"/>
    <w:rsid w:val="004D56E3"/>
    <w:rsid w:val="004D5869"/>
    <w:rsid w:val="004D5E47"/>
    <w:rsid w:val="004D634C"/>
    <w:rsid w:val="004D6E4D"/>
    <w:rsid w:val="004D6E92"/>
    <w:rsid w:val="004D748B"/>
    <w:rsid w:val="004D75DF"/>
    <w:rsid w:val="004D760A"/>
    <w:rsid w:val="004D7AB3"/>
    <w:rsid w:val="004D7AC2"/>
    <w:rsid w:val="004E056E"/>
    <w:rsid w:val="004E0B88"/>
    <w:rsid w:val="004E4044"/>
    <w:rsid w:val="004E4121"/>
    <w:rsid w:val="004E42B0"/>
    <w:rsid w:val="004E4726"/>
    <w:rsid w:val="004E4E59"/>
    <w:rsid w:val="004F0410"/>
    <w:rsid w:val="004F054A"/>
    <w:rsid w:val="004F08D4"/>
    <w:rsid w:val="004F0A90"/>
    <w:rsid w:val="004F0B20"/>
    <w:rsid w:val="004F1EDB"/>
    <w:rsid w:val="004F2D3E"/>
    <w:rsid w:val="004F3B3D"/>
    <w:rsid w:val="004F3F9D"/>
    <w:rsid w:val="004F4887"/>
    <w:rsid w:val="004F4E44"/>
    <w:rsid w:val="004F4FCC"/>
    <w:rsid w:val="004F5194"/>
    <w:rsid w:val="004F61C8"/>
    <w:rsid w:val="004F66DC"/>
    <w:rsid w:val="004F71C7"/>
    <w:rsid w:val="004F75A8"/>
    <w:rsid w:val="00500567"/>
    <w:rsid w:val="00500E30"/>
    <w:rsid w:val="00502575"/>
    <w:rsid w:val="00503DF8"/>
    <w:rsid w:val="0050410F"/>
    <w:rsid w:val="0050455C"/>
    <w:rsid w:val="00504CC6"/>
    <w:rsid w:val="0050514F"/>
    <w:rsid w:val="0050521A"/>
    <w:rsid w:val="0050540D"/>
    <w:rsid w:val="00505540"/>
    <w:rsid w:val="005065C7"/>
    <w:rsid w:val="00512895"/>
    <w:rsid w:val="00512A34"/>
    <w:rsid w:val="00512BD1"/>
    <w:rsid w:val="00512ED5"/>
    <w:rsid w:val="00513328"/>
    <w:rsid w:val="00513B87"/>
    <w:rsid w:val="005148E1"/>
    <w:rsid w:val="00514F60"/>
    <w:rsid w:val="0051531D"/>
    <w:rsid w:val="00515B7B"/>
    <w:rsid w:val="00515F7E"/>
    <w:rsid w:val="00517753"/>
    <w:rsid w:val="005211AE"/>
    <w:rsid w:val="005222EF"/>
    <w:rsid w:val="005230E7"/>
    <w:rsid w:val="00523746"/>
    <w:rsid w:val="00523D91"/>
    <w:rsid w:val="005240F2"/>
    <w:rsid w:val="005241C4"/>
    <w:rsid w:val="0052473A"/>
    <w:rsid w:val="005256F3"/>
    <w:rsid w:val="00526603"/>
    <w:rsid w:val="0053019D"/>
    <w:rsid w:val="00530F92"/>
    <w:rsid w:val="005313DB"/>
    <w:rsid w:val="0053231B"/>
    <w:rsid w:val="00532B6C"/>
    <w:rsid w:val="00533DD4"/>
    <w:rsid w:val="00535B57"/>
    <w:rsid w:val="00535F23"/>
    <w:rsid w:val="005363EB"/>
    <w:rsid w:val="0053643A"/>
    <w:rsid w:val="005376A2"/>
    <w:rsid w:val="0053776A"/>
    <w:rsid w:val="00540056"/>
    <w:rsid w:val="00540270"/>
    <w:rsid w:val="00540919"/>
    <w:rsid w:val="005409B6"/>
    <w:rsid w:val="00540BF4"/>
    <w:rsid w:val="00541886"/>
    <w:rsid w:val="00541956"/>
    <w:rsid w:val="00542FD9"/>
    <w:rsid w:val="0054387A"/>
    <w:rsid w:val="00544D21"/>
    <w:rsid w:val="00545354"/>
    <w:rsid w:val="00545AED"/>
    <w:rsid w:val="00546B63"/>
    <w:rsid w:val="00547581"/>
    <w:rsid w:val="00550335"/>
    <w:rsid w:val="00552322"/>
    <w:rsid w:val="005528CE"/>
    <w:rsid w:val="00554520"/>
    <w:rsid w:val="0055452E"/>
    <w:rsid w:val="00554753"/>
    <w:rsid w:val="00554E0F"/>
    <w:rsid w:val="005552E3"/>
    <w:rsid w:val="00555C5C"/>
    <w:rsid w:val="0055735F"/>
    <w:rsid w:val="00557687"/>
    <w:rsid w:val="00557C66"/>
    <w:rsid w:val="00561C62"/>
    <w:rsid w:val="0056281E"/>
    <w:rsid w:val="00562DC7"/>
    <w:rsid w:val="005631EA"/>
    <w:rsid w:val="005632C0"/>
    <w:rsid w:val="005634F8"/>
    <w:rsid w:val="005639BA"/>
    <w:rsid w:val="00563A4A"/>
    <w:rsid w:val="005643EE"/>
    <w:rsid w:val="00564DEE"/>
    <w:rsid w:val="00565313"/>
    <w:rsid w:val="00565991"/>
    <w:rsid w:val="00565B90"/>
    <w:rsid w:val="00565D53"/>
    <w:rsid w:val="00566456"/>
    <w:rsid w:val="005671FD"/>
    <w:rsid w:val="00567933"/>
    <w:rsid w:val="005704EF"/>
    <w:rsid w:val="0057164D"/>
    <w:rsid w:val="005721DA"/>
    <w:rsid w:val="00572586"/>
    <w:rsid w:val="00572F81"/>
    <w:rsid w:val="00573240"/>
    <w:rsid w:val="00573E25"/>
    <w:rsid w:val="00573E63"/>
    <w:rsid w:val="00574403"/>
    <w:rsid w:val="0057449B"/>
    <w:rsid w:val="00574910"/>
    <w:rsid w:val="00575378"/>
    <w:rsid w:val="005763D0"/>
    <w:rsid w:val="00576737"/>
    <w:rsid w:val="00576FB9"/>
    <w:rsid w:val="00577B8E"/>
    <w:rsid w:val="005803D6"/>
    <w:rsid w:val="00580445"/>
    <w:rsid w:val="005805D1"/>
    <w:rsid w:val="0058092B"/>
    <w:rsid w:val="00580C3E"/>
    <w:rsid w:val="00580ED2"/>
    <w:rsid w:val="0058245B"/>
    <w:rsid w:val="00582D79"/>
    <w:rsid w:val="00583942"/>
    <w:rsid w:val="00583A15"/>
    <w:rsid w:val="00583FC4"/>
    <w:rsid w:val="0058462C"/>
    <w:rsid w:val="00584F59"/>
    <w:rsid w:val="005850B3"/>
    <w:rsid w:val="005853BE"/>
    <w:rsid w:val="00585921"/>
    <w:rsid w:val="00585CB1"/>
    <w:rsid w:val="005860B3"/>
    <w:rsid w:val="005870DD"/>
    <w:rsid w:val="00587DDB"/>
    <w:rsid w:val="00590902"/>
    <w:rsid w:val="005920F3"/>
    <w:rsid w:val="005926A5"/>
    <w:rsid w:val="00592A51"/>
    <w:rsid w:val="00592BBF"/>
    <w:rsid w:val="00593F96"/>
    <w:rsid w:val="005940C0"/>
    <w:rsid w:val="005945B2"/>
    <w:rsid w:val="0059507C"/>
    <w:rsid w:val="005953B2"/>
    <w:rsid w:val="0059551B"/>
    <w:rsid w:val="00595CED"/>
    <w:rsid w:val="005960AA"/>
    <w:rsid w:val="00596117"/>
    <w:rsid w:val="0059633E"/>
    <w:rsid w:val="00596C3E"/>
    <w:rsid w:val="005975B4"/>
    <w:rsid w:val="005A1B45"/>
    <w:rsid w:val="005A29BE"/>
    <w:rsid w:val="005A2AD4"/>
    <w:rsid w:val="005A2F61"/>
    <w:rsid w:val="005A44C8"/>
    <w:rsid w:val="005A514F"/>
    <w:rsid w:val="005A5701"/>
    <w:rsid w:val="005A68B4"/>
    <w:rsid w:val="005A738B"/>
    <w:rsid w:val="005A7676"/>
    <w:rsid w:val="005A7F8C"/>
    <w:rsid w:val="005B0795"/>
    <w:rsid w:val="005B2E55"/>
    <w:rsid w:val="005B3008"/>
    <w:rsid w:val="005B3EB8"/>
    <w:rsid w:val="005B46C4"/>
    <w:rsid w:val="005B6807"/>
    <w:rsid w:val="005C01B3"/>
    <w:rsid w:val="005C0ED8"/>
    <w:rsid w:val="005C13BA"/>
    <w:rsid w:val="005C1EAB"/>
    <w:rsid w:val="005C244B"/>
    <w:rsid w:val="005C3B52"/>
    <w:rsid w:val="005C3CCD"/>
    <w:rsid w:val="005C3CD3"/>
    <w:rsid w:val="005C4556"/>
    <w:rsid w:val="005C55E8"/>
    <w:rsid w:val="005C6063"/>
    <w:rsid w:val="005C63B0"/>
    <w:rsid w:val="005C723A"/>
    <w:rsid w:val="005D018B"/>
    <w:rsid w:val="005D063A"/>
    <w:rsid w:val="005D08B0"/>
    <w:rsid w:val="005D10CD"/>
    <w:rsid w:val="005D167C"/>
    <w:rsid w:val="005D2741"/>
    <w:rsid w:val="005D27E6"/>
    <w:rsid w:val="005D3E6C"/>
    <w:rsid w:val="005D4639"/>
    <w:rsid w:val="005D4DBB"/>
    <w:rsid w:val="005D686D"/>
    <w:rsid w:val="005D6AE7"/>
    <w:rsid w:val="005E0046"/>
    <w:rsid w:val="005E0216"/>
    <w:rsid w:val="005E0D8F"/>
    <w:rsid w:val="005E0F86"/>
    <w:rsid w:val="005E1107"/>
    <w:rsid w:val="005E239E"/>
    <w:rsid w:val="005E3052"/>
    <w:rsid w:val="005E31BB"/>
    <w:rsid w:val="005E3419"/>
    <w:rsid w:val="005E373A"/>
    <w:rsid w:val="005E42DD"/>
    <w:rsid w:val="005E46E8"/>
    <w:rsid w:val="005E50E1"/>
    <w:rsid w:val="005E5CA0"/>
    <w:rsid w:val="005E5CC1"/>
    <w:rsid w:val="005E5E89"/>
    <w:rsid w:val="005E6335"/>
    <w:rsid w:val="005E6C40"/>
    <w:rsid w:val="005E6C8D"/>
    <w:rsid w:val="005F0938"/>
    <w:rsid w:val="005F15D7"/>
    <w:rsid w:val="005F1910"/>
    <w:rsid w:val="005F1E49"/>
    <w:rsid w:val="005F2298"/>
    <w:rsid w:val="005F2A20"/>
    <w:rsid w:val="005F2C78"/>
    <w:rsid w:val="005F326B"/>
    <w:rsid w:val="005F32DA"/>
    <w:rsid w:val="005F4261"/>
    <w:rsid w:val="005F4A03"/>
    <w:rsid w:val="005F4DF0"/>
    <w:rsid w:val="005F56A6"/>
    <w:rsid w:val="005F6016"/>
    <w:rsid w:val="005F60C8"/>
    <w:rsid w:val="005F65A4"/>
    <w:rsid w:val="006009D7"/>
    <w:rsid w:val="006021BE"/>
    <w:rsid w:val="00602D85"/>
    <w:rsid w:val="006033C3"/>
    <w:rsid w:val="00603D67"/>
    <w:rsid w:val="0060443C"/>
    <w:rsid w:val="00605316"/>
    <w:rsid w:val="006059F1"/>
    <w:rsid w:val="00606AFB"/>
    <w:rsid w:val="006075CF"/>
    <w:rsid w:val="00607615"/>
    <w:rsid w:val="0060763E"/>
    <w:rsid w:val="00607A8C"/>
    <w:rsid w:val="00612449"/>
    <w:rsid w:val="0061245D"/>
    <w:rsid w:val="00615251"/>
    <w:rsid w:val="0061620B"/>
    <w:rsid w:val="006169CC"/>
    <w:rsid w:val="00617323"/>
    <w:rsid w:val="00617BAD"/>
    <w:rsid w:val="00617CCE"/>
    <w:rsid w:val="00620DC5"/>
    <w:rsid w:val="00621D95"/>
    <w:rsid w:val="0062312D"/>
    <w:rsid w:val="00623B92"/>
    <w:rsid w:val="0062499F"/>
    <w:rsid w:val="00625A4F"/>
    <w:rsid w:val="0062662F"/>
    <w:rsid w:val="006270BA"/>
    <w:rsid w:val="006304AE"/>
    <w:rsid w:val="00630BA9"/>
    <w:rsid w:val="006319A4"/>
    <w:rsid w:val="00631F41"/>
    <w:rsid w:val="00632A4C"/>
    <w:rsid w:val="006345FF"/>
    <w:rsid w:val="0063650E"/>
    <w:rsid w:val="0063664C"/>
    <w:rsid w:val="00636A89"/>
    <w:rsid w:val="0063787E"/>
    <w:rsid w:val="0063796A"/>
    <w:rsid w:val="00637ACE"/>
    <w:rsid w:val="00640CC2"/>
    <w:rsid w:val="0064105C"/>
    <w:rsid w:val="006411B5"/>
    <w:rsid w:val="006424FD"/>
    <w:rsid w:val="00642743"/>
    <w:rsid w:val="00642802"/>
    <w:rsid w:val="0064316F"/>
    <w:rsid w:val="00643200"/>
    <w:rsid w:val="00644BE2"/>
    <w:rsid w:val="00645C66"/>
    <w:rsid w:val="00646019"/>
    <w:rsid w:val="006464B9"/>
    <w:rsid w:val="00646B8A"/>
    <w:rsid w:val="006470DC"/>
    <w:rsid w:val="00647237"/>
    <w:rsid w:val="00647B17"/>
    <w:rsid w:val="006500FE"/>
    <w:rsid w:val="0065034A"/>
    <w:rsid w:val="00651CBB"/>
    <w:rsid w:val="00652419"/>
    <w:rsid w:val="00652DFE"/>
    <w:rsid w:val="00653496"/>
    <w:rsid w:val="00653CBF"/>
    <w:rsid w:val="00654D83"/>
    <w:rsid w:val="006563F4"/>
    <w:rsid w:val="00656435"/>
    <w:rsid w:val="00657428"/>
    <w:rsid w:val="00657506"/>
    <w:rsid w:val="00660156"/>
    <w:rsid w:val="00660315"/>
    <w:rsid w:val="00660A63"/>
    <w:rsid w:val="00660CC8"/>
    <w:rsid w:val="00660DE9"/>
    <w:rsid w:val="00660EA5"/>
    <w:rsid w:val="00662A71"/>
    <w:rsid w:val="00662CCC"/>
    <w:rsid w:val="006636B6"/>
    <w:rsid w:val="00664399"/>
    <w:rsid w:val="006643D6"/>
    <w:rsid w:val="006655E0"/>
    <w:rsid w:val="00665BB1"/>
    <w:rsid w:val="00665D5B"/>
    <w:rsid w:val="00666D22"/>
    <w:rsid w:val="00667B0E"/>
    <w:rsid w:val="00667BA2"/>
    <w:rsid w:val="0067046B"/>
    <w:rsid w:val="0067056A"/>
    <w:rsid w:val="006719A1"/>
    <w:rsid w:val="00671F99"/>
    <w:rsid w:val="0067228A"/>
    <w:rsid w:val="00672343"/>
    <w:rsid w:val="00673B16"/>
    <w:rsid w:val="00674288"/>
    <w:rsid w:val="0067429C"/>
    <w:rsid w:val="006744C8"/>
    <w:rsid w:val="006748F4"/>
    <w:rsid w:val="00674D43"/>
    <w:rsid w:val="006767C7"/>
    <w:rsid w:val="00677355"/>
    <w:rsid w:val="00677400"/>
    <w:rsid w:val="00677BE9"/>
    <w:rsid w:val="00680399"/>
    <w:rsid w:val="00680528"/>
    <w:rsid w:val="00680BE1"/>
    <w:rsid w:val="00681317"/>
    <w:rsid w:val="006818D2"/>
    <w:rsid w:val="00681ED1"/>
    <w:rsid w:val="006820BE"/>
    <w:rsid w:val="00683761"/>
    <w:rsid w:val="006838B7"/>
    <w:rsid w:val="00684A0A"/>
    <w:rsid w:val="00684C36"/>
    <w:rsid w:val="006850CA"/>
    <w:rsid w:val="0068545C"/>
    <w:rsid w:val="006870C9"/>
    <w:rsid w:val="006921B7"/>
    <w:rsid w:val="006929D3"/>
    <w:rsid w:val="00693177"/>
    <w:rsid w:val="0069337B"/>
    <w:rsid w:val="006935D2"/>
    <w:rsid w:val="00695F1A"/>
    <w:rsid w:val="00696096"/>
    <w:rsid w:val="00696512"/>
    <w:rsid w:val="00697D11"/>
    <w:rsid w:val="006A130B"/>
    <w:rsid w:val="006A31A4"/>
    <w:rsid w:val="006A3BB3"/>
    <w:rsid w:val="006A3E02"/>
    <w:rsid w:val="006A64F2"/>
    <w:rsid w:val="006A69B4"/>
    <w:rsid w:val="006A6C41"/>
    <w:rsid w:val="006A700B"/>
    <w:rsid w:val="006A7066"/>
    <w:rsid w:val="006A7554"/>
    <w:rsid w:val="006A780F"/>
    <w:rsid w:val="006A7CC8"/>
    <w:rsid w:val="006B0E85"/>
    <w:rsid w:val="006B1795"/>
    <w:rsid w:val="006B192E"/>
    <w:rsid w:val="006B1ADC"/>
    <w:rsid w:val="006B269F"/>
    <w:rsid w:val="006B43E5"/>
    <w:rsid w:val="006B4618"/>
    <w:rsid w:val="006B528C"/>
    <w:rsid w:val="006B534B"/>
    <w:rsid w:val="006B58D5"/>
    <w:rsid w:val="006B5C6B"/>
    <w:rsid w:val="006B66AF"/>
    <w:rsid w:val="006B672A"/>
    <w:rsid w:val="006B79A1"/>
    <w:rsid w:val="006C0BA9"/>
    <w:rsid w:val="006C10A9"/>
    <w:rsid w:val="006C19F9"/>
    <w:rsid w:val="006C29FD"/>
    <w:rsid w:val="006C2B10"/>
    <w:rsid w:val="006C2B9E"/>
    <w:rsid w:val="006C3304"/>
    <w:rsid w:val="006C3655"/>
    <w:rsid w:val="006C3B68"/>
    <w:rsid w:val="006C4E33"/>
    <w:rsid w:val="006C5488"/>
    <w:rsid w:val="006C6674"/>
    <w:rsid w:val="006C6D45"/>
    <w:rsid w:val="006C79C9"/>
    <w:rsid w:val="006C7D78"/>
    <w:rsid w:val="006D01E0"/>
    <w:rsid w:val="006D1903"/>
    <w:rsid w:val="006D32C3"/>
    <w:rsid w:val="006D49CA"/>
    <w:rsid w:val="006D4C69"/>
    <w:rsid w:val="006D52C9"/>
    <w:rsid w:val="006D5433"/>
    <w:rsid w:val="006D5C03"/>
    <w:rsid w:val="006D5F6D"/>
    <w:rsid w:val="006D66C9"/>
    <w:rsid w:val="006E1278"/>
    <w:rsid w:val="006E23E7"/>
    <w:rsid w:val="006E2F11"/>
    <w:rsid w:val="006E3B20"/>
    <w:rsid w:val="006E4542"/>
    <w:rsid w:val="006E50ED"/>
    <w:rsid w:val="006E519D"/>
    <w:rsid w:val="006E6463"/>
    <w:rsid w:val="006E6AAE"/>
    <w:rsid w:val="006E7562"/>
    <w:rsid w:val="006F06FC"/>
    <w:rsid w:val="006F29AA"/>
    <w:rsid w:val="006F3393"/>
    <w:rsid w:val="006F356A"/>
    <w:rsid w:val="006F360A"/>
    <w:rsid w:val="006F3884"/>
    <w:rsid w:val="006F3F9E"/>
    <w:rsid w:val="006F6155"/>
    <w:rsid w:val="006F6880"/>
    <w:rsid w:val="006F7D5E"/>
    <w:rsid w:val="006F7E58"/>
    <w:rsid w:val="006F7E9C"/>
    <w:rsid w:val="007013EB"/>
    <w:rsid w:val="00702666"/>
    <w:rsid w:val="007029F2"/>
    <w:rsid w:val="00702C63"/>
    <w:rsid w:val="00703167"/>
    <w:rsid w:val="00704585"/>
    <w:rsid w:val="00704C37"/>
    <w:rsid w:val="00705349"/>
    <w:rsid w:val="00705494"/>
    <w:rsid w:val="00705892"/>
    <w:rsid w:val="007058FB"/>
    <w:rsid w:val="00705945"/>
    <w:rsid w:val="00705ECA"/>
    <w:rsid w:val="0070739A"/>
    <w:rsid w:val="007074C8"/>
    <w:rsid w:val="00710766"/>
    <w:rsid w:val="00710C92"/>
    <w:rsid w:val="00710EEC"/>
    <w:rsid w:val="0071100E"/>
    <w:rsid w:val="00711C55"/>
    <w:rsid w:val="00711FF3"/>
    <w:rsid w:val="007134E7"/>
    <w:rsid w:val="00714473"/>
    <w:rsid w:val="00714AEF"/>
    <w:rsid w:val="0071536A"/>
    <w:rsid w:val="0071543F"/>
    <w:rsid w:val="0071598F"/>
    <w:rsid w:val="00715C90"/>
    <w:rsid w:val="00716805"/>
    <w:rsid w:val="00716908"/>
    <w:rsid w:val="00716B39"/>
    <w:rsid w:val="00716DD2"/>
    <w:rsid w:val="007178AB"/>
    <w:rsid w:val="00717F2E"/>
    <w:rsid w:val="00720CDD"/>
    <w:rsid w:val="00721678"/>
    <w:rsid w:val="00722954"/>
    <w:rsid w:val="00723067"/>
    <w:rsid w:val="007232ED"/>
    <w:rsid w:val="0072341E"/>
    <w:rsid w:val="00723DEA"/>
    <w:rsid w:val="00724109"/>
    <w:rsid w:val="007241EB"/>
    <w:rsid w:val="007255F6"/>
    <w:rsid w:val="0072577B"/>
    <w:rsid w:val="00725809"/>
    <w:rsid w:val="00726D17"/>
    <w:rsid w:val="00726E4F"/>
    <w:rsid w:val="0072700C"/>
    <w:rsid w:val="007271CB"/>
    <w:rsid w:val="00727529"/>
    <w:rsid w:val="007306DA"/>
    <w:rsid w:val="00730B10"/>
    <w:rsid w:val="00730C4A"/>
    <w:rsid w:val="007316C1"/>
    <w:rsid w:val="00731D8A"/>
    <w:rsid w:val="00734362"/>
    <w:rsid w:val="00734BD8"/>
    <w:rsid w:val="00734C93"/>
    <w:rsid w:val="007355F3"/>
    <w:rsid w:val="007356BD"/>
    <w:rsid w:val="007368E4"/>
    <w:rsid w:val="00736C85"/>
    <w:rsid w:val="007370F0"/>
    <w:rsid w:val="00740BCA"/>
    <w:rsid w:val="00741F32"/>
    <w:rsid w:val="00742162"/>
    <w:rsid w:val="0074385D"/>
    <w:rsid w:val="00744435"/>
    <w:rsid w:val="00745B47"/>
    <w:rsid w:val="00745D30"/>
    <w:rsid w:val="0074638E"/>
    <w:rsid w:val="00746708"/>
    <w:rsid w:val="00747C9B"/>
    <w:rsid w:val="00747FEF"/>
    <w:rsid w:val="00750080"/>
    <w:rsid w:val="007513E1"/>
    <w:rsid w:val="00753A68"/>
    <w:rsid w:val="007544E8"/>
    <w:rsid w:val="00754EA0"/>
    <w:rsid w:val="00754FF4"/>
    <w:rsid w:val="0075522A"/>
    <w:rsid w:val="007563B5"/>
    <w:rsid w:val="00756850"/>
    <w:rsid w:val="007569F0"/>
    <w:rsid w:val="0075734E"/>
    <w:rsid w:val="0075788A"/>
    <w:rsid w:val="0076005A"/>
    <w:rsid w:val="00761876"/>
    <w:rsid w:val="007619D4"/>
    <w:rsid w:val="00762246"/>
    <w:rsid w:val="00762A86"/>
    <w:rsid w:val="00762D6F"/>
    <w:rsid w:val="00763FC3"/>
    <w:rsid w:val="007642E7"/>
    <w:rsid w:val="00764E7F"/>
    <w:rsid w:val="00764E93"/>
    <w:rsid w:val="00765732"/>
    <w:rsid w:val="00765792"/>
    <w:rsid w:val="00766A20"/>
    <w:rsid w:val="00767011"/>
    <w:rsid w:val="00767CE2"/>
    <w:rsid w:val="00770399"/>
    <w:rsid w:val="00770423"/>
    <w:rsid w:val="0077108C"/>
    <w:rsid w:val="0077128B"/>
    <w:rsid w:val="007717DA"/>
    <w:rsid w:val="00771D8E"/>
    <w:rsid w:val="00771DE7"/>
    <w:rsid w:val="007727CD"/>
    <w:rsid w:val="00773571"/>
    <w:rsid w:val="00773A69"/>
    <w:rsid w:val="00773E70"/>
    <w:rsid w:val="007747D2"/>
    <w:rsid w:val="00776616"/>
    <w:rsid w:val="007777C1"/>
    <w:rsid w:val="007806DC"/>
    <w:rsid w:val="007821CB"/>
    <w:rsid w:val="00783362"/>
    <w:rsid w:val="00783BF1"/>
    <w:rsid w:val="007843C6"/>
    <w:rsid w:val="00784AE0"/>
    <w:rsid w:val="00785E74"/>
    <w:rsid w:val="007874EF"/>
    <w:rsid w:val="0078753D"/>
    <w:rsid w:val="0078763A"/>
    <w:rsid w:val="00790A7D"/>
    <w:rsid w:val="007927C2"/>
    <w:rsid w:val="007929BF"/>
    <w:rsid w:val="00792B5C"/>
    <w:rsid w:val="00792DF7"/>
    <w:rsid w:val="00793C1F"/>
    <w:rsid w:val="00793D33"/>
    <w:rsid w:val="007943A4"/>
    <w:rsid w:val="007944C7"/>
    <w:rsid w:val="0079454A"/>
    <w:rsid w:val="0079514F"/>
    <w:rsid w:val="00795ABF"/>
    <w:rsid w:val="00795B43"/>
    <w:rsid w:val="00796ACD"/>
    <w:rsid w:val="00796C6F"/>
    <w:rsid w:val="00797119"/>
    <w:rsid w:val="007A1A92"/>
    <w:rsid w:val="007A233E"/>
    <w:rsid w:val="007A270C"/>
    <w:rsid w:val="007A29A6"/>
    <w:rsid w:val="007A345A"/>
    <w:rsid w:val="007A38E3"/>
    <w:rsid w:val="007A3A41"/>
    <w:rsid w:val="007A4C9F"/>
    <w:rsid w:val="007A511C"/>
    <w:rsid w:val="007A5EE7"/>
    <w:rsid w:val="007A76F3"/>
    <w:rsid w:val="007A7AAB"/>
    <w:rsid w:val="007A7D0F"/>
    <w:rsid w:val="007B00F8"/>
    <w:rsid w:val="007B0B97"/>
    <w:rsid w:val="007B2EF1"/>
    <w:rsid w:val="007B3380"/>
    <w:rsid w:val="007B3F43"/>
    <w:rsid w:val="007B46C0"/>
    <w:rsid w:val="007B54C6"/>
    <w:rsid w:val="007B58CD"/>
    <w:rsid w:val="007B59E5"/>
    <w:rsid w:val="007B5E46"/>
    <w:rsid w:val="007B6170"/>
    <w:rsid w:val="007B6FDB"/>
    <w:rsid w:val="007B7570"/>
    <w:rsid w:val="007C0E5C"/>
    <w:rsid w:val="007C1A25"/>
    <w:rsid w:val="007C1AA0"/>
    <w:rsid w:val="007C23BF"/>
    <w:rsid w:val="007C2467"/>
    <w:rsid w:val="007C264B"/>
    <w:rsid w:val="007C27A1"/>
    <w:rsid w:val="007C2DAA"/>
    <w:rsid w:val="007C2DEC"/>
    <w:rsid w:val="007C5299"/>
    <w:rsid w:val="007C5BF9"/>
    <w:rsid w:val="007C5C8D"/>
    <w:rsid w:val="007C7375"/>
    <w:rsid w:val="007C7725"/>
    <w:rsid w:val="007C7E05"/>
    <w:rsid w:val="007C7E6A"/>
    <w:rsid w:val="007D2268"/>
    <w:rsid w:val="007D28EF"/>
    <w:rsid w:val="007D323C"/>
    <w:rsid w:val="007D4FC6"/>
    <w:rsid w:val="007D5647"/>
    <w:rsid w:val="007D594E"/>
    <w:rsid w:val="007D5AFB"/>
    <w:rsid w:val="007D6546"/>
    <w:rsid w:val="007D6E47"/>
    <w:rsid w:val="007D70DB"/>
    <w:rsid w:val="007D7175"/>
    <w:rsid w:val="007E1474"/>
    <w:rsid w:val="007E1AF5"/>
    <w:rsid w:val="007E1E4D"/>
    <w:rsid w:val="007E2631"/>
    <w:rsid w:val="007E3DBC"/>
    <w:rsid w:val="007E6E6E"/>
    <w:rsid w:val="007E72B9"/>
    <w:rsid w:val="007E7996"/>
    <w:rsid w:val="007F056A"/>
    <w:rsid w:val="007F11E6"/>
    <w:rsid w:val="007F18E3"/>
    <w:rsid w:val="007F1A79"/>
    <w:rsid w:val="007F28CD"/>
    <w:rsid w:val="007F2B72"/>
    <w:rsid w:val="007F2C00"/>
    <w:rsid w:val="007F329C"/>
    <w:rsid w:val="007F459E"/>
    <w:rsid w:val="007F5B45"/>
    <w:rsid w:val="007F6D7A"/>
    <w:rsid w:val="007F6EDF"/>
    <w:rsid w:val="007F6EEF"/>
    <w:rsid w:val="008014CB"/>
    <w:rsid w:val="0080237A"/>
    <w:rsid w:val="00802DED"/>
    <w:rsid w:val="00802EC3"/>
    <w:rsid w:val="00803D8A"/>
    <w:rsid w:val="008042F6"/>
    <w:rsid w:val="008043F1"/>
    <w:rsid w:val="00806E83"/>
    <w:rsid w:val="00807AA1"/>
    <w:rsid w:val="008103CF"/>
    <w:rsid w:val="00810703"/>
    <w:rsid w:val="008112A9"/>
    <w:rsid w:val="0081304A"/>
    <w:rsid w:val="00815442"/>
    <w:rsid w:val="00816472"/>
    <w:rsid w:val="00816B59"/>
    <w:rsid w:val="00816DD1"/>
    <w:rsid w:val="00820147"/>
    <w:rsid w:val="00820407"/>
    <w:rsid w:val="00821974"/>
    <w:rsid w:val="00822236"/>
    <w:rsid w:val="008225FA"/>
    <w:rsid w:val="008228C3"/>
    <w:rsid w:val="00822D01"/>
    <w:rsid w:val="008244BD"/>
    <w:rsid w:val="00827653"/>
    <w:rsid w:val="008302CE"/>
    <w:rsid w:val="00831A67"/>
    <w:rsid w:val="00832273"/>
    <w:rsid w:val="008322F6"/>
    <w:rsid w:val="00832CF3"/>
    <w:rsid w:val="00834084"/>
    <w:rsid w:val="00834971"/>
    <w:rsid w:val="008367FC"/>
    <w:rsid w:val="00837A11"/>
    <w:rsid w:val="00837F3E"/>
    <w:rsid w:val="0084020D"/>
    <w:rsid w:val="0084060E"/>
    <w:rsid w:val="008411DB"/>
    <w:rsid w:val="0084179F"/>
    <w:rsid w:val="00842E0B"/>
    <w:rsid w:val="00842E20"/>
    <w:rsid w:val="00843330"/>
    <w:rsid w:val="00844EAB"/>
    <w:rsid w:val="0084508B"/>
    <w:rsid w:val="008451B5"/>
    <w:rsid w:val="0084690C"/>
    <w:rsid w:val="00846BAB"/>
    <w:rsid w:val="00847029"/>
    <w:rsid w:val="00850FC3"/>
    <w:rsid w:val="00851A74"/>
    <w:rsid w:val="008528DE"/>
    <w:rsid w:val="00852AD4"/>
    <w:rsid w:val="00852ED8"/>
    <w:rsid w:val="00853B2E"/>
    <w:rsid w:val="008542B0"/>
    <w:rsid w:val="00854712"/>
    <w:rsid w:val="00857CFD"/>
    <w:rsid w:val="0086083E"/>
    <w:rsid w:val="00861620"/>
    <w:rsid w:val="0086270B"/>
    <w:rsid w:val="00864574"/>
    <w:rsid w:val="00864846"/>
    <w:rsid w:val="00864A0A"/>
    <w:rsid w:val="00864E53"/>
    <w:rsid w:val="00865A23"/>
    <w:rsid w:val="00865F68"/>
    <w:rsid w:val="00866CFC"/>
    <w:rsid w:val="0086724A"/>
    <w:rsid w:val="00867B30"/>
    <w:rsid w:val="00867B5F"/>
    <w:rsid w:val="00867CC0"/>
    <w:rsid w:val="00870149"/>
    <w:rsid w:val="00870547"/>
    <w:rsid w:val="00870EA7"/>
    <w:rsid w:val="00871AE7"/>
    <w:rsid w:val="008738D3"/>
    <w:rsid w:val="008740EA"/>
    <w:rsid w:val="008742B7"/>
    <w:rsid w:val="00874903"/>
    <w:rsid w:val="00875041"/>
    <w:rsid w:val="008756BA"/>
    <w:rsid w:val="00877149"/>
    <w:rsid w:val="008772A8"/>
    <w:rsid w:val="00877C0B"/>
    <w:rsid w:val="00880DEE"/>
    <w:rsid w:val="00881B27"/>
    <w:rsid w:val="00883E40"/>
    <w:rsid w:val="00884946"/>
    <w:rsid w:val="00884AE2"/>
    <w:rsid w:val="00884CA0"/>
    <w:rsid w:val="00884CBF"/>
    <w:rsid w:val="0088573C"/>
    <w:rsid w:val="00886D65"/>
    <w:rsid w:val="0088714F"/>
    <w:rsid w:val="00887803"/>
    <w:rsid w:val="00887C74"/>
    <w:rsid w:val="00890BC9"/>
    <w:rsid w:val="0089128B"/>
    <w:rsid w:val="008925F6"/>
    <w:rsid w:val="00892774"/>
    <w:rsid w:val="008932F9"/>
    <w:rsid w:val="0089471C"/>
    <w:rsid w:val="008949EA"/>
    <w:rsid w:val="00895E73"/>
    <w:rsid w:val="00896D0D"/>
    <w:rsid w:val="00897593"/>
    <w:rsid w:val="00897A60"/>
    <w:rsid w:val="008A00BF"/>
    <w:rsid w:val="008A018C"/>
    <w:rsid w:val="008A0E0B"/>
    <w:rsid w:val="008A1B4C"/>
    <w:rsid w:val="008A2743"/>
    <w:rsid w:val="008A31A3"/>
    <w:rsid w:val="008A57CE"/>
    <w:rsid w:val="008A5FD4"/>
    <w:rsid w:val="008A65C3"/>
    <w:rsid w:val="008A6BCF"/>
    <w:rsid w:val="008A6BDE"/>
    <w:rsid w:val="008A6D04"/>
    <w:rsid w:val="008A7088"/>
    <w:rsid w:val="008A77D6"/>
    <w:rsid w:val="008B07B7"/>
    <w:rsid w:val="008B0882"/>
    <w:rsid w:val="008B0C7C"/>
    <w:rsid w:val="008B1A55"/>
    <w:rsid w:val="008B1F2E"/>
    <w:rsid w:val="008B2D61"/>
    <w:rsid w:val="008B35DA"/>
    <w:rsid w:val="008B4020"/>
    <w:rsid w:val="008B409A"/>
    <w:rsid w:val="008B4D65"/>
    <w:rsid w:val="008B513F"/>
    <w:rsid w:val="008B5AC8"/>
    <w:rsid w:val="008B5C58"/>
    <w:rsid w:val="008B740A"/>
    <w:rsid w:val="008B77CB"/>
    <w:rsid w:val="008B7B9F"/>
    <w:rsid w:val="008B7D1A"/>
    <w:rsid w:val="008C0603"/>
    <w:rsid w:val="008C1A4E"/>
    <w:rsid w:val="008C1C13"/>
    <w:rsid w:val="008C241F"/>
    <w:rsid w:val="008C259E"/>
    <w:rsid w:val="008C29F4"/>
    <w:rsid w:val="008C3CC9"/>
    <w:rsid w:val="008C42B6"/>
    <w:rsid w:val="008C509E"/>
    <w:rsid w:val="008C6D70"/>
    <w:rsid w:val="008C6E40"/>
    <w:rsid w:val="008C7B06"/>
    <w:rsid w:val="008C7D72"/>
    <w:rsid w:val="008D051E"/>
    <w:rsid w:val="008D2804"/>
    <w:rsid w:val="008D3601"/>
    <w:rsid w:val="008D405E"/>
    <w:rsid w:val="008D48BF"/>
    <w:rsid w:val="008D4C37"/>
    <w:rsid w:val="008D6FBD"/>
    <w:rsid w:val="008D74CC"/>
    <w:rsid w:val="008E03CA"/>
    <w:rsid w:val="008E0DAE"/>
    <w:rsid w:val="008E127D"/>
    <w:rsid w:val="008E2F29"/>
    <w:rsid w:val="008E31BB"/>
    <w:rsid w:val="008E406A"/>
    <w:rsid w:val="008E4674"/>
    <w:rsid w:val="008E5025"/>
    <w:rsid w:val="008E645E"/>
    <w:rsid w:val="008E68B6"/>
    <w:rsid w:val="008E77EC"/>
    <w:rsid w:val="008F014C"/>
    <w:rsid w:val="008F03D2"/>
    <w:rsid w:val="008F0653"/>
    <w:rsid w:val="008F0975"/>
    <w:rsid w:val="008F1DA8"/>
    <w:rsid w:val="008F21A4"/>
    <w:rsid w:val="008F3074"/>
    <w:rsid w:val="008F3BA9"/>
    <w:rsid w:val="008F3EE6"/>
    <w:rsid w:val="008F4484"/>
    <w:rsid w:val="008F50FF"/>
    <w:rsid w:val="008F599F"/>
    <w:rsid w:val="008F5A7E"/>
    <w:rsid w:val="008F5D2D"/>
    <w:rsid w:val="008F6566"/>
    <w:rsid w:val="008F719E"/>
    <w:rsid w:val="008F7398"/>
    <w:rsid w:val="008F7522"/>
    <w:rsid w:val="008F7F36"/>
    <w:rsid w:val="0090050F"/>
    <w:rsid w:val="009013EF"/>
    <w:rsid w:val="00901555"/>
    <w:rsid w:val="00901BAC"/>
    <w:rsid w:val="00902129"/>
    <w:rsid w:val="0090272A"/>
    <w:rsid w:val="009030DD"/>
    <w:rsid w:val="009033B3"/>
    <w:rsid w:val="00903EBA"/>
    <w:rsid w:val="00903F97"/>
    <w:rsid w:val="00904038"/>
    <w:rsid w:val="00904FF6"/>
    <w:rsid w:val="00906B8D"/>
    <w:rsid w:val="00906F4A"/>
    <w:rsid w:val="00907553"/>
    <w:rsid w:val="00907B5D"/>
    <w:rsid w:val="00907D65"/>
    <w:rsid w:val="00910E8D"/>
    <w:rsid w:val="00910FF6"/>
    <w:rsid w:val="00911962"/>
    <w:rsid w:val="00912468"/>
    <w:rsid w:val="00912522"/>
    <w:rsid w:val="00913530"/>
    <w:rsid w:val="009137CA"/>
    <w:rsid w:val="00913B28"/>
    <w:rsid w:val="00913B7E"/>
    <w:rsid w:val="00914255"/>
    <w:rsid w:val="0091443A"/>
    <w:rsid w:val="0091452A"/>
    <w:rsid w:val="00915D62"/>
    <w:rsid w:val="00916199"/>
    <w:rsid w:val="00916262"/>
    <w:rsid w:val="00916E5A"/>
    <w:rsid w:val="00917E6D"/>
    <w:rsid w:val="0092070D"/>
    <w:rsid w:val="00922241"/>
    <w:rsid w:val="009236E9"/>
    <w:rsid w:val="00923914"/>
    <w:rsid w:val="0092401E"/>
    <w:rsid w:val="00924439"/>
    <w:rsid w:val="009244D4"/>
    <w:rsid w:val="009249A1"/>
    <w:rsid w:val="00924DB6"/>
    <w:rsid w:val="009259C6"/>
    <w:rsid w:val="00925B3C"/>
    <w:rsid w:val="00926098"/>
    <w:rsid w:val="0092658C"/>
    <w:rsid w:val="009266EA"/>
    <w:rsid w:val="00926807"/>
    <w:rsid w:val="00926B97"/>
    <w:rsid w:val="00926CDD"/>
    <w:rsid w:val="009270CA"/>
    <w:rsid w:val="00927545"/>
    <w:rsid w:val="00932B86"/>
    <w:rsid w:val="0093353C"/>
    <w:rsid w:val="00934833"/>
    <w:rsid w:val="00934F3F"/>
    <w:rsid w:val="009350B3"/>
    <w:rsid w:val="009353E0"/>
    <w:rsid w:val="00935DF7"/>
    <w:rsid w:val="00940C6F"/>
    <w:rsid w:val="009417BD"/>
    <w:rsid w:val="009427F2"/>
    <w:rsid w:val="00942B7D"/>
    <w:rsid w:val="0094330C"/>
    <w:rsid w:val="0094335B"/>
    <w:rsid w:val="009434D2"/>
    <w:rsid w:val="00944016"/>
    <w:rsid w:val="00945307"/>
    <w:rsid w:val="00945665"/>
    <w:rsid w:val="009464ED"/>
    <w:rsid w:val="00946F2A"/>
    <w:rsid w:val="00947498"/>
    <w:rsid w:val="00947734"/>
    <w:rsid w:val="0094778D"/>
    <w:rsid w:val="009504D7"/>
    <w:rsid w:val="0095091E"/>
    <w:rsid w:val="00952A3D"/>
    <w:rsid w:val="00952C48"/>
    <w:rsid w:val="009539D0"/>
    <w:rsid w:val="00953C3F"/>
    <w:rsid w:val="00953CBB"/>
    <w:rsid w:val="00954DF6"/>
    <w:rsid w:val="0095554D"/>
    <w:rsid w:val="00956195"/>
    <w:rsid w:val="0095627D"/>
    <w:rsid w:val="0095670C"/>
    <w:rsid w:val="00956CA0"/>
    <w:rsid w:val="009573FA"/>
    <w:rsid w:val="00957AD0"/>
    <w:rsid w:val="00957D5A"/>
    <w:rsid w:val="00957FCA"/>
    <w:rsid w:val="00960B15"/>
    <w:rsid w:val="0096182F"/>
    <w:rsid w:val="0096273B"/>
    <w:rsid w:val="00962BD6"/>
    <w:rsid w:val="00963317"/>
    <w:rsid w:val="00963AA8"/>
    <w:rsid w:val="00963ABF"/>
    <w:rsid w:val="00963C2D"/>
    <w:rsid w:val="00964500"/>
    <w:rsid w:val="00964732"/>
    <w:rsid w:val="00964BD0"/>
    <w:rsid w:val="009652C0"/>
    <w:rsid w:val="009655ED"/>
    <w:rsid w:val="009670C5"/>
    <w:rsid w:val="0096755F"/>
    <w:rsid w:val="00970306"/>
    <w:rsid w:val="00970484"/>
    <w:rsid w:val="0097058E"/>
    <w:rsid w:val="009714D9"/>
    <w:rsid w:val="009718DD"/>
    <w:rsid w:val="00971ACD"/>
    <w:rsid w:val="00971CE6"/>
    <w:rsid w:val="00972880"/>
    <w:rsid w:val="0097316F"/>
    <w:rsid w:val="00973D06"/>
    <w:rsid w:val="009748D1"/>
    <w:rsid w:val="009749DB"/>
    <w:rsid w:val="00975587"/>
    <w:rsid w:val="00975767"/>
    <w:rsid w:val="00975A2E"/>
    <w:rsid w:val="009770E2"/>
    <w:rsid w:val="009774E0"/>
    <w:rsid w:val="00977537"/>
    <w:rsid w:val="009806CA"/>
    <w:rsid w:val="00980E34"/>
    <w:rsid w:val="00980FC7"/>
    <w:rsid w:val="009820C8"/>
    <w:rsid w:val="00982201"/>
    <w:rsid w:val="00984E80"/>
    <w:rsid w:val="00985842"/>
    <w:rsid w:val="00986180"/>
    <w:rsid w:val="00987472"/>
    <w:rsid w:val="0098782F"/>
    <w:rsid w:val="0098797D"/>
    <w:rsid w:val="009923B8"/>
    <w:rsid w:val="00992F36"/>
    <w:rsid w:val="00993D0E"/>
    <w:rsid w:val="00994121"/>
    <w:rsid w:val="00995503"/>
    <w:rsid w:val="00995FE6"/>
    <w:rsid w:val="009969B1"/>
    <w:rsid w:val="00996E6C"/>
    <w:rsid w:val="0099771B"/>
    <w:rsid w:val="00997AD1"/>
    <w:rsid w:val="009A06B2"/>
    <w:rsid w:val="009A4129"/>
    <w:rsid w:val="009A5096"/>
    <w:rsid w:val="009A5EEE"/>
    <w:rsid w:val="009A6D1C"/>
    <w:rsid w:val="009B0778"/>
    <w:rsid w:val="009B0CE7"/>
    <w:rsid w:val="009B1657"/>
    <w:rsid w:val="009B1CBF"/>
    <w:rsid w:val="009B20DC"/>
    <w:rsid w:val="009B462A"/>
    <w:rsid w:val="009B605B"/>
    <w:rsid w:val="009B6459"/>
    <w:rsid w:val="009B65A7"/>
    <w:rsid w:val="009B774E"/>
    <w:rsid w:val="009C0F06"/>
    <w:rsid w:val="009C1E18"/>
    <w:rsid w:val="009C20A4"/>
    <w:rsid w:val="009C29DA"/>
    <w:rsid w:val="009C2A77"/>
    <w:rsid w:val="009C47F8"/>
    <w:rsid w:val="009C4A31"/>
    <w:rsid w:val="009C5197"/>
    <w:rsid w:val="009C6189"/>
    <w:rsid w:val="009C6325"/>
    <w:rsid w:val="009C67DF"/>
    <w:rsid w:val="009C6C38"/>
    <w:rsid w:val="009C6EBB"/>
    <w:rsid w:val="009D18FA"/>
    <w:rsid w:val="009D1BDD"/>
    <w:rsid w:val="009D222E"/>
    <w:rsid w:val="009D23A1"/>
    <w:rsid w:val="009D2AEB"/>
    <w:rsid w:val="009D2EBD"/>
    <w:rsid w:val="009D3046"/>
    <w:rsid w:val="009D3954"/>
    <w:rsid w:val="009D6520"/>
    <w:rsid w:val="009D6646"/>
    <w:rsid w:val="009D6A26"/>
    <w:rsid w:val="009D7C72"/>
    <w:rsid w:val="009E1550"/>
    <w:rsid w:val="009E2E20"/>
    <w:rsid w:val="009E3DCE"/>
    <w:rsid w:val="009E453C"/>
    <w:rsid w:val="009E5205"/>
    <w:rsid w:val="009E63A1"/>
    <w:rsid w:val="009E6B4F"/>
    <w:rsid w:val="009E6CEB"/>
    <w:rsid w:val="009E6D99"/>
    <w:rsid w:val="009E71E3"/>
    <w:rsid w:val="009E7AB1"/>
    <w:rsid w:val="009F0552"/>
    <w:rsid w:val="009F1AAB"/>
    <w:rsid w:val="009F1CA8"/>
    <w:rsid w:val="009F4385"/>
    <w:rsid w:val="009F47F3"/>
    <w:rsid w:val="009F488D"/>
    <w:rsid w:val="009F48AF"/>
    <w:rsid w:val="009F5CB4"/>
    <w:rsid w:val="009F602D"/>
    <w:rsid w:val="009F7124"/>
    <w:rsid w:val="009F71CC"/>
    <w:rsid w:val="009F71F5"/>
    <w:rsid w:val="009F7344"/>
    <w:rsid w:val="009F796A"/>
    <w:rsid w:val="009F7AC6"/>
    <w:rsid w:val="00A01CC6"/>
    <w:rsid w:val="00A029BC"/>
    <w:rsid w:val="00A02F03"/>
    <w:rsid w:val="00A0310B"/>
    <w:rsid w:val="00A03124"/>
    <w:rsid w:val="00A037E1"/>
    <w:rsid w:val="00A0438E"/>
    <w:rsid w:val="00A04BC1"/>
    <w:rsid w:val="00A04C89"/>
    <w:rsid w:val="00A04E9D"/>
    <w:rsid w:val="00A05EDD"/>
    <w:rsid w:val="00A0622C"/>
    <w:rsid w:val="00A07773"/>
    <w:rsid w:val="00A07BA2"/>
    <w:rsid w:val="00A12CDE"/>
    <w:rsid w:val="00A13252"/>
    <w:rsid w:val="00A1336D"/>
    <w:rsid w:val="00A144FD"/>
    <w:rsid w:val="00A15DA9"/>
    <w:rsid w:val="00A16871"/>
    <w:rsid w:val="00A178D0"/>
    <w:rsid w:val="00A17AE7"/>
    <w:rsid w:val="00A20A28"/>
    <w:rsid w:val="00A21ED6"/>
    <w:rsid w:val="00A22B51"/>
    <w:rsid w:val="00A22BB9"/>
    <w:rsid w:val="00A22DA0"/>
    <w:rsid w:val="00A22DDB"/>
    <w:rsid w:val="00A2367C"/>
    <w:rsid w:val="00A241EA"/>
    <w:rsid w:val="00A24245"/>
    <w:rsid w:val="00A253C9"/>
    <w:rsid w:val="00A254BD"/>
    <w:rsid w:val="00A2665D"/>
    <w:rsid w:val="00A27002"/>
    <w:rsid w:val="00A278EB"/>
    <w:rsid w:val="00A279A8"/>
    <w:rsid w:val="00A27E13"/>
    <w:rsid w:val="00A30CF4"/>
    <w:rsid w:val="00A30E21"/>
    <w:rsid w:val="00A31A32"/>
    <w:rsid w:val="00A31E74"/>
    <w:rsid w:val="00A32D20"/>
    <w:rsid w:val="00A33C82"/>
    <w:rsid w:val="00A34184"/>
    <w:rsid w:val="00A34B7C"/>
    <w:rsid w:val="00A34D51"/>
    <w:rsid w:val="00A3517F"/>
    <w:rsid w:val="00A3566A"/>
    <w:rsid w:val="00A3605C"/>
    <w:rsid w:val="00A36076"/>
    <w:rsid w:val="00A37204"/>
    <w:rsid w:val="00A3787E"/>
    <w:rsid w:val="00A402F4"/>
    <w:rsid w:val="00A404DE"/>
    <w:rsid w:val="00A40DC8"/>
    <w:rsid w:val="00A425B9"/>
    <w:rsid w:val="00A42CE9"/>
    <w:rsid w:val="00A43BC3"/>
    <w:rsid w:val="00A43E78"/>
    <w:rsid w:val="00A43FE3"/>
    <w:rsid w:val="00A44995"/>
    <w:rsid w:val="00A449C2"/>
    <w:rsid w:val="00A44F01"/>
    <w:rsid w:val="00A45F6E"/>
    <w:rsid w:val="00A46E99"/>
    <w:rsid w:val="00A479E7"/>
    <w:rsid w:val="00A50D3C"/>
    <w:rsid w:val="00A51A7A"/>
    <w:rsid w:val="00A51D01"/>
    <w:rsid w:val="00A51E36"/>
    <w:rsid w:val="00A5271D"/>
    <w:rsid w:val="00A5278E"/>
    <w:rsid w:val="00A52948"/>
    <w:rsid w:val="00A53338"/>
    <w:rsid w:val="00A53B4C"/>
    <w:rsid w:val="00A53BBF"/>
    <w:rsid w:val="00A55AAA"/>
    <w:rsid w:val="00A57A68"/>
    <w:rsid w:val="00A60166"/>
    <w:rsid w:val="00A60CC6"/>
    <w:rsid w:val="00A618E3"/>
    <w:rsid w:val="00A61BD2"/>
    <w:rsid w:val="00A6405A"/>
    <w:rsid w:val="00A640AC"/>
    <w:rsid w:val="00A642D2"/>
    <w:rsid w:val="00A645CE"/>
    <w:rsid w:val="00A64D76"/>
    <w:rsid w:val="00A658B5"/>
    <w:rsid w:val="00A66C31"/>
    <w:rsid w:val="00A6758D"/>
    <w:rsid w:val="00A6761E"/>
    <w:rsid w:val="00A71197"/>
    <w:rsid w:val="00A7197D"/>
    <w:rsid w:val="00A71B36"/>
    <w:rsid w:val="00A73BFB"/>
    <w:rsid w:val="00A74F81"/>
    <w:rsid w:val="00A75ABC"/>
    <w:rsid w:val="00A7603B"/>
    <w:rsid w:val="00A76948"/>
    <w:rsid w:val="00A776F0"/>
    <w:rsid w:val="00A80177"/>
    <w:rsid w:val="00A8115E"/>
    <w:rsid w:val="00A82ACC"/>
    <w:rsid w:val="00A83456"/>
    <w:rsid w:val="00A838D7"/>
    <w:rsid w:val="00A8409E"/>
    <w:rsid w:val="00A8420C"/>
    <w:rsid w:val="00A852D1"/>
    <w:rsid w:val="00A85506"/>
    <w:rsid w:val="00A8584B"/>
    <w:rsid w:val="00A86827"/>
    <w:rsid w:val="00A86DE1"/>
    <w:rsid w:val="00A90535"/>
    <w:rsid w:val="00A918A8"/>
    <w:rsid w:val="00A92DBA"/>
    <w:rsid w:val="00A9407E"/>
    <w:rsid w:val="00A94D4E"/>
    <w:rsid w:val="00A94DEB"/>
    <w:rsid w:val="00A95390"/>
    <w:rsid w:val="00A95F2E"/>
    <w:rsid w:val="00A96421"/>
    <w:rsid w:val="00A9679B"/>
    <w:rsid w:val="00A977FB"/>
    <w:rsid w:val="00A97FA0"/>
    <w:rsid w:val="00AA006C"/>
    <w:rsid w:val="00AA2368"/>
    <w:rsid w:val="00AA2D8B"/>
    <w:rsid w:val="00AA2E3C"/>
    <w:rsid w:val="00AA2FA2"/>
    <w:rsid w:val="00AA3936"/>
    <w:rsid w:val="00AA48F4"/>
    <w:rsid w:val="00AA4B7B"/>
    <w:rsid w:val="00AA4BFA"/>
    <w:rsid w:val="00AA6876"/>
    <w:rsid w:val="00AA7271"/>
    <w:rsid w:val="00AA76F3"/>
    <w:rsid w:val="00AA7A33"/>
    <w:rsid w:val="00AB0203"/>
    <w:rsid w:val="00AB101C"/>
    <w:rsid w:val="00AB132F"/>
    <w:rsid w:val="00AB1D36"/>
    <w:rsid w:val="00AB1E15"/>
    <w:rsid w:val="00AB20E9"/>
    <w:rsid w:val="00AB2C8C"/>
    <w:rsid w:val="00AB3045"/>
    <w:rsid w:val="00AB35E5"/>
    <w:rsid w:val="00AB3747"/>
    <w:rsid w:val="00AB4BE5"/>
    <w:rsid w:val="00AB5B8C"/>
    <w:rsid w:val="00AC0ACD"/>
    <w:rsid w:val="00AC11D2"/>
    <w:rsid w:val="00AC2385"/>
    <w:rsid w:val="00AC23A7"/>
    <w:rsid w:val="00AC2AEB"/>
    <w:rsid w:val="00AC3E63"/>
    <w:rsid w:val="00AC3E7C"/>
    <w:rsid w:val="00AC40CE"/>
    <w:rsid w:val="00AC528F"/>
    <w:rsid w:val="00AC73D8"/>
    <w:rsid w:val="00AC73E3"/>
    <w:rsid w:val="00AD003D"/>
    <w:rsid w:val="00AD0277"/>
    <w:rsid w:val="00AD2575"/>
    <w:rsid w:val="00AD2EAE"/>
    <w:rsid w:val="00AD333B"/>
    <w:rsid w:val="00AD37DD"/>
    <w:rsid w:val="00AD3F10"/>
    <w:rsid w:val="00AD3FB9"/>
    <w:rsid w:val="00AD46DD"/>
    <w:rsid w:val="00AD4C5B"/>
    <w:rsid w:val="00AD5006"/>
    <w:rsid w:val="00AD5CA6"/>
    <w:rsid w:val="00AD6C4C"/>
    <w:rsid w:val="00AD6F70"/>
    <w:rsid w:val="00AD75E0"/>
    <w:rsid w:val="00AE0337"/>
    <w:rsid w:val="00AE1940"/>
    <w:rsid w:val="00AE28A6"/>
    <w:rsid w:val="00AE38A7"/>
    <w:rsid w:val="00AE508A"/>
    <w:rsid w:val="00AE5C1B"/>
    <w:rsid w:val="00AE61D1"/>
    <w:rsid w:val="00AE7B1D"/>
    <w:rsid w:val="00AF02C7"/>
    <w:rsid w:val="00AF0A40"/>
    <w:rsid w:val="00AF12E2"/>
    <w:rsid w:val="00AF1658"/>
    <w:rsid w:val="00AF1A54"/>
    <w:rsid w:val="00AF228F"/>
    <w:rsid w:val="00AF31CE"/>
    <w:rsid w:val="00AF57FD"/>
    <w:rsid w:val="00AF5D25"/>
    <w:rsid w:val="00AF63E6"/>
    <w:rsid w:val="00AF6654"/>
    <w:rsid w:val="00AF6FFE"/>
    <w:rsid w:val="00AF73A1"/>
    <w:rsid w:val="00B00215"/>
    <w:rsid w:val="00B00255"/>
    <w:rsid w:val="00B00673"/>
    <w:rsid w:val="00B0070D"/>
    <w:rsid w:val="00B01513"/>
    <w:rsid w:val="00B019C3"/>
    <w:rsid w:val="00B019CF"/>
    <w:rsid w:val="00B028D1"/>
    <w:rsid w:val="00B02E53"/>
    <w:rsid w:val="00B0331B"/>
    <w:rsid w:val="00B04194"/>
    <w:rsid w:val="00B04EC1"/>
    <w:rsid w:val="00B05181"/>
    <w:rsid w:val="00B05208"/>
    <w:rsid w:val="00B05DD2"/>
    <w:rsid w:val="00B063C8"/>
    <w:rsid w:val="00B077E7"/>
    <w:rsid w:val="00B12172"/>
    <w:rsid w:val="00B1272D"/>
    <w:rsid w:val="00B12B3C"/>
    <w:rsid w:val="00B12F42"/>
    <w:rsid w:val="00B13162"/>
    <w:rsid w:val="00B1461B"/>
    <w:rsid w:val="00B16020"/>
    <w:rsid w:val="00B16B15"/>
    <w:rsid w:val="00B16FA1"/>
    <w:rsid w:val="00B17D6B"/>
    <w:rsid w:val="00B17DEC"/>
    <w:rsid w:val="00B20358"/>
    <w:rsid w:val="00B20B2E"/>
    <w:rsid w:val="00B23932"/>
    <w:rsid w:val="00B23AF6"/>
    <w:rsid w:val="00B23C56"/>
    <w:rsid w:val="00B2444A"/>
    <w:rsid w:val="00B249A7"/>
    <w:rsid w:val="00B24C75"/>
    <w:rsid w:val="00B24E6D"/>
    <w:rsid w:val="00B2557F"/>
    <w:rsid w:val="00B25A6E"/>
    <w:rsid w:val="00B25EEC"/>
    <w:rsid w:val="00B262AC"/>
    <w:rsid w:val="00B2688E"/>
    <w:rsid w:val="00B270BC"/>
    <w:rsid w:val="00B27169"/>
    <w:rsid w:val="00B27749"/>
    <w:rsid w:val="00B309E7"/>
    <w:rsid w:val="00B30F4B"/>
    <w:rsid w:val="00B3156E"/>
    <w:rsid w:val="00B3158F"/>
    <w:rsid w:val="00B31873"/>
    <w:rsid w:val="00B321CF"/>
    <w:rsid w:val="00B32D8C"/>
    <w:rsid w:val="00B32F49"/>
    <w:rsid w:val="00B33163"/>
    <w:rsid w:val="00B34807"/>
    <w:rsid w:val="00B353E7"/>
    <w:rsid w:val="00B36555"/>
    <w:rsid w:val="00B4008B"/>
    <w:rsid w:val="00B41DF5"/>
    <w:rsid w:val="00B42E78"/>
    <w:rsid w:val="00B4370A"/>
    <w:rsid w:val="00B43A00"/>
    <w:rsid w:val="00B44226"/>
    <w:rsid w:val="00B448AE"/>
    <w:rsid w:val="00B448E3"/>
    <w:rsid w:val="00B44DE5"/>
    <w:rsid w:val="00B45C92"/>
    <w:rsid w:val="00B4608E"/>
    <w:rsid w:val="00B46955"/>
    <w:rsid w:val="00B47A95"/>
    <w:rsid w:val="00B50999"/>
    <w:rsid w:val="00B52AE1"/>
    <w:rsid w:val="00B5364D"/>
    <w:rsid w:val="00B53C57"/>
    <w:rsid w:val="00B53D7B"/>
    <w:rsid w:val="00B56061"/>
    <w:rsid w:val="00B56175"/>
    <w:rsid w:val="00B569D1"/>
    <w:rsid w:val="00B61660"/>
    <w:rsid w:val="00B638FC"/>
    <w:rsid w:val="00B63B13"/>
    <w:rsid w:val="00B64F6B"/>
    <w:rsid w:val="00B64F8F"/>
    <w:rsid w:val="00B65483"/>
    <w:rsid w:val="00B660A6"/>
    <w:rsid w:val="00B66628"/>
    <w:rsid w:val="00B677C5"/>
    <w:rsid w:val="00B7075F"/>
    <w:rsid w:val="00B71250"/>
    <w:rsid w:val="00B72BBE"/>
    <w:rsid w:val="00B72EF1"/>
    <w:rsid w:val="00B73667"/>
    <w:rsid w:val="00B738CE"/>
    <w:rsid w:val="00B73980"/>
    <w:rsid w:val="00B73BB5"/>
    <w:rsid w:val="00B7526F"/>
    <w:rsid w:val="00B7580A"/>
    <w:rsid w:val="00B76BC6"/>
    <w:rsid w:val="00B76DA9"/>
    <w:rsid w:val="00B80170"/>
    <w:rsid w:val="00B80856"/>
    <w:rsid w:val="00B80B11"/>
    <w:rsid w:val="00B80C0C"/>
    <w:rsid w:val="00B81173"/>
    <w:rsid w:val="00B816F4"/>
    <w:rsid w:val="00B81EA5"/>
    <w:rsid w:val="00B8211F"/>
    <w:rsid w:val="00B82813"/>
    <w:rsid w:val="00B82F34"/>
    <w:rsid w:val="00B841A2"/>
    <w:rsid w:val="00B84B61"/>
    <w:rsid w:val="00B84C8B"/>
    <w:rsid w:val="00B85473"/>
    <w:rsid w:val="00B85A28"/>
    <w:rsid w:val="00B86242"/>
    <w:rsid w:val="00B86489"/>
    <w:rsid w:val="00B87066"/>
    <w:rsid w:val="00B870F3"/>
    <w:rsid w:val="00B87942"/>
    <w:rsid w:val="00B90224"/>
    <w:rsid w:val="00B90DBC"/>
    <w:rsid w:val="00B919F2"/>
    <w:rsid w:val="00B91C85"/>
    <w:rsid w:val="00B92347"/>
    <w:rsid w:val="00B924F1"/>
    <w:rsid w:val="00B93149"/>
    <w:rsid w:val="00B93917"/>
    <w:rsid w:val="00B93968"/>
    <w:rsid w:val="00B93D78"/>
    <w:rsid w:val="00B93E63"/>
    <w:rsid w:val="00B9441A"/>
    <w:rsid w:val="00B94C5A"/>
    <w:rsid w:val="00B957BE"/>
    <w:rsid w:val="00B95F70"/>
    <w:rsid w:val="00B96437"/>
    <w:rsid w:val="00B96C6C"/>
    <w:rsid w:val="00B96CB5"/>
    <w:rsid w:val="00B97445"/>
    <w:rsid w:val="00B97542"/>
    <w:rsid w:val="00B97A7C"/>
    <w:rsid w:val="00B97DED"/>
    <w:rsid w:val="00BA073C"/>
    <w:rsid w:val="00BA0E55"/>
    <w:rsid w:val="00BA0F4B"/>
    <w:rsid w:val="00BA0FF3"/>
    <w:rsid w:val="00BA13B7"/>
    <w:rsid w:val="00BA1E01"/>
    <w:rsid w:val="00BA2338"/>
    <w:rsid w:val="00BA2CDC"/>
    <w:rsid w:val="00BA363B"/>
    <w:rsid w:val="00BA39DA"/>
    <w:rsid w:val="00BA45D0"/>
    <w:rsid w:val="00BA4CAB"/>
    <w:rsid w:val="00BA5260"/>
    <w:rsid w:val="00BA5551"/>
    <w:rsid w:val="00BA5942"/>
    <w:rsid w:val="00BA5C6B"/>
    <w:rsid w:val="00BA6313"/>
    <w:rsid w:val="00BA6788"/>
    <w:rsid w:val="00BA75FF"/>
    <w:rsid w:val="00BA7A73"/>
    <w:rsid w:val="00BA7DF0"/>
    <w:rsid w:val="00BB0332"/>
    <w:rsid w:val="00BB0C2F"/>
    <w:rsid w:val="00BB156B"/>
    <w:rsid w:val="00BB1B06"/>
    <w:rsid w:val="00BB2F50"/>
    <w:rsid w:val="00BB4AA4"/>
    <w:rsid w:val="00BB5513"/>
    <w:rsid w:val="00BB59B2"/>
    <w:rsid w:val="00BB6123"/>
    <w:rsid w:val="00BB721F"/>
    <w:rsid w:val="00BB79B8"/>
    <w:rsid w:val="00BC04EB"/>
    <w:rsid w:val="00BC1CF1"/>
    <w:rsid w:val="00BC1DE1"/>
    <w:rsid w:val="00BC239F"/>
    <w:rsid w:val="00BC301F"/>
    <w:rsid w:val="00BC3070"/>
    <w:rsid w:val="00BC4052"/>
    <w:rsid w:val="00BC47B0"/>
    <w:rsid w:val="00BC57B4"/>
    <w:rsid w:val="00BC5D00"/>
    <w:rsid w:val="00BC650F"/>
    <w:rsid w:val="00BC698B"/>
    <w:rsid w:val="00BC6F00"/>
    <w:rsid w:val="00BC76A4"/>
    <w:rsid w:val="00BC7816"/>
    <w:rsid w:val="00BD00ED"/>
    <w:rsid w:val="00BD03FA"/>
    <w:rsid w:val="00BD0803"/>
    <w:rsid w:val="00BD0F8C"/>
    <w:rsid w:val="00BD16E2"/>
    <w:rsid w:val="00BD1D6B"/>
    <w:rsid w:val="00BD2871"/>
    <w:rsid w:val="00BD2A4E"/>
    <w:rsid w:val="00BD2DA0"/>
    <w:rsid w:val="00BD43DD"/>
    <w:rsid w:val="00BD4476"/>
    <w:rsid w:val="00BD4701"/>
    <w:rsid w:val="00BD4821"/>
    <w:rsid w:val="00BD493D"/>
    <w:rsid w:val="00BD58D3"/>
    <w:rsid w:val="00BD59EA"/>
    <w:rsid w:val="00BD5D72"/>
    <w:rsid w:val="00BD600F"/>
    <w:rsid w:val="00BD6338"/>
    <w:rsid w:val="00BD6EFC"/>
    <w:rsid w:val="00BD7004"/>
    <w:rsid w:val="00BD7209"/>
    <w:rsid w:val="00BD7A7F"/>
    <w:rsid w:val="00BD7D1E"/>
    <w:rsid w:val="00BE160C"/>
    <w:rsid w:val="00BE19EB"/>
    <w:rsid w:val="00BE1B7E"/>
    <w:rsid w:val="00BE1DD7"/>
    <w:rsid w:val="00BE2975"/>
    <w:rsid w:val="00BE317F"/>
    <w:rsid w:val="00BE5400"/>
    <w:rsid w:val="00BE7479"/>
    <w:rsid w:val="00BF1711"/>
    <w:rsid w:val="00BF1B51"/>
    <w:rsid w:val="00BF2141"/>
    <w:rsid w:val="00BF3097"/>
    <w:rsid w:val="00BF3591"/>
    <w:rsid w:val="00BF3CBE"/>
    <w:rsid w:val="00BF3F9C"/>
    <w:rsid w:val="00BF483E"/>
    <w:rsid w:val="00BF4E6F"/>
    <w:rsid w:val="00BF52E1"/>
    <w:rsid w:val="00BF5460"/>
    <w:rsid w:val="00C0009B"/>
    <w:rsid w:val="00C006FA"/>
    <w:rsid w:val="00C00B40"/>
    <w:rsid w:val="00C01B18"/>
    <w:rsid w:val="00C02363"/>
    <w:rsid w:val="00C02895"/>
    <w:rsid w:val="00C03ACB"/>
    <w:rsid w:val="00C03E32"/>
    <w:rsid w:val="00C0426F"/>
    <w:rsid w:val="00C05BC1"/>
    <w:rsid w:val="00C078F3"/>
    <w:rsid w:val="00C1007B"/>
    <w:rsid w:val="00C10522"/>
    <w:rsid w:val="00C11651"/>
    <w:rsid w:val="00C11E1B"/>
    <w:rsid w:val="00C13E76"/>
    <w:rsid w:val="00C14D9F"/>
    <w:rsid w:val="00C15BCF"/>
    <w:rsid w:val="00C15D50"/>
    <w:rsid w:val="00C16963"/>
    <w:rsid w:val="00C17396"/>
    <w:rsid w:val="00C17B53"/>
    <w:rsid w:val="00C208D3"/>
    <w:rsid w:val="00C20D1D"/>
    <w:rsid w:val="00C214E3"/>
    <w:rsid w:val="00C217E2"/>
    <w:rsid w:val="00C2278A"/>
    <w:rsid w:val="00C2315F"/>
    <w:rsid w:val="00C2354F"/>
    <w:rsid w:val="00C23A4F"/>
    <w:rsid w:val="00C25483"/>
    <w:rsid w:val="00C25A3D"/>
    <w:rsid w:val="00C25E7D"/>
    <w:rsid w:val="00C26038"/>
    <w:rsid w:val="00C268DD"/>
    <w:rsid w:val="00C268F8"/>
    <w:rsid w:val="00C27257"/>
    <w:rsid w:val="00C2726A"/>
    <w:rsid w:val="00C273CB"/>
    <w:rsid w:val="00C277AF"/>
    <w:rsid w:val="00C279D3"/>
    <w:rsid w:val="00C27C0E"/>
    <w:rsid w:val="00C30D3A"/>
    <w:rsid w:val="00C30FD8"/>
    <w:rsid w:val="00C3166F"/>
    <w:rsid w:val="00C31671"/>
    <w:rsid w:val="00C335DD"/>
    <w:rsid w:val="00C33F20"/>
    <w:rsid w:val="00C33FD0"/>
    <w:rsid w:val="00C35335"/>
    <w:rsid w:val="00C35EEB"/>
    <w:rsid w:val="00C36957"/>
    <w:rsid w:val="00C40372"/>
    <w:rsid w:val="00C42E8A"/>
    <w:rsid w:val="00C43143"/>
    <w:rsid w:val="00C437DA"/>
    <w:rsid w:val="00C44076"/>
    <w:rsid w:val="00C4421B"/>
    <w:rsid w:val="00C44C9A"/>
    <w:rsid w:val="00C455B6"/>
    <w:rsid w:val="00C45A83"/>
    <w:rsid w:val="00C45D14"/>
    <w:rsid w:val="00C46725"/>
    <w:rsid w:val="00C46BB8"/>
    <w:rsid w:val="00C476F5"/>
    <w:rsid w:val="00C47858"/>
    <w:rsid w:val="00C47870"/>
    <w:rsid w:val="00C502EF"/>
    <w:rsid w:val="00C50499"/>
    <w:rsid w:val="00C51386"/>
    <w:rsid w:val="00C522AB"/>
    <w:rsid w:val="00C528C3"/>
    <w:rsid w:val="00C52C2B"/>
    <w:rsid w:val="00C54DF7"/>
    <w:rsid w:val="00C5693E"/>
    <w:rsid w:val="00C56B9A"/>
    <w:rsid w:val="00C56D16"/>
    <w:rsid w:val="00C570E0"/>
    <w:rsid w:val="00C57220"/>
    <w:rsid w:val="00C57570"/>
    <w:rsid w:val="00C57D82"/>
    <w:rsid w:val="00C57EB4"/>
    <w:rsid w:val="00C60395"/>
    <w:rsid w:val="00C607E8"/>
    <w:rsid w:val="00C6083F"/>
    <w:rsid w:val="00C60D1F"/>
    <w:rsid w:val="00C61343"/>
    <w:rsid w:val="00C628BD"/>
    <w:rsid w:val="00C631AF"/>
    <w:rsid w:val="00C63AE8"/>
    <w:rsid w:val="00C64F90"/>
    <w:rsid w:val="00C65B61"/>
    <w:rsid w:val="00C65C3A"/>
    <w:rsid w:val="00C672F6"/>
    <w:rsid w:val="00C67A65"/>
    <w:rsid w:val="00C702AC"/>
    <w:rsid w:val="00C70408"/>
    <w:rsid w:val="00C70A1C"/>
    <w:rsid w:val="00C70C85"/>
    <w:rsid w:val="00C71477"/>
    <w:rsid w:val="00C72714"/>
    <w:rsid w:val="00C729FF"/>
    <w:rsid w:val="00C74A46"/>
    <w:rsid w:val="00C7508C"/>
    <w:rsid w:val="00C75D8E"/>
    <w:rsid w:val="00C76732"/>
    <w:rsid w:val="00C76CD9"/>
    <w:rsid w:val="00C76D0A"/>
    <w:rsid w:val="00C7700F"/>
    <w:rsid w:val="00C771EF"/>
    <w:rsid w:val="00C77553"/>
    <w:rsid w:val="00C7763A"/>
    <w:rsid w:val="00C77690"/>
    <w:rsid w:val="00C809AB"/>
    <w:rsid w:val="00C81A51"/>
    <w:rsid w:val="00C81ED5"/>
    <w:rsid w:val="00C82992"/>
    <w:rsid w:val="00C832AC"/>
    <w:rsid w:val="00C83B9A"/>
    <w:rsid w:val="00C83C7A"/>
    <w:rsid w:val="00C8421F"/>
    <w:rsid w:val="00C8507E"/>
    <w:rsid w:val="00C851F5"/>
    <w:rsid w:val="00C85419"/>
    <w:rsid w:val="00C86029"/>
    <w:rsid w:val="00C86545"/>
    <w:rsid w:val="00C87523"/>
    <w:rsid w:val="00C87E99"/>
    <w:rsid w:val="00C9165A"/>
    <w:rsid w:val="00C93190"/>
    <w:rsid w:val="00C93552"/>
    <w:rsid w:val="00C93C60"/>
    <w:rsid w:val="00C94128"/>
    <w:rsid w:val="00C9449B"/>
    <w:rsid w:val="00C9572E"/>
    <w:rsid w:val="00C9590B"/>
    <w:rsid w:val="00C96AE4"/>
    <w:rsid w:val="00C96F62"/>
    <w:rsid w:val="00C9748B"/>
    <w:rsid w:val="00CA1E94"/>
    <w:rsid w:val="00CA317F"/>
    <w:rsid w:val="00CA4600"/>
    <w:rsid w:val="00CA49C1"/>
    <w:rsid w:val="00CA5FB4"/>
    <w:rsid w:val="00CA71E0"/>
    <w:rsid w:val="00CB0562"/>
    <w:rsid w:val="00CB1FA7"/>
    <w:rsid w:val="00CB3FBB"/>
    <w:rsid w:val="00CB488B"/>
    <w:rsid w:val="00CB4C89"/>
    <w:rsid w:val="00CB59EB"/>
    <w:rsid w:val="00CB5B74"/>
    <w:rsid w:val="00CB61FB"/>
    <w:rsid w:val="00CB62A4"/>
    <w:rsid w:val="00CB65BE"/>
    <w:rsid w:val="00CB737C"/>
    <w:rsid w:val="00CB75FE"/>
    <w:rsid w:val="00CB7F17"/>
    <w:rsid w:val="00CC0918"/>
    <w:rsid w:val="00CC0FA7"/>
    <w:rsid w:val="00CC1AB5"/>
    <w:rsid w:val="00CC2F60"/>
    <w:rsid w:val="00CC3F68"/>
    <w:rsid w:val="00CC4263"/>
    <w:rsid w:val="00CC7143"/>
    <w:rsid w:val="00CC79AC"/>
    <w:rsid w:val="00CC79C2"/>
    <w:rsid w:val="00CC7CBA"/>
    <w:rsid w:val="00CD079F"/>
    <w:rsid w:val="00CD0A57"/>
    <w:rsid w:val="00CD126A"/>
    <w:rsid w:val="00CD1742"/>
    <w:rsid w:val="00CD25DA"/>
    <w:rsid w:val="00CD2A0C"/>
    <w:rsid w:val="00CD2D70"/>
    <w:rsid w:val="00CD3A92"/>
    <w:rsid w:val="00CD3C54"/>
    <w:rsid w:val="00CD4B45"/>
    <w:rsid w:val="00CD50C9"/>
    <w:rsid w:val="00CD5E99"/>
    <w:rsid w:val="00CD7263"/>
    <w:rsid w:val="00CD7A4A"/>
    <w:rsid w:val="00CD7BDF"/>
    <w:rsid w:val="00CE0620"/>
    <w:rsid w:val="00CE0895"/>
    <w:rsid w:val="00CE0B5B"/>
    <w:rsid w:val="00CE1510"/>
    <w:rsid w:val="00CE188D"/>
    <w:rsid w:val="00CE239A"/>
    <w:rsid w:val="00CE305E"/>
    <w:rsid w:val="00CE37F3"/>
    <w:rsid w:val="00CE3890"/>
    <w:rsid w:val="00CE41F2"/>
    <w:rsid w:val="00CE5517"/>
    <w:rsid w:val="00CE5522"/>
    <w:rsid w:val="00CE6B48"/>
    <w:rsid w:val="00CE6F5F"/>
    <w:rsid w:val="00CE7122"/>
    <w:rsid w:val="00CE71F1"/>
    <w:rsid w:val="00CE7ADD"/>
    <w:rsid w:val="00CF0304"/>
    <w:rsid w:val="00CF247F"/>
    <w:rsid w:val="00CF3489"/>
    <w:rsid w:val="00CF350E"/>
    <w:rsid w:val="00CF3F64"/>
    <w:rsid w:val="00CF3FEF"/>
    <w:rsid w:val="00CF4B24"/>
    <w:rsid w:val="00CF4FC3"/>
    <w:rsid w:val="00CF550C"/>
    <w:rsid w:val="00CF63B6"/>
    <w:rsid w:val="00CF651C"/>
    <w:rsid w:val="00CF7BEB"/>
    <w:rsid w:val="00CF7EE0"/>
    <w:rsid w:val="00D0023E"/>
    <w:rsid w:val="00D0031D"/>
    <w:rsid w:val="00D00E36"/>
    <w:rsid w:val="00D0114F"/>
    <w:rsid w:val="00D01324"/>
    <w:rsid w:val="00D0173F"/>
    <w:rsid w:val="00D01C2E"/>
    <w:rsid w:val="00D0295F"/>
    <w:rsid w:val="00D03392"/>
    <w:rsid w:val="00D041E6"/>
    <w:rsid w:val="00D06CC1"/>
    <w:rsid w:val="00D079A0"/>
    <w:rsid w:val="00D07FC8"/>
    <w:rsid w:val="00D10501"/>
    <w:rsid w:val="00D1090F"/>
    <w:rsid w:val="00D10D84"/>
    <w:rsid w:val="00D11356"/>
    <w:rsid w:val="00D11950"/>
    <w:rsid w:val="00D11E77"/>
    <w:rsid w:val="00D12106"/>
    <w:rsid w:val="00D124BC"/>
    <w:rsid w:val="00D13CCA"/>
    <w:rsid w:val="00D16A83"/>
    <w:rsid w:val="00D20D96"/>
    <w:rsid w:val="00D21468"/>
    <w:rsid w:val="00D21BCF"/>
    <w:rsid w:val="00D22A5E"/>
    <w:rsid w:val="00D2333D"/>
    <w:rsid w:val="00D247F4"/>
    <w:rsid w:val="00D249F4"/>
    <w:rsid w:val="00D251D0"/>
    <w:rsid w:val="00D26301"/>
    <w:rsid w:val="00D267C3"/>
    <w:rsid w:val="00D26E6F"/>
    <w:rsid w:val="00D27653"/>
    <w:rsid w:val="00D30969"/>
    <w:rsid w:val="00D30974"/>
    <w:rsid w:val="00D31656"/>
    <w:rsid w:val="00D32435"/>
    <w:rsid w:val="00D32757"/>
    <w:rsid w:val="00D337A0"/>
    <w:rsid w:val="00D34181"/>
    <w:rsid w:val="00D345B9"/>
    <w:rsid w:val="00D34FD1"/>
    <w:rsid w:val="00D35BB7"/>
    <w:rsid w:val="00D35EDB"/>
    <w:rsid w:val="00D3737A"/>
    <w:rsid w:val="00D3756A"/>
    <w:rsid w:val="00D37699"/>
    <w:rsid w:val="00D3791F"/>
    <w:rsid w:val="00D404A3"/>
    <w:rsid w:val="00D404F5"/>
    <w:rsid w:val="00D4080B"/>
    <w:rsid w:val="00D41685"/>
    <w:rsid w:val="00D41F52"/>
    <w:rsid w:val="00D42583"/>
    <w:rsid w:val="00D42DD6"/>
    <w:rsid w:val="00D463BB"/>
    <w:rsid w:val="00D4745A"/>
    <w:rsid w:val="00D47892"/>
    <w:rsid w:val="00D50726"/>
    <w:rsid w:val="00D5111E"/>
    <w:rsid w:val="00D512F9"/>
    <w:rsid w:val="00D51365"/>
    <w:rsid w:val="00D517BE"/>
    <w:rsid w:val="00D51F74"/>
    <w:rsid w:val="00D520F2"/>
    <w:rsid w:val="00D540FB"/>
    <w:rsid w:val="00D54171"/>
    <w:rsid w:val="00D54F35"/>
    <w:rsid w:val="00D55D8C"/>
    <w:rsid w:val="00D56386"/>
    <w:rsid w:val="00D5706C"/>
    <w:rsid w:val="00D5787E"/>
    <w:rsid w:val="00D605A0"/>
    <w:rsid w:val="00D607BE"/>
    <w:rsid w:val="00D60BCC"/>
    <w:rsid w:val="00D6149E"/>
    <w:rsid w:val="00D616E5"/>
    <w:rsid w:val="00D63962"/>
    <w:rsid w:val="00D64E6D"/>
    <w:rsid w:val="00D66212"/>
    <w:rsid w:val="00D677E1"/>
    <w:rsid w:val="00D67B1A"/>
    <w:rsid w:val="00D67D3B"/>
    <w:rsid w:val="00D67DE9"/>
    <w:rsid w:val="00D70BE1"/>
    <w:rsid w:val="00D714A4"/>
    <w:rsid w:val="00D7286B"/>
    <w:rsid w:val="00D73353"/>
    <w:rsid w:val="00D73AFF"/>
    <w:rsid w:val="00D73DC0"/>
    <w:rsid w:val="00D749DC"/>
    <w:rsid w:val="00D76141"/>
    <w:rsid w:val="00D802BD"/>
    <w:rsid w:val="00D806F3"/>
    <w:rsid w:val="00D813B4"/>
    <w:rsid w:val="00D83255"/>
    <w:rsid w:val="00D84354"/>
    <w:rsid w:val="00D843B7"/>
    <w:rsid w:val="00D847AD"/>
    <w:rsid w:val="00D8635D"/>
    <w:rsid w:val="00D86396"/>
    <w:rsid w:val="00D90335"/>
    <w:rsid w:val="00D90E8B"/>
    <w:rsid w:val="00D92365"/>
    <w:rsid w:val="00D92D7C"/>
    <w:rsid w:val="00D92E60"/>
    <w:rsid w:val="00D92F5F"/>
    <w:rsid w:val="00D9317E"/>
    <w:rsid w:val="00D931B0"/>
    <w:rsid w:val="00D93887"/>
    <w:rsid w:val="00D93B85"/>
    <w:rsid w:val="00D93FBA"/>
    <w:rsid w:val="00D94F9D"/>
    <w:rsid w:val="00D95A76"/>
    <w:rsid w:val="00D965AF"/>
    <w:rsid w:val="00D96985"/>
    <w:rsid w:val="00D97A59"/>
    <w:rsid w:val="00DA04E6"/>
    <w:rsid w:val="00DA0AE4"/>
    <w:rsid w:val="00DA0E8A"/>
    <w:rsid w:val="00DA2348"/>
    <w:rsid w:val="00DA26EA"/>
    <w:rsid w:val="00DA357F"/>
    <w:rsid w:val="00DA3650"/>
    <w:rsid w:val="00DA3BAC"/>
    <w:rsid w:val="00DA42D9"/>
    <w:rsid w:val="00DA435E"/>
    <w:rsid w:val="00DA4C11"/>
    <w:rsid w:val="00DA4C64"/>
    <w:rsid w:val="00DA5E0E"/>
    <w:rsid w:val="00DA6099"/>
    <w:rsid w:val="00DA60F0"/>
    <w:rsid w:val="00DA704C"/>
    <w:rsid w:val="00DA79ED"/>
    <w:rsid w:val="00DB0264"/>
    <w:rsid w:val="00DB027A"/>
    <w:rsid w:val="00DB07F4"/>
    <w:rsid w:val="00DB0C47"/>
    <w:rsid w:val="00DB166E"/>
    <w:rsid w:val="00DB1CB6"/>
    <w:rsid w:val="00DB22DC"/>
    <w:rsid w:val="00DB3696"/>
    <w:rsid w:val="00DB4A54"/>
    <w:rsid w:val="00DB52B5"/>
    <w:rsid w:val="00DB55FF"/>
    <w:rsid w:val="00DB564B"/>
    <w:rsid w:val="00DB670D"/>
    <w:rsid w:val="00DB6E20"/>
    <w:rsid w:val="00DB78E5"/>
    <w:rsid w:val="00DC0E3E"/>
    <w:rsid w:val="00DC12ED"/>
    <w:rsid w:val="00DC19E0"/>
    <w:rsid w:val="00DC3EDD"/>
    <w:rsid w:val="00DC3F26"/>
    <w:rsid w:val="00DC5010"/>
    <w:rsid w:val="00DC5BB7"/>
    <w:rsid w:val="00DC6860"/>
    <w:rsid w:val="00DC7B27"/>
    <w:rsid w:val="00DD11CF"/>
    <w:rsid w:val="00DD209B"/>
    <w:rsid w:val="00DD2A4A"/>
    <w:rsid w:val="00DD2F5D"/>
    <w:rsid w:val="00DD33AC"/>
    <w:rsid w:val="00DD37E0"/>
    <w:rsid w:val="00DD38E6"/>
    <w:rsid w:val="00DD40C1"/>
    <w:rsid w:val="00DD44D8"/>
    <w:rsid w:val="00DD4A73"/>
    <w:rsid w:val="00DD4A94"/>
    <w:rsid w:val="00DD576D"/>
    <w:rsid w:val="00DD6D8C"/>
    <w:rsid w:val="00DD7077"/>
    <w:rsid w:val="00DD77F8"/>
    <w:rsid w:val="00DD78F7"/>
    <w:rsid w:val="00DD7CC1"/>
    <w:rsid w:val="00DE000D"/>
    <w:rsid w:val="00DE3AFF"/>
    <w:rsid w:val="00DE3B32"/>
    <w:rsid w:val="00DE3FFF"/>
    <w:rsid w:val="00DE4981"/>
    <w:rsid w:val="00DE5650"/>
    <w:rsid w:val="00DE5A41"/>
    <w:rsid w:val="00DE65CF"/>
    <w:rsid w:val="00DE6C97"/>
    <w:rsid w:val="00DE6DE1"/>
    <w:rsid w:val="00DE6F85"/>
    <w:rsid w:val="00DE73FE"/>
    <w:rsid w:val="00DE7894"/>
    <w:rsid w:val="00DE7CBC"/>
    <w:rsid w:val="00DF1DB5"/>
    <w:rsid w:val="00DF3979"/>
    <w:rsid w:val="00DF3D54"/>
    <w:rsid w:val="00DF3FB3"/>
    <w:rsid w:val="00DF3FB9"/>
    <w:rsid w:val="00DF496E"/>
    <w:rsid w:val="00DF6475"/>
    <w:rsid w:val="00DF64B4"/>
    <w:rsid w:val="00E0022A"/>
    <w:rsid w:val="00E00805"/>
    <w:rsid w:val="00E008DA"/>
    <w:rsid w:val="00E00C1E"/>
    <w:rsid w:val="00E01927"/>
    <w:rsid w:val="00E02020"/>
    <w:rsid w:val="00E021A6"/>
    <w:rsid w:val="00E02DC1"/>
    <w:rsid w:val="00E03757"/>
    <w:rsid w:val="00E03DE7"/>
    <w:rsid w:val="00E058EA"/>
    <w:rsid w:val="00E0679C"/>
    <w:rsid w:val="00E069CA"/>
    <w:rsid w:val="00E06A09"/>
    <w:rsid w:val="00E06CF5"/>
    <w:rsid w:val="00E07972"/>
    <w:rsid w:val="00E114C2"/>
    <w:rsid w:val="00E1270D"/>
    <w:rsid w:val="00E136EA"/>
    <w:rsid w:val="00E1463D"/>
    <w:rsid w:val="00E1470F"/>
    <w:rsid w:val="00E14727"/>
    <w:rsid w:val="00E1583F"/>
    <w:rsid w:val="00E16B93"/>
    <w:rsid w:val="00E173B7"/>
    <w:rsid w:val="00E2166E"/>
    <w:rsid w:val="00E21F08"/>
    <w:rsid w:val="00E2260F"/>
    <w:rsid w:val="00E22ADA"/>
    <w:rsid w:val="00E22AF9"/>
    <w:rsid w:val="00E22C37"/>
    <w:rsid w:val="00E23768"/>
    <w:rsid w:val="00E23AFC"/>
    <w:rsid w:val="00E23C0B"/>
    <w:rsid w:val="00E24FDE"/>
    <w:rsid w:val="00E262C1"/>
    <w:rsid w:val="00E265DD"/>
    <w:rsid w:val="00E26BEE"/>
    <w:rsid w:val="00E26E3E"/>
    <w:rsid w:val="00E27225"/>
    <w:rsid w:val="00E301B0"/>
    <w:rsid w:val="00E308FC"/>
    <w:rsid w:val="00E31104"/>
    <w:rsid w:val="00E32079"/>
    <w:rsid w:val="00E321C0"/>
    <w:rsid w:val="00E322D7"/>
    <w:rsid w:val="00E32450"/>
    <w:rsid w:val="00E32713"/>
    <w:rsid w:val="00E33742"/>
    <w:rsid w:val="00E3528D"/>
    <w:rsid w:val="00E36C79"/>
    <w:rsid w:val="00E36F0D"/>
    <w:rsid w:val="00E36FFC"/>
    <w:rsid w:val="00E3700D"/>
    <w:rsid w:val="00E400CB"/>
    <w:rsid w:val="00E4100D"/>
    <w:rsid w:val="00E41D73"/>
    <w:rsid w:val="00E42DF0"/>
    <w:rsid w:val="00E434E3"/>
    <w:rsid w:val="00E4369F"/>
    <w:rsid w:val="00E43BCA"/>
    <w:rsid w:val="00E444B1"/>
    <w:rsid w:val="00E446C1"/>
    <w:rsid w:val="00E452D5"/>
    <w:rsid w:val="00E460AF"/>
    <w:rsid w:val="00E463ED"/>
    <w:rsid w:val="00E508BA"/>
    <w:rsid w:val="00E5174D"/>
    <w:rsid w:val="00E52D41"/>
    <w:rsid w:val="00E53604"/>
    <w:rsid w:val="00E54D7C"/>
    <w:rsid w:val="00E55B2A"/>
    <w:rsid w:val="00E56B6A"/>
    <w:rsid w:val="00E56B6B"/>
    <w:rsid w:val="00E574EC"/>
    <w:rsid w:val="00E57729"/>
    <w:rsid w:val="00E57836"/>
    <w:rsid w:val="00E57928"/>
    <w:rsid w:val="00E579E7"/>
    <w:rsid w:val="00E60CF2"/>
    <w:rsid w:val="00E6117E"/>
    <w:rsid w:val="00E61B3C"/>
    <w:rsid w:val="00E63E40"/>
    <w:rsid w:val="00E650BD"/>
    <w:rsid w:val="00E652F6"/>
    <w:rsid w:val="00E65E56"/>
    <w:rsid w:val="00E673FE"/>
    <w:rsid w:val="00E67B6F"/>
    <w:rsid w:val="00E67E2F"/>
    <w:rsid w:val="00E7008F"/>
    <w:rsid w:val="00E703FE"/>
    <w:rsid w:val="00E706F0"/>
    <w:rsid w:val="00E7245F"/>
    <w:rsid w:val="00E733D7"/>
    <w:rsid w:val="00E73986"/>
    <w:rsid w:val="00E73997"/>
    <w:rsid w:val="00E74AD3"/>
    <w:rsid w:val="00E74B95"/>
    <w:rsid w:val="00E75974"/>
    <w:rsid w:val="00E75FAC"/>
    <w:rsid w:val="00E76000"/>
    <w:rsid w:val="00E76955"/>
    <w:rsid w:val="00E80CAF"/>
    <w:rsid w:val="00E81CD3"/>
    <w:rsid w:val="00E81F3A"/>
    <w:rsid w:val="00E82435"/>
    <w:rsid w:val="00E82A18"/>
    <w:rsid w:val="00E83005"/>
    <w:rsid w:val="00E83423"/>
    <w:rsid w:val="00E84DEC"/>
    <w:rsid w:val="00E84F39"/>
    <w:rsid w:val="00E85015"/>
    <w:rsid w:val="00E85841"/>
    <w:rsid w:val="00E85992"/>
    <w:rsid w:val="00E87A9E"/>
    <w:rsid w:val="00E903FC"/>
    <w:rsid w:val="00E910AA"/>
    <w:rsid w:val="00E9152D"/>
    <w:rsid w:val="00E9295C"/>
    <w:rsid w:val="00E92B21"/>
    <w:rsid w:val="00E92C3E"/>
    <w:rsid w:val="00E92DA6"/>
    <w:rsid w:val="00E932C2"/>
    <w:rsid w:val="00E93A27"/>
    <w:rsid w:val="00E93AE3"/>
    <w:rsid w:val="00E94ADC"/>
    <w:rsid w:val="00E9511B"/>
    <w:rsid w:val="00E95829"/>
    <w:rsid w:val="00E95847"/>
    <w:rsid w:val="00E95AE5"/>
    <w:rsid w:val="00E96808"/>
    <w:rsid w:val="00E96EB5"/>
    <w:rsid w:val="00E972A9"/>
    <w:rsid w:val="00E9748A"/>
    <w:rsid w:val="00E97802"/>
    <w:rsid w:val="00EA01FC"/>
    <w:rsid w:val="00EA0772"/>
    <w:rsid w:val="00EA19EA"/>
    <w:rsid w:val="00EA1FCB"/>
    <w:rsid w:val="00EA2520"/>
    <w:rsid w:val="00EA2F2C"/>
    <w:rsid w:val="00EA3C11"/>
    <w:rsid w:val="00EA4681"/>
    <w:rsid w:val="00EA4904"/>
    <w:rsid w:val="00EA53BC"/>
    <w:rsid w:val="00EA74C2"/>
    <w:rsid w:val="00EA7DD7"/>
    <w:rsid w:val="00EB0659"/>
    <w:rsid w:val="00EB090E"/>
    <w:rsid w:val="00EB0947"/>
    <w:rsid w:val="00EB14F4"/>
    <w:rsid w:val="00EB1A35"/>
    <w:rsid w:val="00EB1B15"/>
    <w:rsid w:val="00EB1BED"/>
    <w:rsid w:val="00EB2EB9"/>
    <w:rsid w:val="00EB2F76"/>
    <w:rsid w:val="00EB2F7E"/>
    <w:rsid w:val="00EB31D1"/>
    <w:rsid w:val="00EB3DBB"/>
    <w:rsid w:val="00EB42F5"/>
    <w:rsid w:val="00EB6486"/>
    <w:rsid w:val="00EB6E4B"/>
    <w:rsid w:val="00EB7309"/>
    <w:rsid w:val="00EC0FE9"/>
    <w:rsid w:val="00EC150A"/>
    <w:rsid w:val="00EC1C6C"/>
    <w:rsid w:val="00EC2979"/>
    <w:rsid w:val="00EC2E45"/>
    <w:rsid w:val="00EC3AA8"/>
    <w:rsid w:val="00EC4BC3"/>
    <w:rsid w:val="00EC4C1E"/>
    <w:rsid w:val="00EC5157"/>
    <w:rsid w:val="00EC550C"/>
    <w:rsid w:val="00EC6197"/>
    <w:rsid w:val="00EC7BA3"/>
    <w:rsid w:val="00EC7E41"/>
    <w:rsid w:val="00ED07F1"/>
    <w:rsid w:val="00ED12B3"/>
    <w:rsid w:val="00ED24AE"/>
    <w:rsid w:val="00ED251F"/>
    <w:rsid w:val="00ED3E2B"/>
    <w:rsid w:val="00ED4014"/>
    <w:rsid w:val="00ED4E80"/>
    <w:rsid w:val="00ED68E3"/>
    <w:rsid w:val="00ED6EDF"/>
    <w:rsid w:val="00ED72B2"/>
    <w:rsid w:val="00ED74CC"/>
    <w:rsid w:val="00ED765E"/>
    <w:rsid w:val="00ED7CCB"/>
    <w:rsid w:val="00ED7D77"/>
    <w:rsid w:val="00ED7E1C"/>
    <w:rsid w:val="00EE02AF"/>
    <w:rsid w:val="00EE06A4"/>
    <w:rsid w:val="00EE1F8A"/>
    <w:rsid w:val="00EE200B"/>
    <w:rsid w:val="00EE20AB"/>
    <w:rsid w:val="00EE271C"/>
    <w:rsid w:val="00EE2C14"/>
    <w:rsid w:val="00EE3780"/>
    <w:rsid w:val="00EE3989"/>
    <w:rsid w:val="00EE423B"/>
    <w:rsid w:val="00EE43F3"/>
    <w:rsid w:val="00EE4C8F"/>
    <w:rsid w:val="00EE4E16"/>
    <w:rsid w:val="00EE50AB"/>
    <w:rsid w:val="00EE51B4"/>
    <w:rsid w:val="00EE67F7"/>
    <w:rsid w:val="00EE70BF"/>
    <w:rsid w:val="00EE7AD7"/>
    <w:rsid w:val="00EE7C24"/>
    <w:rsid w:val="00EF35C7"/>
    <w:rsid w:val="00EF55BD"/>
    <w:rsid w:val="00EF5EFD"/>
    <w:rsid w:val="00EF5F1E"/>
    <w:rsid w:val="00EF677F"/>
    <w:rsid w:val="00EF6F21"/>
    <w:rsid w:val="00EF7713"/>
    <w:rsid w:val="00EF77B8"/>
    <w:rsid w:val="00F00886"/>
    <w:rsid w:val="00F00A96"/>
    <w:rsid w:val="00F00E57"/>
    <w:rsid w:val="00F00EA8"/>
    <w:rsid w:val="00F0194E"/>
    <w:rsid w:val="00F01BA9"/>
    <w:rsid w:val="00F0247F"/>
    <w:rsid w:val="00F02B01"/>
    <w:rsid w:val="00F02FA7"/>
    <w:rsid w:val="00F03DAF"/>
    <w:rsid w:val="00F03E7B"/>
    <w:rsid w:val="00F03F36"/>
    <w:rsid w:val="00F040FD"/>
    <w:rsid w:val="00F0483F"/>
    <w:rsid w:val="00F057D3"/>
    <w:rsid w:val="00F06286"/>
    <w:rsid w:val="00F06544"/>
    <w:rsid w:val="00F06B16"/>
    <w:rsid w:val="00F070CE"/>
    <w:rsid w:val="00F0731D"/>
    <w:rsid w:val="00F079C2"/>
    <w:rsid w:val="00F07B8C"/>
    <w:rsid w:val="00F1000A"/>
    <w:rsid w:val="00F10C7F"/>
    <w:rsid w:val="00F118C7"/>
    <w:rsid w:val="00F11933"/>
    <w:rsid w:val="00F12C5F"/>
    <w:rsid w:val="00F12F1E"/>
    <w:rsid w:val="00F13011"/>
    <w:rsid w:val="00F1375D"/>
    <w:rsid w:val="00F13895"/>
    <w:rsid w:val="00F13BD4"/>
    <w:rsid w:val="00F154E3"/>
    <w:rsid w:val="00F16B5D"/>
    <w:rsid w:val="00F17225"/>
    <w:rsid w:val="00F17351"/>
    <w:rsid w:val="00F200A2"/>
    <w:rsid w:val="00F21265"/>
    <w:rsid w:val="00F22315"/>
    <w:rsid w:val="00F22E9A"/>
    <w:rsid w:val="00F22EC4"/>
    <w:rsid w:val="00F232C0"/>
    <w:rsid w:val="00F235CA"/>
    <w:rsid w:val="00F23F4A"/>
    <w:rsid w:val="00F258CD"/>
    <w:rsid w:val="00F25BC1"/>
    <w:rsid w:val="00F26023"/>
    <w:rsid w:val="00F27357"/>
    <w:rsid w:val="00F27A4A"/>
    <w:rsid w:val="00F27C5F"/>
    <w:rsid w:val="00F3099E"/>
    <w:rsid w:val="00F32099"/>
    <w:rsid w:val="00F338EA"/>
    <w:rsid w:val="00F33D44"/>
    <w:rsid w:val="00F343A8"/>
    <w:rsid w:val="00F349D2"/>
    <w:rsid w:val="00F34E8D"/>
    <w:rsid w:val="00F3575F"/>
    <w:rsid w:val="00F35EAA"/>
    <w:rsid w:val="00F3651A"/>
    <w:rsid w:val="00F368F5"/>
    <w:rsid w:val="00F37754"/>
    <w:rsid w:val="00F37E18"/>
    <w:rsid w:val="00F37E1E"/>
    <w:rsid w:val="00F40665"/>
    <w:rsid w:val="00F41E79"/>
    <w:rsid w:val="00F4280C"/>
    <w:rsid w:val="00F44359"/>
    <w:rsid w:val="00F447B0"/>
    <w:rsid w:val="00F44A35"/>
    <w:rsid w:val="00F45906"/>
    <w:rsid w:val="00F45CCF"/>
    <w:rsid w:val="00F45D1A"/>
    <w:rsid w:val="00F46028"/>
    <w:rsid w:val="00F462EF"/>
    <w:rsid w:val="00F46659"/>
    <w:rsid w:val="00F467FC"/>
    <w:rsid w:val="00F46AD5"/>
    <w:rsid w:val="00F46E06"/>
    <w:rsid w:val="00F478B8"/>
    <w:rsid w:val="00F5004B"/>
    <w:rsid w:val="00F507C7"/>
    <w:rsid w:val="00F50B2E"/>
    <w:rsid w:val="00F51403"/>
    <w:rsid w:val="00F51421"/>
    <w:rsid w:val="00F51A78"/>
    <w:rsid w:val="00F5237D"/>
    <w:rsid w:val="00F52BD7"/>
    <w:rsid w:val="00F54F94"/>
    <w:rsid w:val="00F550DB"/>
    <w:rsid w:val="00F55946"/>
    <w:rsid w:val="00F56A2E"/>
    <w:rsid w:val="00F600D4"/>
    <w:rsid w:val="00F6058B"/>
    <w:rsid w:val="00F6149E"/>
    <w:rsid w:val="00F6207E"/>
    <w:rsid w:val="00F6303F"/>
    <w:rsid w:val="00F63FCA"/>
    <w:rsid w:val="00F64118"/>
    <w:rsid w:val="00F64527"/>
    <w:rsid w:val="00F64AF6"/>
    <w:rsid w:val="00F65453"/>
    <w:rsid w:val="00F6570C"/>
    <w:rsid w:val="00F666BA"/>
    <w:rsid w:val="00F66C99"/>
    <w:rsid w:val="00F70705"/>
    <w:rsid w:val="00F70AB6"/>
    <w:rsid w:val="00F71576"/>
    <w:rsid w:val="00F72198"/>
    <w:rsid w:val="00F7248E"/>
    <w:rsid w:val="00F72FCC"/>
    <w:rsid w:val="00F741F3"/>
    <w:rsid w:val="00F74D7E"/>
    <w:rsid w:val="00F75F37"/>
    <w:rsid w:val="00F75F68"/>
    <w:rsid w:val="00F76207"/>
    <w:rsid w:val="00F76AD1"/>
    <w:rsid w:val="00F775CC"/>
    <w:rsid w:val="00F776A9"/>
    <w:rsid w:val="00F8026A"/>
    <w:rsid w:val="00F806C3"/>
    <w:rsid w:val="00F8128F"/>
    <w:rsid w:val="00F81A1F"/>
    <w:rsid w:val="00F81DEF"/>
    <w:rsid w:val="00F83B23"/>
    <w:rsid w:val="00F83D50"/>
    <w:rsid w:val="00F858FE"/>
    <w:rsid w:val="00F8651E"/>
    <w:rsid w:val="00F86598"/>
    <w:rsid w:val="00F873F5"/>
    <w:rsid w:val="00F87AFF"/>
    <w:rsid w:val="00F90431"/>
    <w:rsid w:val="00F90454"/>
    <w:rsid w:val="00F905CA"/>
    <w:rsid w:val="00F92085"/>
    <w:rsid w:val="00F92516"/>
    <w:rsid w:val="00F92BC0"/>
    <w:rsid w:val="00F92D92"/>
    <w:rsid w:val="00F95B0F"/>
    <w:rsid w:val="00F95B35"/>
    <w:rsid w:val="00F95CB1"/>
    <w:rsid w:val="00F95DD1"/>
    <w:rsid w:val="00F96C87"/>
    <w:rsid w:val="00F97DB8"/>
    <w:rsid w:val="00FA00DE"/>
    <w:rsid w:val="00FA1470"/>
    <w:rsid w:val="00FA1A1F"/>
    <w:rsid w:val="00FA1FED"/>
    <w:rsid w:val="00FA25DA"/>
    <w:rsid w:val="00FA2A10"/>
    <w:rsid w:val="00FA38E1"/>
    <w:rsid w:val="00FA4B6D"/>
    <w:rsid w:val="00FA6401"/>
    <w:rsid w:val="00FA6A13"/>
    <w:rsid w:val="00FA6E37"/>
    <w:rsid w:val="00FA7C9C"/>
    <w:rsid w:val="00FB0365"/>
    <w:rsid w:val="00FB04F5"/>
    <w:rsid w:val="00FB05B6"/>
    <w:rsid w:val="00FB0BE5"/>
    <w:rsid w:val="00FB0E60"/>
    <w:rsid w:val="00FB15BC"/>
    <w:rsid w:val="00FB17CC"/>
    <w:rsid w:val="00FB4187"/>
    <w:rsid w:val="00FB5633"/>
    <w:rsid w:val="00FB5B57"/>
    <w:rsid w:val="00FB60F7"/>
    <w:rsid w:val="00FB6325"/>
    <w:rsid w:val="00FB6A76"/>
    <w:rsid w:val="00FC0AF5"/>
    <w:rsid w:val="00FC2F6C"/>
    <w:rsid w:val="00FC410D"/>
    <w:rsid w:val="00FC492E"/>
    <w:rsid w:val="00FC65B6"/>
    <w:rsid w:val="00FC6764"/>
    <w:rsid w:val="00FC78B3"/>
    <w:rsid w:val="00FC7C5A"/>
    <w:rsid w:val="00FD00C5"/>
    <w:rsid w:val="00FD0580"/>
    <w:rsid w:val="00FD1A72"/>
    <w:rsid w:val="00FD2A6F"/>
    <w:rsid w:val="00FD3378"/>
    <w:rsid w:val="00FD4112"/>
    <w:rsid w:val="00FD4387"/>
    <w:rsid w:val="00FD4B58"/>
    <w:rsid w:val="00FD58DA"/>
    <w:rsid w:val="00FD5B3A"/>
    <w:rsid w:val="00FD5C79"/>
    <w:rsid w:val="00FD5D73"/>
    <w:rsid w:val="00FD66BD"/>
    <w:rsid w:val="00FD6B26"/>
    <w:rsid w:val="00FE0011"/>
    <w:rsid w:val="00FE09BE"/>
    <w:rsid w:val="00FE12D0"/>
    <w:rsid w:val="00FE17C1"/>
    <w:rsid w:val="00FE1866"/>
    <w:rsid w:val="00FE326B"/>
    <w:rsid w:val="00FE5175"/>
    <w:rsid w:val="00FE5BD6"/>
    <w:rsid w:val="00FE6C99"/>
    <w:rsid w:val="00FE710A"/>
    <w:rsid w:val="00FE7292"/>
    <w:rsid w:val="00FE7327"/>
    <w:rsid w:val="00FE7E51"/>
    <w:rsid w:val="00FF04E9"/>
    <w:rsid w:val="00FF2DBA"/>
    <w:rsid w:val="00FF30D8"/>
    <w:rsid w:val="00FF3160"/>
    <w:rsid w:val="00FF33C2"/>
    <w:rsid w:val="00FF3F8E"/>
    <w:rsid w:val="00FF4033"/>
    <w:rsid w:val="00FF4D99"/>
    <w:rsid w:val="00FF5036"/>
    <w:rsid w:val="00FF517D"/>
    <w:rsid w:val="00FF589C"/>
    <w:rsid w:val="00FF5A05"/>
    <w:rsid w:val="00FF64E2"/>
    <w:rsid w:val="00FF6884"/>
    <w:rsid w:val="00FF705C"/>
    <w:rsid w:val="00FF7652"/>
    <w:rsid w:val="00FF76FD"/>
    <w:rsid w:val="00FF7A2A"/>
    <w:rsid w:val="00FF7A76"/>
    <w:rsid w:val="76C6C6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4DF6F"/>
  <w15:docId w15:val="{0C6D369F-1307-4102-AEB9-15A329D0E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buntu" w:hAnsi="Ubuntu" w:cs="Ubuntu" w:eastAsia="Ubuntu"/>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62A"/>
    <w:pPr>
      <w:spacing w:after="0" w:line="240" w:lineRule="auto"/>
      <w:jc w:val="both"/>
    </w:pPr>
    <w:rPr>
      <w:rFonts w:ascii="Ubuntu" w:hAnsi="Ubuntu" w:cs="Arial"/>
      <w:sz w:val="24"/>
      <w:szCs w:val="24"/>
    </w:rPr>
  </w:style>
  <w:style w:type="paragraph" w:styleId="Heading1">
    <w:name w:val="heading 1"/>
    <w:basedOn w:val="Normal"/>
    <w:next w:val="Normal"/>
    <w:link w:val="Heading1Char"/>
    <w:uiPriority w:val="9"/>
    <w:qFormat/>
    <w:rsid w:val="00DC3F26"/>
    <w:pPr>
      <w:keepNext/>
      <w:keepLines/>
      <w:spacing w:before="240"/>
      <w:outlineLvl w:val="0"/>
    </w:pPr>
    <w:rPr>
      <w:b/>
      <w:bCs/>
      <w:rFonts w:ascii="Ubuntu" w:hAnsi="Ubuntu" w:cs="Ubuntu" w:eastAsia="Ubuntu"/>
      <w:color w:val="365F91" w:themeColor="accent1" w:themeShade="BF"/>
      <w:sz w:val="32"/>
      <w:szCs w:val="32"/>
    </w:rPr>
  </w:style>
  <w:style w:type="paragraph" w:styleId="Heading2">
    <w:name w:val="heading 2"/>
    <w:basedOn w:val="Normal"/>
    <w:next w:val="Normal"/>
    <w:link w:val="Heading2Char"/>
    <w:uiPriority w:val="9"/>
    <w:unhideWhenUsed/>
    <w:qFormat/>
    <w:rsid w:val="002A3979"/>
    <w:pPr>
      <w:keepNext/>
      <w:keepLines/>
      <w:spacing w:before="40"/>
      <w:outlineLvl w:val="1"/>
    </w:pPr>
    <w:rPr>
      <w:b/>
      <w:bCs/>
      <w:rFonts w:ascii="Ubuntu" w:hAnsi="Ubuntu" w:cs="Ubuntu" w:eastAsia="Ubuntu"/>
      <w:color w:val="365F91" w:themeColor="accent1" w:themeShade="BF"/>
      <w:sz w:val="28"/>
      <w:szCs w:val="28"/>
    </w:rPr>
  </w:style>
  <w:style w:type="paragraph" w:styleId="Heading3">
    <w:name w:val="heading 3"/>
    <w:basedOn w:val="Normal"/>
    <w:next w:val="Normal"/>
    <w:link w:val="Heading3Char"/>
    <w:uiPriority w:val="9"/>
    <w:semiHidden/>
    <w:unhideWhenUsed/>
    <w:qFormat/>
    <w:rsid w:val="002A3979"/>
    <w:pPr>
      <w:keepNext/>
      <w:keepLines/>
      <w:spacing w:before="40"/>
      <w:outlineLvl w:val="2"/>
    </w:pPr>
    <w:rPr>
      <w:b/>
      <w:bCs/>
      <w:rFonts w:ascii="Ubuntu" w:hAnsi="Ubuntu" w:cs="Ubuntu" w:eastAsia="Ubuntu"/>
      <w:color w:val="365F91" w:themeColor="accent1" w:themeShade="BF"/>
      <w:sz w:val="24"/>
      <w:szCs w:val="24"/>
    </w:rPr>
  </w:style>
  <w:style w:type="paragraph" w:styleId="Heading4">
    <w:name w:val="heading 4"/>
    <w:basedOn w:val="Normal"/>
    <w:next w:val="Normal"/>
    <w:link w:val="Heading4Char"/>
    <w:uiPriority w:val="9"/>
    <w:semiHidden/>
    <w:unhideWhenUsed/>
    <w:qFormat/>
    <w:rsid w:val="006B5C6B"/>
    <w:pPr>
      <w:keepNext/>
      <w:keepLines/>
      <w:spacing w:before="40"/>
      <w:outlineLvl w:val="3"/>
    </w:pPr>
    <w:rPr>
      <w:rFonts w:ascii="Ubuntu" w:hAnsi="Ubuntu" w:cs="Ubuntu" w:eastAsia="Ubuntu"/>
      <w:i/>
      <w:iCs/>
      <w:color w:val="365F91" w:themeColor="accent1" w:themeShade="BF"/>
    </w:rPr>
  </w:style>
  <w:style w:type="paragraph" w:styleId="Heading5">
    <w:name w:val="heading 5"/>
    <w:basedOn w:val="Normal"/>
    <w:next w:val="Normal"/>
    <w:link w:val="Heading5Char"/>
    <w:uiPriority w:val="9"/>
    <w:semiHidden/>
    <w:unhideWhenUsed/>
    <w:qFormat/>
    <w:rsid w:val="006B5C6B"/>
    <w:pPr>
      <w:keepNext/>
      <w:keepLines/>
      <w:spacing w:before="40"/>
      <w:outlineLvl w:val="4"/>
    </w:pPr>
    <w:rPr>
      <w:rFonts w:ascii="Ubuntu" w:hAnsi="Ubuntu" w:cs="Ubuntu" w:eastAsia="Ubuntu"/>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35CCE"/>
    <w:pPr>
      <w:ind w:left="720"/>
      <w:contextualSpacing/>
    </w:pPr>
  </w:style>
  <w:style w:type="character" w:styleId="CommentReference">
    <w:name w:val="annotation reference"/>
    <w:basedOn w:val="DefaultParagraphFont"/>
    <w:uiPriority w:val="99"/>
    <w:semiHidden/>
    <w:unhideWhenUsed/>
    <w:rsid w:val="002F10F7"/>
    <w:rPr>
      <w:sz w:val="16"/>
      <w:szCs w:val="16"/>
    </w:rPr>
  </w:style>
  <w:style w:type="paragraph" w:styleId="CommentText">
    <w:name w:val="annotation text"/>
    <w:basedOn w:val="Normal"/>
    <w:link w:val="CommentTextChar"/>
    <w:uiPriority w:val="99"/>
    <w:semiHidden/>
    <w:unhideWhenUsed/>
    <w:rsid w:val="002F10F7"/>
    <w:rPr>
      <w:sz w:val="20"/>
      <w:szCs w:val="20"/>
    </w:rPr>
  </w:style>
  <w:style w:type="character" w:customStyle="1" w:styleId="CommentTextChar">
    <w:name w:val="Comment Text Char"/>
    <w:basedOn w:val="DefaultParagraphFont"/>
    <w:link w:val="CommentText"/>
    <w:uiPriority w:val="99"/>
    <w:semiHidden/>
    <w:rsid w:val="002F10F7"/>
    <w:rPr>
      <w:sz w:val="20"/>
      <w:szCs w:val="20"/>
    </w:rPr>
  </w:style>
  <w:style w:type="paragraph" w:styleId="CommentSubject">
    <w:name w:val="annotation subject"/>
    <w:basedOn w:val="CommentText"/>
    <w:next w:val="CommentText"/>
    <w:link w:val="CommentSubjectChar"/>
    <w:uiPriority w:val="99"/>
    <w:semiHidden/>
    <w:unhideWhenUsed/>
    <w:rsid w:val="002F10F7"/>
    <w:rPr>
      <w:b/>
      <w:bCs/>
    </w:rPr>
  </w:style>
  <w:style w:type="character" w:customStyle="1" w:styleId="CommentSubjectChar">
    <w:name w:val="Comment Subject Char"/>
    <w:basedOn w:val="CommentTextChar"/>
    <w:link w:val="CommentSubject"/>
    <w:uiPriority w:val="99"/>
    <w:semiHidden/>
    <w:rsid w:val="002F10F7"/>
    <w:rPr>
      <w:b/>
      <w:bCs/>
      <w:sz w:val="20"/>
      <w:szCs w:val="20"/>
    </w:rPr>
  </w:style>
  <w:style w:type="paragraph" w:styleId="BalloonText">
    <w:name w:val="Balloon Text"/>
    <w:basedOn w:val="Normal"/>
    <w:link w:val="BalloonTextChar"/>
    <w:uiPriority w:val="99"/>
    <w:semiHidden/>
    <w:unhideWhenUsed/>
    <w:rsid w:val="002F10F7"/>
    <w:rPr>
      <w:rFonts w:ascii="Tahoma" w:hAnsi="Tahoma" w:cs="Tahoma"/>
      <w:sz w:val="16"/>
      <w:szCs w:val="16"/>
    </w:rPr>
  </w:style>
  <w:style w:type="character" w:customStyle="1" w:styleId="BalloonTextChar">
    <w:name w:val="Balloon Text Char"/>
    <w:basedOn w:val="DefaultParagraphFont"/>
    <w:link w:val="BalloonText"/>
    <w:uiPriority w:val="99"/>
    <w:semiHidden/>
    <w:rsid w:val="002F10F7"/>
    <w:rPr>
      <w:rFonts w:ascii="Tahoma" w:hAnsi="Tahoma" w:cs="Tahoma"/>
      <w:sz w:val="16"/>
      <w:szCs w:val="16"/>
    </w:rPr>
  </w:style>
  <w:style w:type="table" w:styleId="TableGrid">
    <w:name w:val="Table Grid"/>
    <w:basedOn w:val="TableNormal"/>
    <w:uiPriority w:val="39"/>
    <w:rsid w:val="002F1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58DA"/>
    <w:pPr>
      <w:tabs>
        <w:tab w:val="center" w:pos="4419"/>
        <w:tab w:val="right" w:pos="8838"/>
      </w:tabs>
    </w:pPr>
  </w:style>
  <w:style w:type="character" w:customStyle="1" w:styleId="HeaderChar">
    <w:name w:val="Header Char"/>
    <w:basedOn w:val="DefaultParagraphFont"/>
    <w:link w:val="Header"/>
    <w:uiPriority w:val="99"/>
    <w:rsid w:val="00FD58DA"/>
  </w:style>
  <w:style w:type="paragraph" w:styleId="Footer">
    <w:name w:val="footer"/>
    <w:basedOn w:val="Normal"/>
    <w:link w:val="FooterChar"/>
    <w:uiPriority w:val="99"/>
    <w:unhideWhenUsed/>
    <w:rsid w:val="00FD58DA"/>
    <w:pPr>
      <w:tabs>
        <w:tab w:val="center" w:pos="4419"/>
        <w:tab w:val="right" w:pos="8838"/>
      </w:tabs>
    </w:pPr>
  </w:style>
  <w:style w:type="character" w:customStyle="1" w:styleId="FooterChar">
    <w:name w:val="Footer Char"/>
    <w:basedOn w:val="DefaultParagraphFont"/>
    <w:link w:val="Footer"/>
    <w:uiPriority w:val="99"/>
    <w:rsid w:val="00FD58DA"/>
  </w:style>
  <w:style w:type="character" w:styleId="Hyperlink">
    <w:name w:val="Hyperlink"/>
    <w:basedOn w:val="DefaultParagraphFont"/>
    <w:uiPriority w:val="99"/>
    <w:unhideWhenUsed/>
    <w:rsid w:val="00FD58DA"/>
    <w:rPr>
      <w:color w:val="0000FF" w:themeColor="hyperlink"/>
      <w:u w:val="single"/>
    </w:rPr>
  </w:style>
  <w:style w:type="paragraph" w:customStyle="1" w:styleId="Default">
    <w:name w:val="Default"/>
    <w:rsid w:val="00AC23A7"/>
    <w:pPr>
      <w:autoSpaceDE w:val="0"/>
      <w:autoSpaceDN w:val="0"/>
      <w:adjustRightInd w:val="0"/>
      <w:spacing w:after="0" w:line="240" w:lineRule="auto"/>
    </w:pPr>
    <w:rPr>
      <w:rFonts w:ascii="Arial" w:hAnsi="Arial" w:cs="Arial"/>
      <w:color w:val="000000"/>
      <w:sz w:val="24"/>
      <w:szCs w:val="24"/>
    </w:rPr>
  </w:style>
  <w:style w:type="character" w:customStyle="1" w:styleId="apple-converted-space">
    <w:name w:val="apple-converted-space"/>
    <w:basedOn w:val="DefaultParagraphFont"/>
    <w:rsid w:val="00572586"/>
  </w:style>
  <w:style w:type="paragraph" w:styleId="NoSpacing">
    <w:name w:val="No Spacing"/>
    <w:uiPriority w:val="1"/>
    <w:qFormat/>
    <w:rsid w:val="00460A43"/>
    <w:pPr>
      <w:spacing w:after="0" w:line="240" w:lineRule="auto"/>
    </w:pPr>
  </w:style>
  <w:style w:type="paragraph" w:styleId="BodyText3">
    <w:name w:val="Body Text 3"/>
    <w:basedOn w:val="Normal"/>
    <w:link w:val="BodyText3Char"/>
    <w:rsid w:val="001445FB"/>
    <w:rPr>
      <w:rFonts w:ascii="Tahoma" w:eastAsia="Times New Roman" w:hAnsi="Tahoma" w:cs="Times New Roman"/>
      <w:lang w:eastAsia="x-none"/>
    </w:rPr>
  </w:style>
  <w:style w:type="character" w:customStyle="1" w:styleId="BodyText3Char">
    <w:name w:val="Body Text 3 Char"/>
    <w:basedOn w:val="DefaultParagraphFont"/>
    <w:link w:val="BodyText3"/>
    <w:rsid w:val="001445FB"/>
    <w:rPr>
      <w:rFonts w:ascii="Tahoma" w:eastAsia="Times New Roman" w:hAnsi="Tahoma" w:cs="Times New Roman"/>
      <w:sz w:val="24"/>
      <w:szCs w:val="24"/>
      <w:lang w:eastAsia="x-none"/>
    </w:rPr>
  </w:style>
  <w:style w:type="paragraph" w:customStyle="1" w:styleId="TtuloCMConsultingSAS">
    <w:name w:val="Título CM Consulting SAS"/>
    <w:basedOn w:val="ListParagraph"/>
    <w:next w:val="Normal"/>
    <w:link w:val="TtuloCMConsultingSASChar"/>
    <w:rsid w:val="00C30D3A"/>
    <w:pPr>
      <w:numPr>
        <w:numId w:val="1"/>
      </w:numPr>
      <w:shd w:val="clear" w:color="auto" w:fill="DBE5F1" w:themeFill="accent1" w:themeFillTint="33"/>
    </w:pPr>
    <w:rPr>
      <w:b/>
      <w:color w:val="17365D" w:themeColor="text2" w:themeShade="BF"/>
    </w:rPr>
  </w:style>
  <w:style w:type="paragraph" w:styleId="TOC1">
    <w:name w:val="toc 1"/>
    <w:basedOn w:val="Normal"/>
    <w:next w:val="Normal"/>
    <w:autoRedefine/>
    <w:uiPriority w:val="39"/>
    <w:unhideWhenUsed/>
    <w:rsid w:val="00DC3F26"/>
    <w:pPr>
      <w:spacing w:after="100"/>
    </w:pPr>
  </w:style>
  <w:style w:type="character" w:customStyle="1" w:styleId="Heading1Char">
    <w:name w:val="Heading 1 Char"/>
    <w:basedOn w:val="DefaultParagraphFont"/>
    <w:link w:val="Heading1"/>
    <w:uiPriority w:val="9"/>
    <w:rsid w:val="00DC3F26"/>
    <w:rPr>
      <w:rFonts w:ascii="Ubuntu" w:hAnsi="Ubuntu" w:cs="Ubuntu" w:eastAsia="Ubuntu"/>
      <w:color w:val="365F91" w:themeColor="accent1" w:themeShade="BF"/>
      <w:sz w:val="32"/>
      <w:szCs w:val="32"/>
    </w:rPr>
  </w:style>
  <w:style w:type="character" w:customStyle="1" w:styleId="ListParagraphChar">
    <w:name w:val="List Paragraph Char"/>
    <w:basedOn w:val="DefaultParagraphFont"/>
    <w:link w:val="ListParagraph"/>
    <w:uiPriority w:val="34"/>
    <w:rsid w:val="00DC3F26"/>
  </w:style>
  <w:style w:type="character" w:customStyle="1" w:styleId="TtuloCMConsultingSASChar">
    <w:name w:val="Título CM Consulting SAS Char"/>
    <w:basedOn w:val="ListParagraphChar"/>
    <w:link w:val="TtuloCMConsultingSAS"/>
    <w:rsid w:val="00C30D3A"/>
    <w:rPr>
      <w:rFonts w:ascii="Ubuntu" w:hAnsi="Ubuntu" w:cs="Arial"/>
      <w:b/>
      <w:color w:val="17365D" w:themeColor="text2" w:themeShade="BF"/>
      <w:sz w:val="24"/>
      <w:szCs w:val="24"/>
      <w:shd w:val="clear" w:color="auto" w:fill="DBE5F1" w:themeFill="accent1" w:themeFillTint="33"/>
    </w:rPr>
  </w:style>
  <w:style w:type="paragraph" w:customStyle="1" w:styleId="SubttuloCMConsultingSAS">
    <w:name w:val="Subtítulo CM Consulting SAS"/>
    <w:basedOn w:val="Normal"/>
    <w:next w:val="Normal"/>
    <w:link w:val="SubttuloCMConsultingSASChar"/>
    <w:rsid w:val="002A3979"/>
    <w:pPr>
      <w:tabs>
        <w:tab w:val="left" w:pos="-1985"/>
      </w:tabs>
    </w:pPr>
    <w:rPr>
      <w:b/>
    </w:rPr>
  </w:style>
  <w:style w:type="paragraph" w:styleId="TOC2">
    <w:name w:val="toc 2"/>
    <w:basedOn w:val="Normal"/>
    <w:next w:val="Normal"/>
    <w:autoRedefine/>
    <w:uiPriority w:val="39"/>
    <w:unhideWhenUsed/>
    <w:rsid w:val="002A3979"/>
    <w:pPr>
      <w:spacing w:after="100"/>
      <w:ind w:left="220"/>
    </w:pPr>
  </w:style>
  <w:style w:type="character" w:customStyle="1" w:styleId="SubttuloCMConsultingSASChar">
    <w:name w:val="Subtítulo CM Consulting SAS Char"/>
    <w:basedOn w:val="DefaultParagraphFont"/>
    <w:link w:val="SubttuloCMConsultingSAS"/>
    <w:rsid w:val="002A3979"/>
    <w:rPr>
      <w:rFonts w:ascii="Arial" w:hAnsi="Arial" w:cs="Arial"/>
      <w:b/>
      <w:sz w:val="24"/>
      <w:szCs w:val="24"/>
    </w:rPr>
  </w:style>
  <w:style w:type="character" w:customStyle="1" w:styleId="Heading2Char">
    <w:name w:val="Heading 2 Char"/>
    <w:basedOn w:val="DefaultParagraphFont"/>
    <w:link w:val="Heading2"/>
    <w:uiPriority w:val="9"/>
    <w:rsid w:val="002A3979"/>
    <w:rPr>
      <w:b/>
      <w:bCs/>
      <w:rFonts w:ascii="Ubuntu" w:hAnsi="Ubuntu" w:cs="Ubuntu" w:eastAsia="Ubuntu"/>
      <w:color w:val="365F91" w:themeColor="accent1" w:themeShade="BF"/>
      <w:sz w:val="28"/>
      <w:szCs w:val="28"/>
    </w:rPr>
  </w:style>
  <w:style w:type="character" w:customStyle="1" w:styleId="Heading3Char">
    <w:name w:val="Heading 3 Char"/>
    <w:basedOn w:val="DefaultParagraphFont"/>
    <w:link w:val="Heading3"/>
    <w:uiPriority w:val="9"/>
    <w:semiHidden/>
    <w:rsid w:val="002A3979"/>
    <w:rPr>
      <w:b/>
      <w:bCs/>
      <w:rFonts w:ascii="Ubuntu" w:hAnsi="Ubuntu" w:cs="Ubuntu" w:eastAsia="Ubuntu"/>
      <w:color w:val="365F91" w:themeColor="accent1" w:themeShade="BF"/>
      <w:sz w:val="24"/>
      <w:szCs w:val="24"/>
      <w:sz w:val="24"/>
      <w:szCs w:val="24"/>
    </w:rPr>
  </w:style>
  <w:style w:type="paragraph" w:customStyle="1" w:styleId="TituloCMConsultingSAS">
    <w:name w:val="Titulo CM Consulting SAS"/>
    <w:basedOn w:val="ListParagraph"/>
    <w:link w:val="TituloCMConsultingSASChar"/>
    <w:rsid w:val="00D616E5"/>
    <w:pPr>
      <w:shd w:val="clear" w:color="auto" w:fill="DBE5F1" w:themeFill="accent1" w:themeFillTint="33"/>
      <w:ind w:left="360" w:hanging="360"/>
    </w:pPr>
    <w:rPr>
      <w:b/>
      <w:color w:val="17365D" w:themeColor="text2" w:themeShade="BF"/>
      <w:lang w:val="es-MX"/>
    </w:rPr>
  </w:style>
  <w:style w:type="character" w:customStyle="1" w:styleId="TituloCMConsultingSASChar">
    <w:name w:val="Titulo CM Consulting SAS Char"/>
    <w:basedOn w:val="ListParagraphChar"/>
    <w:link w:val="TituloCMConsultingSAS"/>
    <w:rsid w:val="00D616E5"/>
    <w:rPr>
      <w:rFonts w:ascii="Arial" w:hAnsi="Arial" w:cs="Arial"/>
      <w:b/>
      <w:color w:val="17365D" w:themeColor="text2" w:themeShade="BF"/>
      <w:sz w:val="24"/>
      <w:szCs w:val="24"/>
      <w:shd w:val="clear" w:color="auto" w:fill="DBE5F1" w:themeFill="accent1" w:themeFillTint="33"/>
      <w:lang w:val="es-MX"/>
    </w:rPr>
  </w:style>
  <w:style w:type="table" w:styleId="GridTable4-Accent1">
    <w:name w:val="Grid Table 4 Accent 1"/>
    <w:basedOn w:val="TableNormal"/>
    <w:uiPriority w:val="49"/>
    <w:rsid w:val="000839F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tuloCM">
    <w:name w:val="Título CM"/>
    <w:basedOn w:val="ListParagraph"/>
    <w:next w:val="Normal"/>
    <w:link w:val="TtuloCMChar"/>
    <w:qFormat/>
    <w:rsid w:val="009D2EBD"/>
    <w:pPr>
      <w:numPr>
        <w:numId w:val="2"/>
      </w:numPr>
    </w:pPr>
    <w:rPr>
      <w:b/>
    </w:rPr>
  </w:style>
  <w:style w:type="character" w:customStyle="1" w:styleId="TtuloCMChar">
    <w:name w:val="Título CM Char"/>
    <w:basedOn w:val="ListParagraphChar"/>
    <w:link w:val="TtuloCM"/>
    <w:rsid w:val="009D2EBD"/>
    <w:rPr>
      <w:rFonts w:ascii="Ubuntu" w:hAnsi="Ubuntu" w:cs="Arial"/>
      <w:b/>
      <w:sz w:val="24"/>
      <w:szCs w:val="24"/>
    </w:rPr>
  </w:style>
  <w:style w:type="character" w:customStyle="1" w:styleId="Heading4Char">
    <w:name w:val="Heading 4 Char"/>
    <w:basedOn w:val="DefaultParagraphFont"/>
    <w:link w:val="Heading4"/>
    <w:uiPriority w:val="9"/>
    <w:semiHidden/>
    <w:rsid w:val="006B5C6B"/>
    <w:rPr>
      <w:rFonts w:ascii="Ubuntu" w:hAnsi="Ubuntu" w:cs="Ubuntu" w:eastAsia="Ubuntu"/>
      <w:i/>
      <w:iCs/>
      <w:color w:val="365F91" w:themeColor="accent1" w:themeShade="BF"/>
      <w:sz w:val="24"/>
      <w:szCs w:val="24"/>
    </w:rPr>
  </w:style>
  <w:style w:type="character" w:customStyle="1" w:styleId="Heading5Char">
    <w:name w:val="Heading 5 Char"/>
    <w:basedOn w:val="DefaultParagraphFont"/>
    <w:link w:val="Heading5"/>
    <w:uiPriority w:val="9"/>
    <w:semiHidden/>
    <w:rsid w:val="006B5C6B"/>
    <w:rPr>
      <w:rFonts w:ascii="Ubuntu" w:hAnsi="Ubuntu" w:cs="Ubuntu" w:eastAsia="Ubuntu"/>
      <w:color w:val="365F91" w:themeColor="accent1" w:themeShade="BF"/>
      <w:sz w:val="24"/>
      <w:szCs w:val="24"/>
    </w:rPr>
  </w:style>
  <w:style w:type="paragraph" w:customStyle="1" w:styleId="CMTitulo">
    <w:name w:val="CM Titulo"/>
    <w:basedOn w:val="TtuloCMConsultingSAS"/>
    <w:next w:val="Normal"/>
    <w:autoRedefine/>
    <w:rsid w:val="00767CE2"/>
    <w:pPr>
      <w:shd w:val="clear" w:color="auto" w:fill="auto"/>
    </w:pPr>
    <w:rPr>
      <w:color w:val="0F385A"/>
    </w:rPr>
  </w:style>
  <w:style w:type="table" w:styleId="TableGridLight">
    <w:name w:val="Grid Table Light"/>
    <w:basedOn w:val="TableNormal"/>
    <w:uiPriority w:val="40"/>
    <w:rsid w:val="004730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D4A94"/>
    <w:rPr>
      <w:color w:val="605E5C"/>
      <w:shd w:val="clear" w:color="auto" w:fill="E1DFDD"/>
    </w:rPr>
  </w:style>
  <w:style w:type="paragraph" w:customStyle="1" w:styleId="PortadaCM">
    <w:name w:val="Portada CM"/>
    <w:basedOn w:val="Normal"/>
    <w:link w:val="PortadaCMChar"/>
    <w:qFormat/>
    <w:rsid w:val="00055D22"/>
    <w:pPr>
      <w:jc w:val="center"/>
    </w:pPr>
    <w:rPr>
      <w:b/>
      <w:bCs/>
      <w:sz w:val="64"/>
      <w:szCs w:val="64"/>
    </w:rPr>
  </w:style>
  <w:style w:type="paragraph" w:customStyle="1" w:styleId="SubtituloCMConsultingSAS">
    <w:name w:val="Subtitulo CM Consulting SAS"/>
    <w:basedOn w:val="ListParagraph"/>
    <w:next w:val="Normal"/>
    <w:link w:val="SubtituloCMConsultingSASChar"/>
    <w:qFormat/>
    <w:rsid w:val="00EF6F21"/>
    <w:pPr>
      <w:ind w:hanging="720"/>
    </w:pPr>
    <w:rPr>
      <w:b/>
    </w:rPr>
  </w:style>
  <w:style w:type="character" w:customStyle="1" w:styleId="PortadaCMChar">
    <w:name w:val="Portada CM Char"/>
    <w:basedOn w:val="DefaultParagraphFont"/>
    <w:link w:val="PortadaCM"/>
    <w:rsid w:val="00055D22"/>
    <w:rPr>
      <w:rFonts w:ascii="Ubuntu" w:hAnsi="Ubuntu" w:cs="Arial"/>
      <w:b/>
      <w:bCs/>
      <w:color w:val="144E8C"/>
      <w:sz w:val="64"/>
      <w:szCs w:val="64"/>
    </w:rPr>
  </w:style>
  <w:style w:type="character" w:customStyle="1" w:styleId="SubtituloCMConsultingSASChar">
    <w:name w:val="Subtitulo CM Consulting SAS Char"/>
    <w:basedOn w:val="ListParagraphChar"/>
    <w:link w:val="SubtituloCMConsultingSAS"/>
    <w:rsid w:val="00EF6F21"/>
    <w:rPr>
      <w:rFonts w:ascii="Ubuntu" w:hAnsi="Ubuntu" w:cs="Arial"/>
      <w:b/>
      <w:color w:val="144E8C"/>
      <w:sz w:val="24"/>
      <w:szCs w:val="24"/>
    </w:rPr>
  </w:style>
  <w:style w:type="table" w:styleId="GridTable5Dark-Accent1">
    <w:name w:val="Grid Table 5 Dark Accent 1"/>
    <w:basedOn w:val="TableNormal"/>
    <w:uiPriority w:val="50"/>
    <w:rsid w:val="00CA1E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ui-provider">
    <w:name w:val="ui-provider"/>
    <w:basedOn w:val="DefaultParagraphFont"/>
    <w:rsid w:val="00DD7077"/>
  </w:style>
  <w:style w:type="character" w:styleId="PlaceholderText">
    <w:name w:val="Placeholder Text"/>
    <w:basedOn w:val="DefaultParagraphFont"/>
    <w:uiPriority w:val="99"/>
    <w:semiHidden/>
    <w:rsid w:val="009923B8"/>
    <w:rPr>
      <w:color w:val="808080"/>
    </w:rPr>
  </w:style>
  <w:style w:type="character" w:customStyle="1" w:styleId="normaltextrun">
    <w:name w:val="normaltextrun"/>
    <w:basedOn w:val="DefaultParagraphFont"/>
    <w:rsid w:val="001A7FF8"/>
  </w:style>
  <w:style w:type="character" w:customStyle="1" w:styleId="eop">
    <w:name w:val="eop"/>
    <w:basedOn w:val="DefaultParagraphFont"/>
    <w:rsid w:val="001A7FF8"/>
  </w:style>
  <w:style w:type="paragraph" w:styleId="Revision">
    <w:name w:val="Revision"/>
    <w:hidden/>
    <w:uiPriority w:val="99"/>
    <w:semiHidden/>
    <w:rsid w:val="005D167C"/>
    <w:pPr>
      <w:spacing w:after="0" w:line="240" w:lineRule="auto"/>
    </w:pPr>
    <w:rPr>
      <w:rFonts w:ascii="Ubuntu" w:hAnsi="Ubuntu"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75565">
      <w:bodyDiv w:val="1"/>
      <w:marLeft w:val="0"/>
      <w:marRight w:val="0"/>
      <w:marTop w:val="0"/>
      <w:marBottom w:val="0"/>
      <w:divBdr>
        <w:top w:val="none" w:sz="0" w:space="0" w:color="auto"/>
        <w:left w:val="none" w:sz="0" w:space="0" w:color="auto"/>
        <w:bottom w:val="none" w:sz="0" w:space="0" w:color="auto"/>
        <w:right w:val="none" w:sz="0" w:space="0" w:color="auto"/>
      </w:divBdr>
    </w:div>
    <w:div w:id="78986075">
      <w:bodyDiv w:val="1"/>
      <w:marLeft w:val="0"/>
      <w:marRight w:val="0"/>
      <w:marTop w:val="0"/>
      <w:marBottom w:val="0"/>
      <w:divBdr>
        <w:top w:val="none" w:sz="0" w:space="0" w:color="auto"/>
        <w:left w:val="none" w:sz="0" w:space="0" w:color="auto"/>
        <w:bottom w:val="none" w:sz="0" w:space="0" w:color="auto"/>
        <w:right w:val="none" w:sz="0" w:space="0" w:color="auto"/>
      </w:divBdr>
    </w:div>
    <w:div w:id="167331286">
      <w:bodyDiv w:val="1"/>
      <w:marLeft w:val="0"/>
      <w:marRight w:val="0"/>
      <w:marTop w:val="0"/>
      <w:marBottom w:val="0"/>
      <w:divBdr>
        <w:top w:val="none" w:sz="0" w:space="0" w:color="auto"/>
        <w:left w:val="none" w:sz="0" w:space="0" w:color="auto"/>
        <w:bottom w:val="none" w:sz="0" w:space="0" w:color="auto"/>
        <w:right w:val="none" w:sz="0" w:space="0" w:color="auto"/>
      </w:divBdr>
    </w:div>
    <w:div w:id="170607535">
      <w:bodyDiv w:val="1"/>
      <w:marLeft w:val="0"/>
      <w:marRight w:val="0"/>
      <w:marTop w:val="0"/>
      <w:marBottom w:val="0"/>
      <w:divBdr>
        <w:top w:val="none" w:sz="0" w:space="0" w:color="auto"/>
        <w:left w:val="none" w:sz="0" w:space="0" w:color="auto"/>
        <w:bottom w:val="none" w:sz="0" w:space="0" w:color="auto"/>
        <w:right w:val="none" w:sz="0" w:space="0" w:color="auto"/>
      </w:divBdr>
    </w:div>
    <w:div w:id="201941860">
      <w:bodyDiv w:val="1"/>
      <w:marLeft w:val="0"/>
      <w:marRight w:val="0"/>
      <w:marTop w:val="0"/>
      <w:marBottom w:val="0"/>
      <w:divBdr>
        <w:top w:val="none" w:sz="0" w:space="0" w:color="auto"/>
        <w:left w:val="none" w:sz="0" w:space="0" w:color="auto"/>
        <w:bottom w:val="none" w:sz="0" w:space="0" w:color="auto"/>
        <w:right w:val="none" w:sz="0" w:space="0" w:color="auto"/>
      </w:divBdr>
    </w:div>
    <w:div w:id="268705129">
      <w:bodyDiv w:val="1"/>
      <w:marLeft w:val="0"/>
      <w:marRight w:val="0"/>
      <w:marTop w:val="0"/>
      <w:marBottom w:val="0"/>
      <w:divBdr>
        <w:top w:val="none" w:sz="0" w:space="0" w:color="auto"/>
        <w:left w:val="none" w:sz="0" w:space="0" w:color="auto"/>
        <w:bottom w:val="none" w:sz="0" w:space="0" w:color="auto"/>
        <w:right w:val="none" w:sz="0" w:space="0" w:color="auto"/>
      </w:divBdr>
    </w:div>
    <w:div w:id="367099175">
      <w:bodyDiv w:val="1"/>
      <w:marLeft w:val="0"/>
      <w:marRight w:val="0"/>
      <w:marTop w:val="0"/>
      <w:marBottom w:val="0"/>
      <w:divBdr>
        <w:top w:val="none" w:sz="0" w:space="0" w:color="auto"/>
        <w:left w:val="none" w:sz="0" w:space="0" w:color="auto"/>
        <w:bottom w:val="none" w:sz="0" w:space="0" w:color="auto"/>
        <w:right w:val="none" w:sz="0" w:space="0" w:color="auto"/>
      </w:divBdr>
    </w:div>
    <w:div w:id="452947024">
      <w:bodyDiv w:val="1"/>
      <w:marLeft w:val="0"/>
      <w:marRight w:val="0"/>
      <w:marTop w:val="0"/>
      <w:marBottom w:val="0"/>
      <w:divBdr>
        <w:top w:val="none" w:sz="0" w:space="0" w:color="auto"/>
        <w:left w:val="none" w:sz="0" w:space="0" w:color="auto"/>
        <w:bottom w:val="none" w:sz="0" w:space="0" w:color="auto"/>
        <w:right w:val="none" w:sz="0" w:space="0" w:color="auto"/>
      </w:divBdr>
      <w:divsChild>
        <w:div w:id="1707484430">
          <w:marLeft w:val="0"/>
          <w:marRight w:val="0"/>
          <w:marTop w:val="0"/>
          <w:marBottom w:val="0"/>
          <w:divBdr>
            <w:top w:val="none" w:sz="0" w:space="0" w:color="auto"/>
            <w:left w:val="none" w:sz="0" w:space="0" w:color="auto"/>
            <w:bottom w:val="none" w:sz="0" w:space="0" w:color="auto"/>
            <w:right w:val="none" w:sz="0" w:space="0" w:color="auto"/>
          </w:divBdr>
        </w:div>
      </w:divsChild>
    </w:div>
    <w:div w:id="500584321">
      <w:bodyDiv w:val="1"/>
      <w:marLeft w:val="0"/>
      <w:marRight w:val="0"/>
      <w:marTop w:val="0"/>
      <w:marBottom w:val="0"/>
      <w:divBdr>
        <w:top w:val="none" w:sz="0" w:space="0" w:color="auto"/>
        <w:left w:val="none" w:sz="0" w:space="0" w:color="auto"/>
        <w:bottom w:val="none" w:sz="0" w:space="0" w:color="auto"/>
        <w:right w:val="none" w:sz="0" w:space="0" w:color="auto"/>
      </w:divBdr>
      <w:divsChild>
        <w:div w:id="2062049602">
          <w:marLeft w:val="0"/>
          <w:marRight w:val="0"/>
          <w:marTop w:val="0"/>
          <w:marBottom w:val="0"/>
          <w:divBdr>
            <w:top w:val="none" w:sz="0" w:space="0" w:color="auto"/>
            <w:left w:val="none" w:sz="0" w:space="0" w:color="auto"/>
            <w:bottom w:val="none" w:sz="0" w:space="0" w:color="auto"/>
            <w:right w:val="none" w:sz="0" w:space="0" w:color="auto"/>
          </w:divBdr>
        </w:div>
        <w:div w:id="1092359746">
          <w:marLeft w:val="0"/>
          <w:marRight w:val="0"/>
          <w:marTop w:val="0"/>
          <w:marBottom w:val="0"/>
          <w:divBdr>
            <w:top w:val="none" w:sz="0" w:space="0" w:color="auto"/>
            <w:left w:val="none" w:sz="0" w:space="0" w:color="auto"/>
            <w:bottom w:val="none" w:sz="0" w:space="0" w:color="auto"/>
            <w:right w:val="none" w:sz="0" w:space="0" w:color="auto"/>
          </w:divBdr>
        </w:div>
        <w:div w:id="1847744983">
          <w:marLeft w:val="0"/>
          <w:marRight w:val="0"/>
          <w:marTop w:val="0"/>
          <w:marBottom w:val="0"/>
          <w:divBdr>
            <w:top w:val="none" w:sz="0" w:space="0" w:color="auto"/>
            <w:left w:val="none" w:sz="0" w:space="0" w:color="auto"/>
            <w:bottom w:val="none" w:sz="0" w:space="0" w:color="auto"/>
            <w:right w:val="none" w:sz="0" w:space="0" w:color="auto"/>
          </w:divBdr>
        </w:div>
        <w:div w:id="611782721">
          <w:marLeft w:val="0"/>
          <w:marRight w:val="0"/>
          <w:marTop w:val="0"/>
          <w:marBottom w:val="0"/>
          <w:divBdr>
            <w:top w:val="none" w:sz="0" w:space="0" w:color="auto"/>
            <w:left w:val="none" w:sz="0" w:space="0" w:color="auto"/>
            <w:bottom w:val="none" w:sz="0" w:space="0" w:color="auto"/>
            <w:right w:val="none" w:sz="0" w:space="0" w:color="auto"/>
          </w:divBdr>
        </w:div>
        <w:div w:id="128670501">
          <w:marLeft w:val="0"/>
          <w:marRight w:val="0"/>
          <w:marTop w:val="0"/>
          <w:marBottom w:val="0"/>
          <w:divBdr>
            <w:top w:val="none" w:sz="0" w:space="0" w:color="auto"/>
            <w:left w:val="none" w:sz="0" w:space="0" w:color="auto"/>
            <w:bottom w:val="none" w:sz="0" w:space="0" w:color="auto"/>
            <w:right w:val="none" w:sz="0" w:space="0" w:color="auto"/>
          </w:divBdr>
        </w:div>
        <w:div w:id="834153556">
          <w:marLeft w:val="0"/>
          <w:marRight w:val="0"/>
          <w:marTop w:val="0"/>
          <w:marBottom w:val="0"/>
          <w:divBdr>
            <w:top w:val="none" w:sz="0" w:space="0" w:color="auto"/>
            <w:left w:val="none" w:sz="0" w:space="0" w:color="auto"/>
            <w:bottom w:val="none" w:sz="0" w:space="0" w:color="auto"/>
            <w:right w:val="none" w:sz="0" w:space="0" w:color="auto"/>
          </w:divBdr>
        </w:div>
        <w:div w:id="893349962">
          <w:marLeft w:val="0"/>
          <w:marRight w:val="0"/>
          <w:marTop w:val="0"/>
          <w:marBottom w:val="0"/>
          <w:divBdr>
            <w:top w:val="none" w:sz="0" w:space="0" w:color="auto"/>
            <w:left w:val="none" w:sz="0" w:space="0" w:color="auto"/>
            <w:bottom w:val="none" w:sz="0" w:space="0" w:color="auto"/>
            <w:right w:val="none" w:sz="0" w:space="0" w:color="auto"/>
          </w:divBdr>
        </w:div>
        <w:div w:id="1620839731">
          <w:marLeft w:val="0"/>
          <w:marRight w:val="0"/>
          <w:marTop w:val="0"/>
          <w:marBottom w:val="0"/>
          <w:divBdr>
            <w:top w:val="none" w:sz="0" w:space="0" w:color="auto"/>
            <w:left w:val="none" w:sz="0" w:space="0" w:color="auto"/>
            <w:bottom w:val="none" w:sz="0" w:space="0" w:color="auto"/>
            <w:right w:val="none" w:sz="0" w:space="0" w:color="auto"/>
          </w:divBdr>
        </w:div>
        <w:div w:id="1700859800">
          <w:marLeft w:val="0"/>
          <w:marRight w:val="0"/>
          <w:marTop w:val="0"/>
          <w:marBottom w:val="0"/>
          <w:divBdr>
            <w:top w:val="none" w:sz="0" w:space="0" w:color="auto"/>
            <w:left w:val="none" w:sz="0" w:space="0" w:color="auto"/>
            <w:bottom w:val="none" w:sz="0" w:space="0" w:color="auto"/>
            <w:right w:val="none" w:sz="0" w:space="0" w:color="auto"/>
          </w:divBdr>
        </w:div>
        <w:div w:id="1032651019">
          <w:marLeft w:val="360"/>
          <w:marRight w:val="0"/>
          <w:marTop w:val="0"/>
          <w:marBottom w:val="0"/>
          <w:divBdr>
            <w:top w:val="none" w:sz="0" w:space="0" w:color="auto"/>
            <w:left w:val="none" w:sz="0" w:space="0" w:color="auto"/>
            <w:bottom w:val="none" w:sz="0" w:space="0" w:color="auto"/>
            <w:right w:val="none" w:sz="0" w:space="0" w:color="auto"/>
          </w:divBdr>
        </w:div>
        <w:div w:id="170799446">
          <w:marLeft w:val="720"/>
          <w:marRight w:val="0"/>
          <w:marTop w:val="0"/>
          <w:marBottom w:val="0"/>
          <w:divBdr>
            <w:top w:val="none" w:sz="0" w:space="0" w:color="auto"/>
            <w:left w:val="none" w:sz="0" w:space="0" w:color="auto"/>
            <w:bottom w:val="none" w:sz="0" w:space="0" w:color="auto"/>
            <w:right w:val="none" w:sz="0" w:space="0" w:color="auto"/>
          </w:divBdr>
        </w:div>
        <w:div w:id="1230576358">
          <w:marLeft w:val="720"/>
          <w:marRight w:val="0"/>
          <w:marTop w:val="0"/>
          <w:marBottom w:val="0"/>
          <w:divBdr>
            <w:top w:val="none" w:sz="0" w:space="0" w:color="auto"/>
            <w:left w:val="none" w:sz="0" w:space="0" w:color="auto"/>
            <w:bottom w:val="none" w:sz="0" w:space="0" w:color="auto"/>
            <w:right w:val="none" w:sz="0" w:space="0" w:color="auto"/>
          </w:divBdr>
        </w:div>
        <w:div w:id="208029842">
          <w:marLeft w:val="720"/>
          <w:marRight w:val="0"/>
          <w:marTop w:val="0"/>
          <w:marBottom w:val="0"/>
          <w:divBdr>
            <w:top w:val="none" w:sz="0" w:space="0" w:color="auto"/>
            <w:left w:val="none" w:sz="0" w:space="0" w:color="auto"/>
            <w:bottom w:val="none" w:sz="0" w:space="0" w:color="auto"/>
            <w:right w:val="none" w:sz="0" w:space="0" w:color="auto"/>
          </w:divBdr>
        </w:div>
        <w:div w:id="764031916">
          <w:marLeft w:val="720"/>
          <w:marRight w:val="0"/>
          <w:marTop w:val="0"/>
          <w:marBottom w:val="0"/>
          <w:divBdr>
            <w:top w:val="none" w:sz="0" w:space="0" w:color="auto"/>
            <w:left w:val="none" w:sz="0" w:space="0" w:color="auto"/>
            <w:bottom w:val="none" w:sz="0" w:space="0" w:color="auto"/>
            <w:right w:val="none" w:sz="0" w:space="0" w:color="auto"/>
          </w:divBdr>
        </w:div>
        <w:div w:id="1604723715">
          <w:marLeft w:val="360"/>
          <w:marRight w:val="0"/>
          <w:marTop w:val="0"/>
          <w:marBottom w:val="0"/>
          <w:divBdr>
            <w:top w:val="none" w:sz="0" w:space="0" w:color="auto"/>
            <w:left w:val="none" w:sz="0" w:space="0" w:color="auto"/>
            <w:bottom w:val="none" w:sz="0" w:space="0" w:color="auto"/>
            <w:right w:val="none" w:sz="0" w:space="0" w:color="auto"/>
          </w:divBdr>
        </w:div>
        <w:div w:id="207886747">
          <w:marLeft w:val="1080"/>
          <w:marRight w:val="0"/>
          <w:marTop w:val="0"/>
          <w:marBottom w:val="0"/>
          <w:divBdr>
            <w:top w:val="none" w:sz="0" w:space="0" w:color="auto"/>
            <w:left w:val="none" w:sz="0" w:space="0" w:color="auto"/>
            <w:bottom w:val="none" w:sz="0" w:space="0" w:color="auto"/>
            <w:right w:val="none" w:sz="0" w:space="0" w:color="auto"/>
          </w:divBdr>
        </w:div>
        <w:div w:id="1694259587">
          <w:marLeft w:val="1080"/>
          <w:marRight w:val="0"/>
          <w:marTop w:val="0"/>
          <w:marBottom w:val="0"/>
          <w:divBdr>
            <w:top w:val="none" w:sz="0" w:space="0" w:color="auto"/>
            <w:left w:val="none" w:sz="0" w:space="0" w:color="auto"/>
            <w:bottom w:val="none" w:sz="0" w:space="0" w:color="auto"/>
            <w:right w:val="none" w:sz="0" w:space="0" w:color="auto"/>
          </w:divBdr>
        </w:div>
        <w:div w:id="428964281">
          <w:marLeft w:val="360"/>
          <w:marRight w:val="0"/>
          <w:marTop w:val="0"/>
          <w:marBottom w:val="0"/>
          <w:divBdr>
            <w:top w:val="none" w:sz="0" w:space="0" w:color="auto"/>
            <w:left w:val="none" w:sz="0" w:space="0" w:color="auto"/>
            <w:bottom w:val="none" w:sz="0" w:space="0" w:color="auto"/>
            <w:right w:val="none" w:sz="0" w:space="0" w:color="auto"/>
          </w:divBdr>
        </w:div>
        <w:div w:id="1241058481">
          <w:marLeft w:val="1080"/>
          <w:marRight w:val="0"/>
          <w:marTop w:val="0"/>
          <w:marBottom w:val="0"/>
          <w:divBdr>
            <w:top w:val="none" w:sz="0" w:space="0" w:color="auto"/>
            <w:left w:val="none" w:sz="0" w:space="0" w:color="auto"/>
            <w:bottom w:val="none" w:sz="0" w:space="0" w:color="auto"/>
            <w:right w:val="none" w:sz="0" w:space="0" w:color="auto"/>
          </w:divBdr>
        </w:div>
        <w:div w:id="1692880003">
          <w:marLeft w:val="1080"/>
          <w:marRight w:val="0"/>
          <w:marTop w:val="0"/>
          <w:marBottom w:val="0"/>
          <w:divBdr>
            <w:top w:val="none" w:sz="0" w:space="0" w:color="auto"/>
            <w:left w:val="none" w:sz="0" w:space="0" w:color="auto"/>
            <w:bottom w:val="none" w:sz="0" w:space="0" w:color="auto"/>
            <w:right w:val="none" w:sz="0" w:space="0" w:color="auto"/>
          </w:divBdr>
        </w:div>
        <w:div w:id="1734036729">
          <w:marLeft w:val="0"/>
          <w:marRight w:val="0"/>
          <w:marTop w:val="0"/>
          <w:marBottom w:val="0"/>
          <w:divBdr>
            <w:top w:val="none" w:sz="0" w:space="0" w:color="auto"/>
            <w:left w:val="none" w:sz="0" w:space="0" w:color="auto"/>
            <w:bottom w:val="none" w:sz="0" w:space="0" w:color="auto"/>
            <w:right w:val="none" w:sz="0" w:space="0" w:color="auto"/>
          </w:divBdr>
        </w:div>
        <w:div w:id="479885751">
          <w:marLeft w:val="0"/>
          <w:marRight w:val="0"/>
          <w:marTop w:val="0"/>
          <w:marBottom w:val="0"/>
          <w:divBdr>
            <w:top w:val="none" w:sz="0" w:space="0" w:color="auto"/>
            <w:left w:val="none" w:sz="0" w:space="0" w:color="auto"/>
            <w:bottom w:val="none" w:sz="0" w:space="0" w:color="auto"/>
            <w:right w:val="none" w:sz="0" w:space="0" w:color="auto"/>
          </w:divBdr>
        </w:div>
        <w:div w:id="2077049478">
          <w:marLeft w:val="0"/>
          <w:marRight w:val="0"/>
          <w:marTop w:val="0"/>
          <w:marBottom w:val="0"/>
          <w:divBdr>
            <w:top w:val="none" w:sz="0" w:space="0" w:color="auto"/>
            <w:left w:val="none" w:sz="0" w:space="0" w:color="auto"/>
            <w:bottom w:val="none" w:sz="0" w:space="0" w:color="auto"/>
            <w:right w:val="none" w:sz="0" w:space="0" w:color="auto"/>
          </w:divBdr>
        </w:div>
        <w:div w:id="937911454">
          <w:marLeft w:val="0"/>
          <w:marRight w:val="0"/>
          <w:marTop w:val="0"/>
          <w:marBottom w:val="0"/>
          <w:divBdr>
            <w:top w:val="none" w:sz="0" w:space="0" w:color="auto"/>
            <w:left w:val="none" w:sz="0" w:space="0" w:color="auto"/>
            <w:bottom w:val="none" w:sz="0" w:space="0" w:color="auto"/>
            <w:right w:val="none" w:sz="0" w:space="0" w:color="auto"/>
          </w:divBdr>
        </w:div>
        <w:div w:id="485711410">
          <w:marLeft w:val="0"/>
          <w:marRight w:val="0"/>
          <w:marTop w:val="0"/>
          <w:marBottom w:val="0"/>
          <w:divBdr>
            <w:top w:val="none" w:sz="0" w:space="0" w:color="auto"/>
            <w:left w:val="none" w:sz="0" w:space="0" w:color="auto"/>
            <w:bottom w:val="none" w:sz="0" w:space="0" w:color="auto"/>
            <w:right w:val="none" w:sz="0" w:space="0" w:color="auto"/>
          </w:divBdr>
        </w:div>
        <w:div w:id="1007054286">
          <w:marLeft w:val="0"/>
          <w:marRight w:val="0"/>
          <w:marTop w:val="0"/>
          <w:marBottom w:val="0"/>
          <w:divBdr>
            <w:top w:val="none" w:sz="0" w:space="0" w:color="auto"/>
            <w:left w:val="none" w:sz="0" w:space="0" w:color="auto"/>
            <w:bottom w:val="none" w:sz="0" w:space="0" w:color="auto"/>
            <w:right w:val="none" w:sz="0" w:space="0" w:color="auto"/>
          </w:divBdr>
        </w:div>
      </w:divsChild>
    </w:div>
    <w:div w:id="582447679">
      <w:bodyDiv w:val="1"/>
      <w:marLeft w:val="0"/>
      <w:marRight w:val="0"/>
      <w:marTop w:val="0"/>
      <w:marBottom w:val="0"/>
      <w:divBdr>
        <w:top w:val="none" w:sz="0" w:space="0" w:color="auto"/>
        <w:left w:val="none" w:sz="0" w:space="0" w:color="auto"/>
        <w:bottom w:val="none" w:sz="0" w:space="0" w:color="auto"/>
        <w:right w:val="none" w:sz="0" w:space="0" w:color="auto"/>
      </w:divBdr>
    </w:div>
    <w:div w:id="619070798">
      <w:bodyDiv w:val="1"/>
      <w:marLeft w:val="0"/>
      <w:marRight w:val="0"/>
      <w:marTop w:val="0"/>
      <w:marBottom w:val="0"/>
      <w:divBdr>
        <w:top w:val="none" w:sz="0" w:space="0" w:color="auto"/>
        <w:left w:val="none" w:sz="0" w:space="0" w:color="auto"/>
        <w:bottom w:val="none" w:sz="0" w:space="0" w:color="auto"/>
        <w:right w:val="none" w:sz="0" w:space="0" w:color="auto"/>
      </w:divBdr>
    </w:div>
    <w:div w:id="668096347">
      <w:bodyDiv w:val="1"/>
      <w:marLeft w:val="0"/>
      <w:marRight w:val="0"/>
      <w:marTop w:val="0"/>
      <w:marBottom w:val="0"/>
      <w:divBdr>
        <w:top w:val="none" w:sz="0" w:space="0" w:color="auto"/>
        <w:left w:val="none" w:sz="0" w:space="0" w:color="auto"/>
        <w:bottom w:val="none" w:sz="0" w:space="0" w:color="auto"/>
        <w:right w:val="none" w:sz="0" w:space="0" w:color="auto"/>
      </w:divBdr>
    </w:div>
    <w:div w:id="671221052">
      <w:bodyDiv w:val="1"/>
      <w:marLeft w:val="0"/>
      <w:marRight w:val="0"/>
      <w:marTop w:val="0"/>
      <w:marBottom w:val="0"/>
      <w:divBdr>
        <w:top w:val="none" w:sz="0" w:space="0" w:color="auto"/>
        <w:left w:val="none" w:sz="0" w:space="0" w:color="auto"/>
        <w:bottom w:val="none" w:sz="0" w:space="0" w:color="auto"/>
        <w:right w:val="none" w:sz="0" w:space="0" w:color="auto"/>
      </w:divBdr>
    </w:div>
    <w:div w:id="688143719">
      <w:bodyDiv w:val="1"/>
      <w:marLeft w:val="0"/>
      <w:marRight w:val="0"/>
      <w:marTop w:val="0"/>
      <w:marBottom w:val="0"/>
      <w:divBdr>
        <w:top w:val="none" w:sz="0" w:space="0" w:color="auto"/>
        <w:left w:val="none" w:sz="0" w:space="0" w:color="auto"/>
        <w:bottom w:val="none" w:sz="0" w:space="0" w:color="auto"/>
        <w:right w:val="none" w:sz="0" w:space="0" w:color="auto"/>
      </w:divBdr>
    </w:div>
    <w:div w:id="704988556">
      <w:bodyDiv w:val="1"/>
      <w:marLeft w:val="0"/>
      <w:marRight w:val="0"/>
      <w:marTop w:val="0"/>
      <w:marBottom w:val="0"/>
      <w:divBdr>
        <w:top w:val="none" w:sz="0" w:space="0" w:color="auto"/>
        <w:left w:val="none" w:sz="0" w:space="0" w:color="auto"/>
        <w:bottom w:val="none" w:sz="0" w:space="0" w:color="auto"/>
        <w:right w:val="none" w:sz="0" w:space="0" w:color="auto"/>
      </w:divBdr>
    </w:div>
    <w:div w:id="712966473">
      <w:bodyDiv w:val="1"/>
      <w:marLeft w:val="0"/>
      <w:marRight w:val="0"/>
      <w:marTop w:val="0"/>
      <w:marBottom w:val="0"/>
      <w:divBdr>
        <w:top w:val="none" w:sz="0" w:space="0" w:color="auto"/>
        <w:left w:val="none" w:sz="0" w:space="0" w:color="auto"/>
        <w:bottom w:val="none" w:sz="0" w:space="0" w:color="auto"/>
        <w:right w:val="none" w:sz="0" w:space="0" w:color="auto"/>
      </w:divBdr>
    </w:div>
    <w:div w:id="754325550">
      <w:bodyDiv w:val="1"/>
      <w:marLeft w:val="0"/>
      <w:marRight w:val="0"/>
      <w:marTop w:val="0"/>
      <w:marBottom w:val="0"/>
      <w:divBdr>
        <w:top w:val="none" w:sz="0" w:space="0" w:color="auto"/>
        <w:left w:val="none" w:sz="0" w:space="0" w:color="auto"/>
        <w:bottom w:val="none" w:sz="0" w:space="0" w:color="auto"/>
        <w:right w:val="none" w:sz="0" w:space="0" w:color="auto"/>
      </w:divBdr>
    </w:div>
    <w:div w:id="799222874">
      <w:bodyDiv w:val="1"/>
      <w:marLeft w:val="0"/>
      <w:marRight w:val="0"/>
      <w:marTop w:val="0"/>
      <w:marBottom w:val="0"/>
      <w:divBdr>
        <w:top w:val="none" w:sz="0" w:space="0" w:color="auto"/>
        <w:left w:val="none" w:sz="0" w:space="0" w:color="auto"/>
        <w:bottom w:val="none" w:sz="0" w:space="0" w:color="auto"/>
        <w:right w:val="none" w:sz="0" w:space="0" w:color="auto"/>
      </w:divBdr>
    </w:div>
    <w:div w:id="919749656">
      <w:bodyDiv w:val="1"/>
      <w:marLeft w:val="0"/>
      <w:marRight w:val="0"/>
      <w:marTop w:val="0"/>
      <w:marBottom w:val="0"/>
      <w:divBdr>
        <w:top w:val="none" w:sz="0" w:space="0" w:color="auto"/>
        <w:left w:val="none" w:sz="0" w:space="0" w:color="auto"/>
        <w:bottom w:val="none" w:sz="0" w:space="0" w:color="auto"/>
        <w:right w:val="none" w:sz="0" w:space="0" w:color="auto"/>
      </w:divBdr>
    </w:div>
    <w:div w:id="992417952">
      <w:bodyDiv w:val="1"/>
      <w:marLeft w:val="0"/>
      <w:marRight w:val="0"/>
      <w:marTop w:val="0"/>
      <w:marBottom w:val="0"/>
      <w:divBdr>
        <w:top w:val="none" w:sz="0" w:space="0" w:color="auto"/>
        <w:left w:val="none" w:sz="0" w:space="0" w:color="auto"/>
        <w:bottom w:val="none" w:sz="0" w:space="0" w:color="auto"/>
        <w:right w:val="none" w:sz="0" w:space="0" w:color="auto"/>
      </w:divBdr>
    </w:div>
    <w:div w:id="1028216658">
      <w:bodyDiv w:val="1"/>
      <w:marLeft w:val="0"/>
      <w:marRight w:val="0"/>
      <w:marTop w:val="0"/>
      <w:marBottom w:val="0"/>
      <w:divBdr>
        <w:top w:val="none" w:sz="0" w:space="0" w:color="auto"/>
        <w:left w:val="none" w:sz="0" w:space="0" w:color="auto"/>
        <w:bottom w:val="none" w:sz="0" w:space="0" w:color="auto"/>
        <w:right w:val="none" w:sz="0" w:space="0" w:color="auto"/>
      </w:divBdr>
    </w:div>
    <w:div w:id="1057052039">
      <w:bodyDiv w:val="1"/>
      <w:marLeft w:val="0"/>
      <w:marRight w:val="0"/>
      <w:marTop w:val="0"/>
      <w:marBottom w:val="0"/>
      <w:divBdr>
        <w:top w:val="none" w:sz="0" w:space="0" w:color="auto"/>
        <w:left w:val="none" w:sz="0" w:space="0" w:color="auto"/>
        <w:bottom w:val="none" w:sz="0" w:space="0" w:color="auto"/>
        <w:right w:val="none" w:sz="0" w:space="0" w:color="auto"/>
      </w:divBdr>
    </w:div>
    <w:div w:id="1153108835">
      <w:bodyDiv w:val="1"/>
      <w:marLeft w:val="0"/>
      <w:marRight w:val="0"/>
      <w:marTop w:val="0"/>
      <w:marBottom w:val="0"/>
      <w:divBdr>
        <w:top w:val="none" w:sz="0" w:space="0" w:color="auto"/>
        <w:left w:val="none" w:sz="0" w:space="0" w:color="auto"/>
        <w:bottom w:val="none" w:sz="0" w:space="0" w:color="auto"/>
        <w:right w:val="none" w:sz="0" w:space="0" w:color="auto"/>
      </w:divBdr>
    </w:div>
    <w:div w:id="1165317853">
      <w:bodyDiv w:val="1"/>
      <w:marLeft w:val="0"/>
      <w:marRight w:val="0"/>
      <w:marTop w:val="0"/>
      <w:marBottom w:val="0"/>
      <w:divBdr>
        <w:top w:val="none" w:sz="0" w:space="0" w:color="auto"/>
        <w:left w:val="none" w:sz="0" w:space="0" w:color="auto"/>
        <w:bottom w:val="none" w:sz="0" w:space="0" w:color="auto"/>
        <w:right w:val="none" w:sz="0" w:space="0" w:color="auto"/>
      </w:divBdr>
    </w:div>
    <w:div w:id="1266813388">
      <w:bodyDiv w:val="1"/>
      <w:marLeft w:val="0"/>
      <w:marRight w:val="0"/>
      <w:marTop w:val="0"/>
      <w:marBottom w:val="0"/>
      <w:divBdr>
        <w:top w:val="none" w:sz="0" w:space="0" w:color="auto"/>
        <w:left w:val="none" w:sz="0" w:space="0" w:color="auto"/>
        <w:bottom w:val="none" w:sz="0" w:space="0" w:color="auto"/>
        <w:right w:val="none" w:sz="0" w:space="0" w:color="auto"/>
      </w:divBdr>
      <w:divsChild>
        <w:div w:id="2135051303">
          <w:marLeft w:val="0"/>
          <w:marRight w:val="0"/>
          <w:marTop w:val="0"/>
          <w:marBottom w:val="0"/>
          <w:divBdr>
            <w:top w:val="none" w:sz="0" w:space="0" w:color="auto"/>
            <w:left w:val="none" w:sz="0" w:space="0" w:color="auto"/>
            <w:bottom w:val="none" w:sz="0" w:space="0" w:color="auto"/>
            <w:right w:val="none" w:sz="0" w:space="0" w:color="auto"/>
          </w:divBdr>
        </w:div>
        <w:div w:id="300617002">
          <w:marLeft w:val="0"/>
          <w:marRight w:val="0"/>
          <w:marTop w:val="0"/>
          <w:marBottom w:val="0"/>
          <w:divBdr>
            <w:top w:val="none" w:sz="0" w:space="0" w:color="auto"/>
            <w:left w:val="none" w:sz="0" w:space="0" w:color="auto"/>
            <w:bottom w:val="none" w:sz="0" w:space="0" w:color="auto"/>
            <w:right w:val="none" w:sz="0" w:space="0" w:color="auto"/>
          </w:divBdr>
        </w:div>
        <w:div w:id="417024530">
          <w:marLeft w:val="0"/>
          <w:marRight w:val="0"/>
          <w:marTop w:val="0"/>
          <w:marBottom w:val="0"/>
          <w:divBdr>
            <w:top w:val="none" w:sz="0" w:space="0" w:color="auto"/>
            <w:left w:val="none" w:sz="0" w:space="0" w:color="auto"/>
            <w:bottom w:val="none" w:sz="0" w:space="0" w:color="auto"/>
            <w:right w:val="none" w:sz="0" w:space="0" w:color="auto"/>
          </w:divBdr>
        </w:div>
        <w:div w:id="1134104887">
          <w:marLeft w:val="0"/>
          <w:marRight w:val="0"/>
          <w:marTop w:val="0"/>
          <w:marBottom w:val="0"/>
          <w:divBdr>
            <w:top w:val="none" w:sz="0" w:space="0" w:color="auto"/>
            <w:left w:val="none" w:sz="0" w:space="0" w:color="auto"/>
            <w:bottom w:val="none" w:sz="0" w:space="0" w:color="auto"/>
            <w:right w:val="none" w:sz="0" w:space="0" w:color="auto"/>
          </w:divBdr>
        </w:div>
        <w:div w:id="2141876232">
          <w:marLeft w:val="0"/>
          <w:marRight w:val="0"/>
          <w:marTop w:val="0"/>
          <w:marBottom w:val="0"/>
          <w:divBdr>
            <w:top w:val="none" w:sz="0" w:space="0" w:color="auto"/>
            <w:left w:val="none" w:sz="0" w:space="0" w:color="auto"/>
            <w:bottom w:val="none" w:sz="0" w:space="0" w:color="auto"/>
            <w:right w:val="none" w:sz="0" w:space="0" w:color="auto"/>
          </w:divBdr>
        </w:div>
        <w:div w:id="98140043">
          <w:marLeft w:val="0"/>
          <w:marRight w:val="0"/>
          <w:marTop w:val="0"/>
          <w:marBottom w:val="0"/>
          <w:divBdr>
            <w:top w:val="none" w:sz="0" w:space="0" w:color="auto"/>
            <w:left w:val="none" w:sz="0" w:space="0" w:color="auto"/>
            <w:bottom w:val="none" w:sz="0" w:space="0" w:color="auto"/>
            <w:right w:val="none" w:sz="0" w:space="0" w:color="auto"/>
          </w:divBdr>
        </w:div>
        <w:div w:id="917985373">
          <w:marLeft w:val="0"/>
          <w:marRight w:val="0"/>
          <w:marTop w:val="0"/>
          <w:marBottom w:val="0"/>
          <w:divBdr>
            <w:top w:val="none" w:sz="0" w:space="0" w:color="auto"/>
            <w:left w:val="none" w:sz="0" w:space="0" w:color="auto"/>
            <w:bottom w:val="none" w:sz="0" w:space="0" w:color="auto"/>
            <w:right w:val="none" w:sz="0" w:space="0" w:color="auto"/>
          </w:divBdr>
        </w:div>
        <w:div w:id="22369216">
          <w:marLeft w:val="0"/>
          <w:marRight w:val="0"/>
          <w:marTop w:val="0"/>
          <w:marBottom w:val="0"/>
          <w:divBdr>
            <w:top w:val="none" w:sz="0" w:space="0" w:color="auto"/>
            <w:left w:val="none" w:sz="0" w:space="0" w:color="auto"/>
            <w:bottom w:val="none" w:sz="0" w:space="0" w:color="auto"/>
            <w:right w:val="none" w:sz="0" w:space="0" w:color="auto"/>
          </w:divBdr>
        </w:div>
        <w:div w:id="40374602">
          <w:marLeft w:val="0"/>
          <w:marRight w:val="0"/>
          <w:marTop w:val="0"/>
          <w:marBottom w:val="0"/>
          <w:divBdr>
            <w:top w:val="none" w:sz="0" w:space="0" w:color="auto"/>
            <w:left w:val="none" w:sz="0" w:space="0" w:color="auto"/>
            <w:bottom w:val="none" w:sz="0" w:space="0" w:color="auto"/>
            <w:right w:val="none" w:sz="0" w:space="0" w:color="auto"/>
          </w:divBdr>
        </w:div>
        <w:div w:id="1207836767">
          <w:marLeft w:val="0"/>
          <w:marRight w:val="0"/>
          <w:marTop w:val="0"/>
          <w:marBottom w:val="0"/>
          <w:divBdr>
            <w:top w:val="none" w:sz="0" w:space="0" w:color="auto"/>
            <w:left w:val="none" w:sz="0" w:space="0" w:color="auto"/>
            <w:bottom w:val="none" w:sz="0" w:space="0" w:color="auto"/>
            <w:right w:val="none" w:sz="0" w:space="0" w:color="auto"/>
          </w:divBdr>
        </w:div>
        <w:div w:id="1736582796">
          <w:marLeft w:val="0"/>
          <w:marRight w:val="0"/>
          <w:marTop w:val="0"/>
          <w:marBottom w:val="0"/>
          <w:divBdr>
            <w:top w:val="none" w:sz="0" w:space="0" w:color="auto"/>
            <w:left w:val="none" w:sz="0" w:space="0" w:color="auto"/>
            <w:bottom w:val="none" w:sz="0" w:space="0" w:color="auto"/>
            <w:right w:val="none" w:sz="0" w:space="0" w:color="auto"/>
          </w:divBdr>
        </w:div>
        <w:div w:id="1452094343">
          <w:marLeft w:val="0"/>
          <w:marRight w:val="0"/>
          <w:marTop w:val="0"/>
          <w:marBottom w:val="0"/>
          <w:divBdr>
            <w:top w:val="none" w:sz="0" w:space="0" w:color="auto"/>
            <w:left w:val="none" w:sz="0" w:space="0" w:color="auto"/>
            <w:bottom w:val="none" w:sz="0" w:space="0" w:color="auto"/>
            <w:right w:val="none" w:sz="0" w:space="0" w:color="auto"/>
          </w:divBdr>
        </w:div>
        <w:div w:id="1282495509">
          <w:marLeft w:val="0"/>
          <w:marRight w:val="0"/>
          <w:marTop w:val="0"/>
          <w:marBottom w:val="0"/>
          <w:divBdr>
            <w:top w:val="none" w:sz="0" w:space="0" w:color="auto"/>
            <w:left w:val="none" w:sz="0" w:space="0" w:color="auto"/>
            <w:bottom w:val="none" w:sz="0" w:space="0" w:color="auto"/>
            <w:right w:val="none" w:sz="0" w:space="0" w:color="auto"/>
          </w:divBdr>
        </w:div>
        <w:div w:id="1047486039">
          <w:marLeft w:val="0"/>
          <w:marRight w:val="0"/>
          <w:marTop w:val="0"/>
          <w:marBottom w:val="0"/>
          <w:divBdr>
            <w:top w:val="none" w:sz="0" w:space="0" w:color="auto"/>
            <w:left w:val="none" w:sz="0" w:space="0" w:color="auto"/>
            <w:bottom w:val="none" w:sz="0" w:space="0" w:color="auto"/>
            <w:right w:val="none" w:sz="0" w:space="0" w:color="auto"/>
          </w:divBdr>
        </w:div>
        <w:div w:id="1504205844">
          <w:marLeft w:val="0"/>
          <w:marRight w:val="0"/>
          <w:marTop w:val="0"/>
          <w:marBottom w:val="0"/>
          <w:divBdr>
            <w:top w:val="none" w:sz="0" w:space="0" w:color="auto"/>
            <w:left w:val="none" w:sz="0" w:space="0" w:color="auto"/>
            <w:bottom w:val="none" w:sz="0" w:space="0" w:color="auto"/>
            <w:right w:val="none" w:sz="0" w:space="0" w:color="auto"/>
          </w:divBdr>
        </w:div>
        <w:div w:id="2145004907">
          <w:marLeft w:val="0"/>
          <w:marRight w:val="0"/>
          <w:marTop w:val="0"/>
          <w:marBottom w:val="0"/>
          <w:divBdr>
            <w:top w:val="none" w:sz="0" w:space="0" w:color="auto"/>
            <w:left w:val="none" w:sz="0" w:space="0" w:color="auto"/>
            <w:bottom w:val="none" w:sz="0" w:space="0" w:color="auto"/>
            <w:right w:val="none" w:sz="0" w:space="0" w:color="auto"/>
          </w:divBdr>
        </w:div>
        <w:div w:id="1898205965">
          <w:marLeft w:val="0"/>
          <w:marRight w:val="0"/>
          <w:marTop w:val="0"/>
          <w:marBottom w:val="0"/>
          <w:divBdr>
            <w:top w:val="none" w:sz="0" w:space="0" w:color="auto"/>
            <w:left w:val="none" w:sz="0" w:space="0" w:color="auto"/>
            <w:bottom w:val="none" w:sz="0" w:space="0" w:color="auto"/>
            <w:right w:val="none" w:sz="0" w:space="0" w:color="auto"/>
          </w:divBdr>
        </w:div>
        <w:div w:id="1090614848">
          <w:marLeft w:val="0"/>
          <w:marRight w:val="0"/>
          <w:marTop w:val="0"/>
          <w:marBottom w:val="0"/>
          <w:divBdr>
            <w:top w:val="none" w:sz="0" w:space="0" w:color="auto"/>
            <w:left w:val="none" w:sz="0" w:space="0" w:color="auto"/>
            <w:bottom w:val="none" w:sz="0" w:space="0" w:color="auto"/>
            <w:right w:val="none" w:sz="0" w:space="0" w:color="auto"/>
          </w:divBdr>
        </w:div>
        <w:div w:id="562521075">
          <w:marLeft w:val="0"/>
          <w:marRight w:val="0"/>
          <w:marTop w:val="0"/>
          <w:marBottom w:val="0"/>
          <w:divBdr>
            <w:top w:val="none" w:sz="0" w:space="0" w:color="auto"/>
            <w:left w:val="none" w:sz="0" w:space="0" w:color="auto"/>
            <w:bottom w:val="none" w:sz="0" w:space="0" w:color="auto"/>
            <w:right w:val="none" w:sz="0" w:space="0" w:color="auto"/>
          </w:divBdr>
        </w:div>
        <w:div w:id="2063628827">
          <w:marLeft w:val="0"/>
          <w:marRight w:val="0"/>
          <w:marTop w:val="0"/>
          <w:marBottom w:val="0"/>
          <w:divBdr>
            <w:top w:val="none" w:sz="0" w:space="0" w:color="auto"/>
            <w:left w:val="none" w:sz="0" w:space="0" w:color="auto"/>
            <w:bottom w:val="none" w:sz="0" w:space="0" w:color="auto"/>
            <w:right w:val="none" w:sz="0" w:space="0" w:color="auto"/>
          </w:divBdr>
        </w:div>
        <w:div w:id="2133354531">
          <w:marLeft w:val="0"/>
          <w:marRight w:val="0"/>
          <w:marTop w:val="0"/>
          <w:marBottom w:val="0"/>
          <w:divBdr>
            <w:top w:val="none" w:sz="0" w:space="0" w:color="auto"/>
            <w:left w:val="none" w:sz="0" w:space="0" w:color="auto"/>
            <w:bottom w:val="none" w:sz="0" w:space="0" w:color="auto"/>
            <w:right w:val="none" w:sz="0" w:space="0" w:color="auto"/>
          </w:divBdr>
        </w:div>
        <w:div w:id="469370937">
          <w:marLeft w:val="0"/>
          <w:marRight w:val="0"/>
          <w:marTop w:val="0"/>
          <w:marBottom w:val="0"/>
          <w:divBdr>
            <w:top w:val="none" w:sz="0" w:space="0" w:color="auto"/>
            <w:left w:val="none" w:sz="0" w:space="0" w:color="auto"/>
            <w:bottom w:val="none" w:sz="0" w:space="0" w:color="auto"/>
            <w:right w:val="none" w:sz="0" w:space="0" w:color="auto"/>
          </w:divBdr>
        </w:div>
        <w:div w:id="1906837484">
          <w:marLeft w:val="0"/>
          <w:marRight w:val="0"/>
          <w:marTop w:val="0"/>
          <w:marBottom w:val="0"/>
          <w:divBdr>
            <w:top w:val="none" w:sz="0" w:space="0" w:color="auto"/>
            <w:left w:val="none" w:sz="0" w:space="0" w:color="auto"/>
            <w:bottom w:val="none" w:sz="0" w:space="0" w:color="auto"/>
            <w:right w:val="none" w:sz="0" w:space="0" w:color="auto"/>
          </w:divBdr>
        </w:div>
        <w:div w:id="1815684017">
          <w:marLeft w:val="0"/>
          <w:marRight w:val="0"/>
          <w:marTop w:val="0"/>
          <w:marBottom w:val="0"/>
          <w:divBdr>
            <w:top w:val="none" w:sz="0" w:space="0" w:color="auto"/>
            <w:left w:val="none" w:sz="0" w:space="0" w:color="auto"/>
            <w:bottom w:val="none" w:sz="0" w:space="0" w:color="auto"/>
            <w:right w:val="none" w:sz="0" w:space="0" w:color="auto"/>
          </w:divBdr>
        </w:div>
        <w:div w:id="1385836428">
          <w:marLeft w:val="0"/>
          <w:marRight w:val="0"/>
          <w:marTop w:val="0"/>
          <w:marBottom w:val="0"/>
          <w:divBdr>
            <w:top w:val="none" w:sz="0" w:space="0" w:color="auto"/>
            <w:left w:val="none" w:sz="0" w:space="0" w:color="auto"/>
            <w:bottom w:val="none" w:sz="0" w:space="0" w:color="auto"/>
            <w:right w:val="none" w:sz="0" w:space="0" w:color="auto"/>
          </w:divBdr>
        </w:div>
        <w:div w:id="894657873">
          <w:marLeft w:val="0"/>
          <w:marRight w:val="0"/>
          <w:marTop w:val="0"/>
          <w:marBottom w:val="0"/>
          <w:divBdr>
            <w:top w:val="none" w:sz="0" w:space="0" w:color="auto"/>
            <w:left w:val="none" w:sz="0" w:space="0" w:color="auto"/>
            <w:bottom w:val="none" w:sz="0" w:space="0" w:color="auto"/>
            <w:right w:val="none" w:sz="0" w:space="0" w:color="auto"/>
          </w:divBdr>
        </w:div>
        <w:div w:id="57360722">
          <w:marLeft w:val="0"/>
          <w:marRight w:val="0"/>
          <w:marTop w:val="0"/>
          <w:marBottom w:val="0"/>
          <w:divBdr>
            <w:top w:val="none" w:sz="0" w:space="0" w:color="auto"/>
            <w:left w:val="none" w:sz="0" w:space="0" w:color="auto"/>
            <w:bottom w:val="none" w:sz="0" w:space="0" w:color="auto"/>
            <w:right w:val="none" w:sz="0" w:space="0" w:color="auto"/>
          </w:divBdr>
        </w:div>
        <w:div w:id="107360974">
          <w:marLeft w:val="0"/>
          <w:marRight w:val="0"/>
          <w:marTop w:val="0"/>
          <w:marBottom w:val="0"/>
          <w:divBdr>
            <w:top w:val="none" w:sz="0" w:space="0" w:color="auto"/>
            <w:left w:val="none" w:sz="0" w:space="0" w:color="auto"/>
            <w:bottom w:val="none" w:sz="0" w:space="0" w:color="auto"/>
            <w:right w:val="none" w:sz="0" w:space="0" w:color="auto"/>
          </w:divBdr>
        </w:div>
        <w:div w:id="380204809">
          <w:marLeft w:val="0"/>
          <w:marRight w:val="0"/>
          <w:marTop w:val="0"/>
          <w:marBottom w:val="0"/>
          <w:divBdr>
            <w:top w:val="none" w:sz="0" w:space="0" w:color="auto"/>
            <w:left w:val="none" w:sz="0" w:space="0" w:color="auto"/>
            <w:bottom w:val="none" w:sz="0" w:space="0" w:color="auto"/>
            <w:right w:val="none" w:sz="0" w:space="0" w:color="auto"/>
          </w:divBdr>
        </w:div>
        <w:div w:id="1345088694">
          <w:marLeft w:val="0"/>
          <w:marRight w:val="0"/>
          <w:marTop w:val="0"/>
          <w:marBottom w:val="0"/>
          <w:divBdr>
            <w:top w:val="none" w:sz="0" w:space="0" w:color="auto"/>
            <w:left w:val="none" w:sz="0" w:space="0" w:color="auto"/>
            <w:bottom w:val="none" w:sz="0" w:space="0" w:color="auto"/>
            <w:right w:val="none" w:sz="0" w:space="0" w:color="auto"/>
          </w:divBdr>
        </w:div>
        <w:div w:id="725839359">
          <w:marLeft w:val="0"/>
          <w:marRight w:val="0"/>
          <w:marTop w:val="0"/>
          <w:marBottom w:val="0"/>
          <w:divBdr>
            <w:top w:val="none" w:sz="0" w:space="0" w:color="auto"/>
            <w:left w:val="none" w:sz="0" w:space="0" w:color="auto"/>
            <w:bottom w:val="none" w:sz="0" w:space="0" w:color="auto"/>
            <w:right w:val="none" w:sz="0" w:space="0" w:color="auto"/>
          </w:divBdr>
        </w:div>
        <w:div w:id="108934602">
          <w:marLeft w:val="0"/>
          <w:marRight w:val="0"/>
          <w:marTop w:val="0"/>
          <w:marBottom w:val="0"/>
          <w:divBdr>
            <w:top w:val="none" w:sz="0" w:space="0" w:color="auto"/>
            <w:left w:val="none" w:sz="0" w:space="0" w:color="auto"/>
            <w:bottom w:val="none" w:sz="0" w:space="0" w:color="auto"/>
            <w:right w:val="none" w:sz="0" w:space="0" w:color="auto"/>
          </w:divBdr>
        </w:div>
        <w:div w:id="310253259">
          <w:marLeft w:val="0"/>
          <w:marRight w:val="0"/>
          <w:marTop w:val="0"/>
          <w:marBottom w:val="0"/>
          <w:divBdr>
            <w:top w:val="none" w:sz="0" w:space="0" w:color="auto"/>
            <w:left w:val="none" w:sz="0" w:space="0" w:color="auto"/>
            <w:bottom w:val="none" w:sz="0" w:space="0" w:color="auto"/>
            <w:right w:val="none" w:sz="0" w:space="0" w:color="auto"/>
          </w:divBdr>
        </w:div>
        <w:div w:id="1874923886">
          <w:marLeft w:val="0"/>
          <w:marRight w:val="0"/>
          <w:marTop w:val="0"/>
          <w:marBottom w:val="0"/>
          <w:divBdr>
            <w:top w:val="none" w:sz="0" w:space="0" w:color="auto"/>
            <w:left w:val="none" w:sz="0" w:space="0" w:color="auto"/>
            <w:bottom w:val="none" w:sz="0" w:space="0" w:color="auto"/>
            <w:right w:val="none" w:sz="0" w:space="0" w:color="auto"/>
          </w:divBdr>
        </w:div>
        <w:div w:id="779492047">
          <w:marLeft w:val="0"/>
          <w:marRight w:val="0"/>
          <w:marTop w:val="0"/>
          <w:marBottom w:val="0"/>
          <w:divBdr>
            <w:top w:val="none" w:sz="0" w:space="0" w:color="auto"/>
            <w:left w:val="none" w:sz="0" w:space="0" w:color="auto"/>
            <w:bottom w:val="none" w:sz="0" w:space="0" w:color="auto"/>
            <w:right w:val="none" w:sz="0" w:space="0" w:color="auto"/>
          </w:divBdr>
        </w:div>
        <w:div w:id="125440924">
          <w:marLeft w:val="0"/>
          <w:marRight w:val="0"/>
          <w:marTop w:val="0"/>
          <w:marBottom w:val="0"/>
          <w:divBdr>
            <w:top w:val="none" w:sz="0" w:space="0" w:color="auto"/>
            <w:left w:val="none" w:sz="0" w:space="0" w:color="auto"/>
            <w:bottom w:val="none" w:sz="0" w:space="0" w:color="auto"/>
            <w:right w:val="none" w:sz="0" w:space="0" w:color="auto"/>
          </w:divBdr>
        </w:div>
        <w:div w:id="1645040166">
          <w:marLeft w:val="0"/>
          <w:marRight w:val="0"/>
          <w:marTop w:val="0"/>
          <w:marBottom w:val="0"/>
          <w:divBdr>
            <w:top w:val="none" w:sz="0" w:space="0" w:color="auto"/>
            <w:left w:val="none" w:sz="0" w:space="0" w:color="auto"/>
            <w:bottom w:val="none" w:sz="0" w:space="0" w:color="auto"/>
            <w:right w:val="none" w:sz="0" w:space="0" w:color="auto"/>
          </w:divBdr>
        </w:div>
        <w:div w:id="433331121">
          <w:marLeft w:val="0"/>
          <w:marRight w:val="0"/>
          <w:marTop w:val="0"/>
          <w:marBottom w:val="0"/>
          <w:divBdr>
            <w:top w:val="none" w:sz="0" w:space="0" w:color="auto"/>
            <w:left w:val="none" w:sz="0" w:space="0" w:color="auto"/>
            <w:bottom w:val="none" w:sz="0" w:space="0" w:color="auto"/>
            <w:right w:val="none" w:sz="0" w:space="0" w:color="auto"/>
          </w:divBdr>
        </w:div>
        <w:div w:id="1654915264">
          <w:marLeft w:val="0"/>
          <w:marRight w:val="0"/>
          <w:marTop w:val="0"/>
          <w:marBottom w:val="0"/>
          <w:divBdr>
            <w:top w:val="none" w:sz="0" w:space="0" w:color="auto"/>
            <w:left w:val="none" w:sz="0" w:space="0" w:color="auto"/>
            <w:bottom w:val="none" w:sz="0" w:space="0" w:color="auto"/>
            <w:right w:val="none" w:sz="0" w:space="0" w:color="auto"/>
          </w:divBdr>
        </w:div>
        <w:div w:id="1193806743">
          <w:marLeft w:val="0"/>
          <w:marRight w:val="0"/>
          <w:marTop w:val="0"/>
          <w:marBottom w:val="0"/>
          <w:divBdr>
            <w:top w:val="none" w:sz="0" w:space="0" w:color="auto"/>
            <w:left w:val="none" w:sz="0" w:space="0" w:color="auto"/>
            <w:bottom w:val="none" w:sz="0" w:space="0" w:color="auto"/>
            <w:right w:val="none" w:sz="0" w:space="0" w:color="auto"/>
          </w:divBdr>
        </w:div>
        <w:div w:id="838422851">
          <w:marLeft w:val="0"/>
          <w:marRight w:val="0"/>
          <w:marTop w:val="0"/>
          <w:marBottom w:val="0"/>
          <w:divBdr>
            <w:top w:val="none" w:sz="0" w:space="0" w:color="auto"/>
            <w:left w:val="none" w:sz="0" w:space="0" w:color="auto"/>
            <w:bottom w:val="none" w:sz="0" w:space="0" w:color="auto"/>
            <w:right w:val="none" w:sz="0" w:space="0" w:color="auto"/>
          </w:divBdr>
        </w:div>
        <w:div w:id="453602609">
          <w:marLeft w:val="0"/>
          <w:marRight w:val="0"/>
          <w:marTop w:val="0"/>
          <w:marBottom w:val="0"/>
          <w:divBdr>
            <w:top w:val="none" w:sz="0" w:space="0" w:color="auto"/>
            <w:left w:val="none" w:sz="0" w:space="0" w:color="auto"/>
            <w:bottom w:val="none" w:sz="0" w:space="0" w:color="auto"/>
            <w:right w:val="none" w:sz="0" w:space="0" w:color="auto"/>
          </w:divBdr>
        </w:div>
        <w:div w:id="344554262">
          <w:marLeft w:val="0"/>
          <w:marRight w:val="0"/>
          <w:marTop w:val="0"/>
          <w:marBottom w:val="0"/>
          <w:divBdr>
            <w:top w:val="none" w:sz="0" w:space="0" w:color="auto"/>
            <w:left w:val="none" w:sz="0" w:space="0" w:color="auto"/>
            <w:bottom w:val="none" w:sz="0" w:space="0" w:color="auto"/>
            <w:right w:val="none" w:sz="0" w:space="0" w:color="auto"/>
          </w:divBdr>
        </w:div>
        <w:div w:id="812870578">
          <w:marLeft w:val="0"/>
          <w:marRight w:val="0"/>
          <w:marTop w:val="0"/>
          <w:marBottom w:val="0"/>
          <w:divBdr>
            <w:top w:val="none" w:sz="0" w:space="0" w:color="auto"/>
            <w:left w:val="none" w:sz="0" w:space="0" w:color="auto"/>
            <w:bottom w:val="none" w:sz="0" w:space="0" w:color="auto"/>
            <w:right w:val="none" w:sz="0" w:space="0" w:color="auto"/>
          </w:divBdr>
        </w:div>
        <w:div w:id="553927123">
          <w:marLeft w:val="0"/>
          <w:marRight w:val="0"/>
          <w:marTop w:val="0"/>
          <w:marBottom w:val="0"/>
          <w:divBdr>
            <w:top w:val="none" w:sz="0" w:space="0" w:color="auto"/>
            <w:left w:val="none" w:sz="0" w:space="0" w:color="auto"/>
            <w:bottom w:val="none" w:sz="0" w:space="0" w:color="auto"/>
            <w:right w:val="none" w:sz="0" w:space="0" w:color="auto"/>
          </w:divBdr>
        </w:div>
        <w:div w:id="1603488772">
          <w:marLeft w:val="0"/>
          <w:marRight w:val="0"/>
          <w:marTop w:val="0"/>
          <w:marBottom w:val="0"/>
          <w:divBdr>
            <w:top w:val="none" w:sz="0" w:space="0" w:color="auto"/>
            <w:left w:val="none" w:sz="0" w:space="0" w:color="auto"/>
            <w:bottom w:val="none" w:sz="0" w:space="0" w:color="auto"/>
            <w:right w:val="none" w:sz="0" w:space="0" w:color="auto"/>
          </w:divBdr>
        </w:div>
        <w:div w:id="1201044701">
          <w:marLeft w:val="0"/>
          <w:marRight w:val="0"/>
          <w:marTop w:val="0"/>
          <w:marBottom w:val="0"/>
          <w:divBdr>
            <w:top w:val="none" w:sz="0" w:space="0" w:color="auto"/>
            <w:left w:val="none" w:sz="0" w:space="0" w:color="auto"/>
            <w:bottom w:val="none" w:sz="0" w:space="0" w:color="auto"/>
            <w:right w:val="none" w:sz="0" w:space="0" w:color="auto"/>
          </w:divBdr>
        </w:div>
      </w:divsChild>
    </w:div>
    <w:div w:id="1303580580">
      <w:bodyDiv w:val="1"/>
      <w:marLeft w:val="0"/>
      <w:marRight w:val="0"/>
      <w:marTop w:val="0"/>
      <w:marBottom w:val="0"/>
      <w:divBdr>
        <w:top w:val="none" w:sz="0" w:space="0" w:color="auto"/>
        <w:left w:val="none" w:sz="0" w:space="0" w:color="auto"/>
        <w:bottom w:val="none" w:sz="0" w:space="0" w:color="auto"/>
        <w:right w:val="none" w:sz="0" w:space="0" w:color="auto"/>
      </w:divBdr>
    </w:div>
    <w:div w:id="1392344743">
      <w:bodyDiv w:val="1"/>
      <w:marLeft w:val="0"/>
      <w:marRight w:val="0"/>
      <w:marTop w:val="0"/>
      <w:marBottom w:val="0"/>
      <w:divBdr>
        <w:top w:val="none" w:sz="0" w:space="0" w:color="auto"/>
        <w:left w:val="none" w:sz="0" w:space="0" w:color="auto"/>
        <w:bottom w:val="none" w:sz="0" w:space="0" w:color="auto"/>
        <w:right w:val="none" w:sz="0" w:space="0" w:color="auto"/>
      </w:divBdr>
    </w:div>
    <w:div w:id="1417361180">
      <w:bodyDiv w:val="1"/>
      <w:marLeft w:val="0"/>
      <w:marRight w:val="0"/>
      <w:marTop w:val="0"/>
      <w:marBottom w:val="0"/>
      <w:divBdr>
        <w:top w:val="none" w:sz="0" w:space="0" w:color="auto"/>
        <w:left w:val="none" w:sz="0" w:space="0" w:color="auto"/>
        <w:bottom w:val="none" w:sz="0" w:space="0" w:color="auto"/>
        <w:right w:val="none" w:sz="0" w:space="0" w:color="auto"/>
      </w:divBdr>
    </w:div>
    <w:div w:id="1428428337">
      <w:bodyDiv w:val="1"/>
      <w:marLeft w:val="0"/>
      <w:marRight w:val="0"/>
      <w:marTop w:val="0"/>
      <w:marBottom w:val="0"/>
      <w:divBdr>
        <w:top w:val="none" w:sz="0" w:space="0" w:color="auto"/>
        <w:left w:val="none" w:sz="0" w:space="0" w:color="auto"/>
        <w:bottom w:val="none" w:sz="0" w:space="0" w:color="auto"/>
        <w:right w:val="none" w:sz="0" w:space="0" w:color="auto"/>
      </w:divBdr>
    </w:div>
    <w:div w:id="1436706366">
      <w:bodyDiv w:val="1"/>
      <w:marLeft w:val="0"/>
      <w:marRight w:val="0"/>
      <w:marTop w:val="0"/>
      <w:marBottom w:val="0"/>
      <w:divBdr>
        <w:top w:val="none" w:sz="0" w:space="0" w:color="auto"/>
        <w:left w:val="none" w:sz="0" w:space="0" w:color="auto"/>
        <w:bottom w:val="none" w:sz="0" w:space="0" w:color="auto"/>
        <w:right w:val="none" w:sz="0" w:space="0" w:color="auto"/>
      </w:divBdr>
    </w:div>
    <w:div w:id="1460416091">
      <w:bodyDiv w:val="1"/>
      <w:marLeft w:val="0"/>
      <w:marRight w:val="0"/>
      <w:marTop w:val="0"/>
      <w:marBottom w:val="0"/>
      <w:divBdr>
        <w:top w:val="none" w:sz="0" w:space="0" w:color="auto"/>
        <w:left w:val="none" w:sz="0" w:space="0" w:color="auto"/>
        <w:bottom w:val="none" w:sz="0" w:space="0" w:color="auto"/>
        <w:right w:val="none" w:sz="0" w:space="0" w:color="auto"/>
      </w:divBdr>
    </w:div>
    <w:div w:id="1535921092">
      <w:bodyDiv w:val="1"/>
      <w:marLeft w:val="0"/>
      <w:marRight w:val="0"/>
      <w:marTop w:val="0"/>
      <w:marBottom w:val="0"/>
      <w:divBdr>
        <w:top w:val="none" w:sz="0" w:space="0" w:color="auto"/>
        <w:left w:val="none" w:sz="0" w:space="0" w:color="auto"/>
        <w:bottom w:val="none" w:sz="0" w:space="0" w:color="auto"/>
        <w:right w:val="none" w:sz="0" w:space="0" w:color="auto"/>
      </w:divBdr>
    </w:div>
    <w:div w:id="1583442720">
      <w:bodyDiv w:val="1"/>
      <w:marLeft w:val="0"/>
      <w:marRight w:val="0"/>
      <w:marTop w:val="0"/>
      <w:marBottom w:val="0"/>
      <w:divBdr>
        <w:top w:val="none" w:sz="0" w:space="0" w:color="auto"/>
        <w:left w:val="none" w:sz="0" w:space="0" w:color="auto"/>
        <w:bottom w:val="none" w:sz="0" w:space="0" w:color="auto"/>
        <w:right w:val="none" w:sz="0" w:space="0" w:color="auto"/>
      </w:divBdr>
    </w:div>
    <w:div w:id="1674917888">
      <w:bodyDiv w:val="1"/>
      <w:marLeft w:val="0"/>
      <w:marRight w:val="0"/>
      <w:marTop w:val="0"/>
      <w:marBottom w:val="0"/>
      <w:divBdr>
        <w:top w:val="none" w:sz="0" w:space="0" w:color="auto"/>
        <w:left w:val="none" w:sz="0" w:space="0" w:color="auto"/>
        <w:bottom w:val="none" w:sz="0" w:space="0" w:color="auto"/>
        <w:right w:val="none" w:sz="0" w:space="0" w:color="auto"/>
      </w:divBdr>
    </w:div>
    <w:div w:id="1688562018">
      <w:bodyDiv w:val="1"/>
      <w:marLeft w:val="0"/>
      <w:marRight w:val="0"/>
      <w:marTop w:val="0"/>
      <w:marBottom w:val="0"/>
      <w:divBdr>
        <w:top w:val="none" w:sz="0" w:space="0" w:color="auto"/>
        <w:left w:val="none" w:sz="0" w:space="0" w:color="auto"/>
        <w:bottom w:val="none" w:sz="0" w:space="0" w:color="auto"/>
        <w:right w:val="none" w:sz="0" w:space="0" w:color="auto"/>
      </w:divBdr>
      <w:divsChild>
        <w:div w:id="2144082288">
          <w:marLeft w:val="0"/>
          <w:marRight w:val="0"/>
          <w:marTop w:val="0"/>
          <w:marBottom w:val="0"/>
          <w:divBdr>
            <w:top w:val="none" w:sz="0" w:space="0" w:color="auto"/>
            <w:left w:val="none" w:sz="0" w:space="0" w:color="auto"/>
            <w:bottom w:val="none" w:sz="0" w:space="0" w:color="auto"/>
            <w:right w:val="none" w:sz="0" w:space="0" w:color="auto"/>
          </w:divBdr>
        </w:div>
        <w:div w:id="1528055332">
          <w:marLeft w:val="0"/>
          <w:marRight w:val="0"/>
          <w:marTop w:val="0"/>
          <w:marBottom w:val="0"/>
          <w:divBdr>
            <w:top w:val="none" w:sz="0" w:space="0" w:color="auto"/>
            <w:left w:val="none" w:sz="0" w:space="0" w:color="auto"/>
            <w:bottom w:val="none" w:sz="0" w:space="0" w:color="auto"/>
            <w:right w:val="none" w:sz="0" w:space="0" w:color="auto"/>
          </w:divBdr>
        </w:div>
        <w:div w:id="1878811362">
          <w:marLeft w:val="0"/>
          <w:marRight w:val="0"/>
          <w:marTop w:val="0"/>
          <w:marBottom w:val="0"/>
          <w:divBdr>
            <w:top w:val="none" w:sz="0" w:space="0" w:color="auto"/>
            <w:left w:val="none" w:sz="0" w:space="0" w:color="auto"/>
            <w:bottom w:val="none" w:sz="0" w:space="0" w:color="auto"/>
            <w:right w:val="none" w:sz="0" w:space="0" w:color="auto"/>
          </w:divBdr>
        </w:div>
        <w:div w:id="673798064">
          <w:marLeft w:val="0"/>
          <w:marRight w:val="0"/>
          <w:marTop w:val="0"/>
          <w:marBottom w:val="0"/>
          <w:divBdr>
            <w:top w:val="none" w:sz="0" w:space="0" w:color="auto"/>
            <w:left w:val="none" w:sz="0" w:space="0" w:color="auto"/>
            <w:bottom w:val="none" w:sz="0" w:space="0" w:color="auto"/>
            <w:right w:val="none" w:sz="0" w:space="0" w:color="auto"/>
          </w:divBdr>
        </w:div>
        <w:div w:id="370038653">
          <w:marLeft w:val="0"/>
          <w:marRight w:val="0"/>
          <w:marTop w:val="0"/>
          <w:marBottom w:val="0"/>
          <w:divBdr>
            <w:top w:val="none" w:sz="0" w:space="0" w:color="auto"/>
            <w:left w:val="none" w:sz="0" w:space="0" w:color="auto"/>
            <w:bottom w:val="none" w:sz="0" w:space="0" w:color="auto"/>
            <w:right w:val="none" w:sz="0" w:space="0" w:color="auto"/>
          </w:divBdr>
        </w:div>
        <w:div w:id="1800806961">
          <w:marLeft w:val="0"/>
          <w:marRight w:val="0"/>
          <w:marTop w:val="0"/>
          <w:marBottom w:val="0"/>
          <w:divBdr>
            <w:top w:val="none" w:sz="0" w:space="0" w:color="auto"/>
            <w:left w:val="none" w:sz="0" w:space="0" w:color="auto"/>
            <w:bottom w:val="none" w:sz="0" w:space="0" w:color="auto"/>
            <w:right w:val="none" w:sz="0" w:space="0" w:color="auto"/>
          </w:divBdr>
        </w:div>
        <w:div w:id="1208032574">
          <w:marLeft w:val="0"/>
          <w:marRight w:val="0"/>
          <w:marTop w:val="0"/>
          <w:marBottom w:val="0"/>
          <w:divBdr>
            <w:top w:val="none" w:sz="0" w:space="0" w:color="auto"/>
            <w:left w:val="none" w:sz="0" w:space="0" w:color="auto"/>
            <w:bottom w:val="none" w:sz="0" w:space="0" w:color="auto"/>
            <w:right w:val="none" w:sz="0" w:space="0" w:color="auto"/>
          </w:divBdr>
        </w:div>
      </w:divsChild>
    </w:div>
    <w:div w:id="1809977262">
      <w:bodyDiv w:val="1"/>
      <w:marLeft w:val="0"/>
      <w:marRight w:val="0"/>
      <w:marTop w:val="0"/>
      <w:marBottom w:val="0"/>
      <w:divBdr>
        <w:top w:val="none" w:sz="0" w:space="0" w:color="auto"/>
        <w:left w:val="none" w:sz="0" w:space="0" w:color="auto"/>
        <w:bottom w:val="none" w:sz="0" w:space="0" w:color="auto"/>
        <w:right w:val="none" w:sz="0" w:space="0" w:color="auto"/>
      </w:divBdr>
    </w:div>
    <w:div w:id="1909343069">
      <w:bodyDiv w:val="1"/>
      <w:marLeft w:val="0"/>
      <w:marRight w:val="0"/>
      <w:marTop w:val="0"/>
      <w:marBottom w:val="0"/>
      <w:divBdr>
        <w:top w:val="none" w:sz="0" w:space="0" w:color="auto"/>
        <w:left w:val="none" w:sz="0" w:space="0" w:color="auto"/>
        <w:bottom w:val="none" w:sz="0" w:space="0" w:color="auto"/>
        <w:right w:val="none" w:sz="0" w:space="0" w:color="auto"/>
      </w:divBdr>
    </w:div>
    <w:div w:id="1948348704">
      <w:bodyDiv w:val="1"/>
      <w:marLeft w:val="0"/>
      <w:marRight w:val="0"/>
      <w:marTop w:val="0"/>
      <w:marBottom w:val="0"/>
      <w:divBdr>
        <w:top w:val="none" w:sz="0" w:space="0" w:color="auto"/>
        <w:left w:val="none" w:sz="0" w:space="0" w:color="auto"/>
        <w:bottom w:val="none" w:sz="0" w:space="0" w:color="auto"/>
        <w:right w:val="none" w:sz="0" w:space="0" w:color="auto"/>
      </w:divBdr>
    </w:div>
    <w:div w:id="1951936978">
      <w:bodyDiv w:val="1"/>
      <w:marLeft w:val="0"/>
      <w:marRight w:val="0"/>
      <w:marTop w:val="0"/>
      <w:marBottom w:val="0"/>
      <w:divBdr>
        <w:top w:val="none" w:sz="0" w:space="0" w:color="auto"/>
        <w:left w:val="none" w:sz="0" w:space="0" w:color="auto"/>
        <w:bottom w:val="none" w:sz="0" w:space="0" w:color="auto"/>
        <w:right w:val="none" w:sz="0" w:space="0" w:color="auto"/>
      </w:divBdr>
    </w:div>
    <w:div w:id="2021395776">
      <w:bodyDiv w:val="1"/>
      <w:marLeft w:val="0"/>
      <w:marRight w:val="0"/>
      <w:marTop w:val="0"/>
      <w:marBottom w:val="0"/>
      <w:divBdr>
        <w:top w:val="none" w:sz="0" w:space="0" w:color="auto"/>
        <w:left w:val="none" w:sz="0" w:space="0" w:color="auto"/>
        <w:bottom w:val="none" w:sz="0" w:space="0" w:color="auto"/>
        <w:right w:val="none" w:sz="0" w:space="0" w:color="auto"/>
      </w:divBdr>
    </w:div>
    <w:div w:id="2023891775">
      <w:bodyDiv w:val="1"/>
      <w:marLeft w:val="0"/>
      <w:marRight w:val="0"/>
      <w:marTop w:val="0"/>
      <w:marBottom w:val="0"/>
      <w:divBdr>
        <w:top w:val="none" w:sz="0" w:space="0" w:color="auto"/>
        <w:left w:val="none" w:sz="0" w:space="0" w:color="auto"/>
        <w:bottom w:val="none" w:sz="0" w:space="0" w:color="auto"/>
        <w:right w:val="none" w:sz="0" w:space="0" w:color="auto"/>
      </w:divBdr>
    </w:div>
    <w:div w:id="2027440912">
      <w:bodyDiv w:val="1"/>
      <w:marLeft w:val="0"/>
      <w:marRight w:val="0"/>
      <w:marTop w:val="0"/>
      <w:marBottom w:val="0"/>
      <w:divBdr>
        <w:top w:val="none" w:sz="0" w:space="0" w:color="auto"/>
        <w:left w:val="none" w:sz="0" w:space="0" w:color="auto"/>
        <w:bottom w:val="none" w:sz="0" w:space="0" w:color="auto"/>
        <w:right w:val="none" w:sz="0" w:space="0" w:color="auto"/>
      </w:divBdr>
    </w:div>
    <w:div w:id="2090227847">
      <w:bodyDiv w:val="1"/>
      <w:marLeft w:val="0"/>
      <w:marRight w:val="0"/>
      <w:marTop w:val="0"/>
      <w:marBottom w:val="0"/>
      <w:divBdr>
        <w:top w:val="none" w:sz="0" w:space="0" w:color="auto"/>
        <w:left w:val="none" w:sz="0" w:space="0" w:color="auto"/>
        <w:bottom w:val="none" w:sz="0" w:space="0" w:color="auto"/>
        <w:right w:val="none" w:sz="0" w:space="0" w:color="auto"/>
      </w:divBdr>
    </w:div>
    <w:div w:id="2107453930">
      <w:bodyDiv w:val="1"/>
      <w:marLeft w:val="0"/>
      <w:marRight w:val="0"/>
      <w:marTop w:val="0"/>
      <w:marBottom w:val="0"/>
      <w:divBdr>
        <w:top w:val="none" w:sz="0" w:space="0" w:color="auto"/>
        <w:left w:val="none" w:sz="0" w:space="0" w:color="auto"/>
        <w:bottom w:val="none" w:sz="0" w:space="0" w:color="auto"/>
        <w:right w:val="none" w:sz="0" w:space="0" w:color="auto"/>
      </w:divBdr>
    </w:div>
    <w:div w:id="2124571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Relationships xmlns="http://schemas.openxmlformats.org/package/2006/relationships"><Relationship Id="rId3" Type="http://schemas.openxmlformats.org/officeDocument/2006/relationships/hyperlink" Target="https://www.cmconsulting.com.co" TargetMode="External"/><Relationship Id="rId2" Type="http://schemas.openxmlformats.org/officeDocument/2006/relationships/hyperlink" Target="https://www.cmconsulting.com.co" TargetMode="External"/><Relationship Id="rId1" Type="http://schemas.openxmlformats.org/officeDocument/2006/relationships/image" Target="media/image5.jpeg"/><Relationship Id="rId5" Type="http://schemas.openxmlformats.org/officeDocument/2006/relationships/hyperlink" Target="mailto:contactos@cmconsulting.com.co" TargetMode="External"/><Relationship Id="rId4" Type="http://schemas.openxmlformats.org/officeDocument/2006/relationships/hyperlink" Target="mailto:contactos@cmconsulting.com.co" TargetMode="External"/></Relationships>
</file>

<file path=word/_rels/footer2.xml.rels><?xml version="1.0" encoding="UTF-8"?><Relationships xmlns="http://schemas.openxmlformats.org/package/2006/relationships"><Relationship Id="rId3" Type="http://schemas.openxmlformats.org/officeDocument/2006/relationships/hyperlink" Target="https://www.cmconsulting.com.co" TargetMode="External"/><Relationship Id="rId2" Type="http://schemas.openxmlformats.org/officeDocument/2006/relationships/hyperlink" Target="mailto:contactos@cmconsulting.com.co" TargetMode="External"/><Relationship Id="rId1" Type="http://schemas.openxmlformats.org/officeDocument/2006/relationships/hyperlink" Target="mailto:contactos@cmconsulting.com.co" TargetMode="External"/><Relationship Id="rId5" Type="http://schemas.openxmlformats.org/officeDocument/2006/relationships/image" Target="media/image5.jpeg"/><Relationship Id="rId4" Type="http://schemas.openxmlformats.org/officeDocument/2006/relationships/hyperlink" Target="https://www.cmconsulting.com.co" TargetMode="External"/></Relationships>
</file>

<file path=word/_rels/header2.xml.rels><?xml version="1.0" encoding="UTF-8"?><Relationships xmlns="http://schemas.openxmlformats.org/package/2006/relationships"><Relationship Id="rId8" Type="http://schemas.openxmlformats.org/officeDocument/2006/relationships/hyperlink" Target="https://www.cmconsulting.com.co" TargetMode="External"/><Relationship Id="rId3" Type="http://schemas.openxmlformats.org/officeDocument/2006/relationships/image" Target="media/image3.png"/><Relationship Id="rId7" Type="http://schemas.openxmlformats.org/officeDocument/2006/relationships/hyperlink" Target="https://www.cmconsulting.com.co"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mailto:contactos@cmconsulting.com.co" TargetMode="External"/><Relationship Id="rId5" Type="http://schemas.openxmlformats.org/officeDocument/2006/relationships/hyperlink" Target="mailto:contactos@cmconsulting.com.co" TargetMode="External"/><Relationship Id="rId4" Type="http://schemas.openxmlformats.org/officeDocument/2006/relationships/image" Target="media/image4.jpeg"/></Relationships>
</file>

<file path=word/_rels/header3.xml.rels><?xml version="1.0" encoding="UTF-8"?><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Ubuntu"/>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Ubuntu"/>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Propuesta" ma:contentTypeID="0x010100AB79FB4A799C574A859405F270C445C800BC5A1C0DCB23D8479680544034113EB5" ma:contentTypeVersion="21" ma:contentTypeDescription="" ma:contentTypeScope="" ma:versionID="ce9091c7fb5770fad885180d9df75b1b">
  <xsd:schema xmlns:xsd="http://www.w3.org/2001/XMLSchema" xmlns:xs="http://www.w3.org/2001/XMLSchema" xmlns:p="http://schemas.microsoft.com/office/2006/metadata/properties" xmlns:ns1="http://schemas.microsoft.com/sharepoint/v3" xmlns:ns2="309baf5c-75d9-4812-b829-377eb05e6130" xmlns:ns3="9be3dde3-6c27-4800-84d1-c126f1ce0fd4" xmlns:ns4="8fb313a7-b256-4fae-9212-2f854ca77a24" targetNamespace="http://schemas.microsoft.com/office/2006/metadata/properties" ma:root="true" ma:fieldsID="98050bfd7b84e19de7ad8ddd1f037c0d" ns1:_="" ns2:_="" ns3:_="" ns4:_="">
    <xsd:import namespace="http://schemas.microsoft.com/sharepoint/v3"/>
    <xsd:import namespace="309baf5c-75d9-4812-b829-377eb05e6130"/>
    <xsd:import namespace="9be3dde3-6c27-4800-84d1-c126f1ce0fd4"/>
    <xsd:import namespace="8fb313a7-b256-4fae-9212-2f854ca77a24"/>
    <xsd:element name="properties">
      <xsd:complexType>
        <xsd:sequence>
          <xsd:element name="documentManagement">
            <xsd:complexType>
              <xsd:all>
                <xsd:element ref="ns2:_dlc_DocId" minOccurs="0"/>
                <xsd:element ref="ns2:_dlc_DocIdUrl" minOccurs="0"/>
                <xsd:element ref="ns2:_dlc_DocIdPersistId" minOccurs="0"/>
                <xsd:element ref="ns3:Valor" minOccurs="0"/>
                <xsd:element ref="ns3:Fecha_x0020_de_x0020_Vigencia" minOccurs="0"/>
                <xsd:element ref="ns4:MediaServiceMetadata" minOccurs="0"/>
                <xsd:element ref="ns4:MediaServiceFastMetadata" minOccurs="0"/>
                <xsd:element ref="ns4:MediaServiceAutoTags" minOccurs="0"/>
                <xsd:element ref="ns4:MediaServiceOCR" minOccurs="0"/>
                <xsd:element ref="ns4:MediaServiceDateTaken" minOccurs="0"/>
                <xsd:element ref="ns2:SharedWithUsers" minOccurs="0"/>
                <xsd:element ref="ns2:SharedWithDetails" minOccurs="0"/>
                <xsd:element ref="ns4:MediaServiceEventHashCode" minOccurs="0"/>
                <xsd:element ref="ns4:MediaServiceGenerationTime" minOccurs="0"/>
                <xsd:element ref="ns4:MediaServiceAutoKeyPoints" minOccurs="0"/>
                <xsd:element ref="ns4:MediaServiceKeyPoints" minOccurs="0"/>
                <xsd:element ref="ns4:lcf76f155ced4ddcb4097134ff3c332f" minOccurs="0"/>
                <xsd:element ref="ns2:TaxCatchAll" minOccurs="0"/>
                <xsd:element ref="ns4:MediaServiceSearchProperties" minOccurs="0"/>
                <xsd:element ref="ns4: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9" nillable="true" ma:displayName="Propiedades de la Directiva de cumplimiento unificado" ma:hidden="true" ma:internalName="_ip_UnifiedCompliancePolicyProperties">
      <xsd:simpleType>
        <xsd:restriction base="dms:Note"/>
      </xsd:simpleType>
    </xsd:element>
    <xsd:element name="_ip_UnifiedCompliancePolicyUIAction" ma:index="30"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9baf5c-75d9-4812-b829-377eb05e613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6" nillable="true" ma:displayName="Taxonomy Catch All Column" ma:hidden="true" ma:list="{86a2adee-dbd1-4314-a7d0-5df1a962f2af}" ma:internalName="TaxCatchAll" ma:showField="CatchAllData" ma:web="309baf5c-75d9-4812-b829-377eb05e613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e3dde3-6c27-4800-84d1-c126f1ce0fd4" elementFormDefault="qualified">
    <xsd:import namespace="http://schemas.microsoft.com/office/2006/documentManagement/types"/>
    <xsd:import namespace="http://schemas.microsoft.com/office/infopath/2007/PartnerControls"/>
    <xsd:element name="Valor" ma:index="11" nillable="true" ma:displayName="Valor" ma:decimals="0" ma:LCID="9226" ma:internalName="Valor">
      <xsd:simpleType>
        <xsd:restriction base="dms:Currency"/>
      </xsd:simpleType>
    </xsd:element>
    <xsd:element name="Fecha_x0020_de_x0020_Vigencia" ma:index="12" nillable="true" ma:displayName="Fecha de Vigencia" ma:format="DateOnly" ma:internalName="Fecha_x0020_de_x0020_Vigenci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fb313a7-b256-4fae-9212-2f854ca77a24"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MediaServiceAutoTags" ma:internalName="MediaServiceAutoTags"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lcf76f155ced4ddcb4097134ff3c332f" ma:index="25" nillable="true" ma:taxonomy="true" ma:internalName="lcf76f155ced4ddcb4097134ff3c332f" ma:taxonomyFieldName="MediaServiceImageTags" ma:displayName="Etiquetas de imagen" ma:readOnly="false" ma:fieldId="{5cf76f15-5ced-4ddc-b409-7134ff3c332f}" ma:taxonomyMulti="true" ma:sspId="0dbd6635-e59c-4a1b-8318-2387fe986333" ma:termSetId="09814cd3-568e-fe90-9814-8d621ff8fb84" ma:anchorId="fba54fb3-c3e1-fe81-a776-ca4b69148c4d" ma:open="true" ma:isKeyword="false">
      <xsd:complexType>
        <xsd:sequence>
          <xsd:element ref="pc:Terms" minOccurs="0" maxOccurs="1"/>
        </xsd:sequence>
      </xsd:complex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309baf5c-75d9-4812-b829-377eb05e6130">UZ2ZAN2UWY44-1212435614-14818</_dlc_DocId>
    <_dlc_DocIdUrl xmlns="309baf5c-75d9-4812-b829-377eb05e6130">
      <Url>https://cmconsultingsas.sharepoint.com/DocsClientes/_layouts/15/DocIdRedir.aspx?ID=UZ2ZAN2UWY44-1212435614-14818</Url>
      <Description>UZ2ZAN2UWY44-1212435614-14818</Description>
    </_dlc_DocIdUrl>
    <Valor xmlns="9be3dde3-6c27-4800-84d1-c126f1ce0fd4" xsi:nil="true"/>
    <Fecha_x0020_de_x0020_Vigencia xmlns="9be3dde3-6c27-4800-84d1-c126f1ce0fd4" xsi:nil="true"/>
    <SharedWithUsers xmlns="309baf5c-75d9-4812-b829-377eb05e6130">
      <UserInfo>
        <DisplayName>Clara Montenegro</DisplayName>
        <AccountId>45</AccountId>
        <AccountType/>
      </UserInfo>
    </SharedWithUsers>
    <lcf76f155ced4ddcb4097134ff3c332f xmlns="8fb313a7-b256-4fae-9212-2f854ca77a24">
      <Terms xmlns="http://schemas.microsoft.com/office/infopath/2007/PartnerControls"/>
    </lcf76f155ced4ddcb4097134ff3c332f>
    <TaxCatchAll xmlns="309baf5c-75d9-4812-b829-377eb05e6130"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65BBC5E-69E2-4355-9E7B-2CBBC4FB9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09baf5c-75d9-4812-b829-377eb05e6130"/>
    <ds:schemaRef ds:uri="9be3dde3-6c27-4800-84d1-c126f1ce0fd4"/>
    <ds:schemaRef ds:uri="8fb313a7-b256-4fae-9212-2f854ca77a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C7EC0C-AC6F-446E-93F3-20359A935811}">
  <ds:schemaRefs>
    <ds:schemaRef ds:uri="http://schemas.openxmlformats.org/officeDocument/2006/bibliography"/>
  </ds:schemaRefs>
</ds:datastoreItem>
</file>

<file path=customXml/itemProps3.xml><?xml version="1.0" encoding="utf-8"?>
<ds:datastoreItem xmlns:ds="http://schemas.openxmlformats.org/officeDocument/2006/customXml" ds:itemID="{FE826AD0-BC40-4594-87E5-5BEAB07C1BDF}">
  <ds:schemaRefs>
    <ds:schemaRef ds:uri="http://schemas.microsoft.com/sharepoint/events"/>
  </ds:schemaRefs>
</ds:datastoreItem>
</file>

<file path=customXml/itemProps4.xml><?xml version="1.0" encoding="utf-8"?>
<ds:datastoreItem xmlns:ds="http://schemas.openxmlformats.org/officeDocument/2006/customXml" ds:itemID="{34F58C6A-46FE-4CE7-8EB3-BCD7DA958BB4}">
  <ds:schemaRefs>
    <ds:schemaRef ds:uri="http://schemas.microsoft.com/sharepoint/v3/contenttype/forms"/>
  </ds:schemaRefs>
</ds:datastoreItem>
</file>

<file path=customXml/itemProps5.xml><?xml version="1.0" encoding="utf-8"?>
<ds:datastoreItem xmlns:ds="http://schemas.openxmlformats.org/officeDocument/2006/customXml" ds:itemID="{2CD06C13-5617-4A91-824A-5A651D6A941E}">
  <ds:schemaRefs>
    <ds:schemaRef ds:uri="http://schemas.microsoft.com/office/2006/metadata/properties"/>
    <ds:schemaRef ds:uri="http://schemas.microsoft.com/office/infopath/2007/PartnerControls"/>
    <ds:schemaRef ds:uri="309baf5c-75d9-4812-b829-377eb05e6130"/>
    <ds:schemaRef ds:uri="9be3dde3-6c27-4800-84d1-c126f1ce0fd4"/>
    <ds:schemaRef ds:uri="8fb313a7-b256-4fae-9212-2f854ca77a24"/>
    <ds:schemaRef ds:uri="http://schemas.microsoft.com/sharepoint/v3"/>
  </ds:schemaRefs>
</ds:datastoreItem>
</file>

<file path=docMetadata/LabelInfo.xml><?xml version="1.0" encoding="utf-8"?>
<clbl:labelList xmlns:clbl="http://schemas.microsoft.com/office/2020/mipLabelMetadata">
  <clbl:label id="{6a3e6502-054a-4b87-aed2-875b7aa540dd}" enabled="1" method="Privileged" siteId="{f9d98544-7ea3-4fb6-81b8-22c5176d37af}"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0</CharactersWithSpaces>
  <SharedDoc>false</SharedDoc>
  <HLinks>
    <vt:vector size="138" baseType="variant">
      <vt:variant>
        <vt:i4>2031672</vt:i4>
      </vt:variant>
      <vt:variant>
        <vt:i4>62</vt:i4>
      </vt:variant>
      <vt:variant>
        <vt:i4>0</vt:i4>
      </vt:variant>
      <vt:variant>
        <vt:i4>5</vt:i4>
      </vt:variant>
      <vt:variant>
        <vt:lpwstr/>
      </vt:variant>
      <vt:variant>
        <vt:lpwstr>_Toc217383594</vt:lpwstr>
      </vt:variant>
      <vt:variant>
        <vt:i4>2031672</vt:i4>
      </vt:variant>
      <vt:variant>
        <vt:i4>56</vt:i4>
      </vt:variant>
      <vt:variant>
        <vt:i4>0</vt:i4>
      </vt:variant>
      <vt:variant>
        <vt:i4>5</vt:i4>
      </vt:variant>
      <vt:variant>
        <vt:lpwstr/>
      </vt:variant>
      <vt:variant>
        <vt:lpwstr>_Toc217383593</vt:lpwstr>
      </vt:variant>
      <vt:variant>
        <vt:i4>2031672</vt:i4>
      </vt:variant>
      <vt:variant>
        <vt:i4>50</vt:i4>
      </vt:variant>
      <vt:variant>
        <vt:i4>0</vt:i4>
      </vt:variant>
      <vt:variant>
        <vt:i4>5</vt:i4>
      </vt:variant>
      <vt:variant>
        <vt:lpwstr/>
      </vt:variant>
      <vt:variant>
        <vt:lpwstr>_Toc217383592</vt:lpwstr>
      </vt:variant>
      <vt:variant>
        <vt:i4>2031672</vt:i4>
      </vt:variant>
      <vt:variant>
        <vt:i4>44</vt:i4>
      </vt:variant>
      <vt:variant>
        <vt:i4>0</vt:i4>
      </vt:variant>
      <vt:variant>
        <vt:i4>5</vt:i4>
      </vt:variant>
      <vt:variant>
        <vt:lpwstr/>
      </vt:variant>
      <vt:variant>
        <vt:lpwstr>_Toc217383591</vt:lpwstr>
      </vt:variant>
      <vt:variant>
        <vt:i4>2031672</vt:i4>
      </vt:variant>
      <vt:variant>
        <vt:i4>38</vt:i4>
      </vt:variant>
      <vt:variant>
        <vt:i4>0</vt:i4>
      </vt:variant>
      <vt:variant>
        <vt:i4>5</vt:i4>
      </vt:variant>
      <vt:variant>
        <vt:lpwstr/>
      </vt:variant>
      <vt:variant>
        <vt:lpwstr>_Toc217383590</vt:lpwstr>
      </vt:variant>
      <vt:variant>
        <vt:i4>1966136</vt:i4>
      </vt:variant>
      <vt:variant>
        <vt:i4>32</vt:i4>
      </vt:variant>
      <vt:variant>
        <vt:i4>0</vt:i4>
      </vt:variant>
      <vt:variant>
        <vt:i4>5</vt:i4>
      </vt:variant>
      <vt:variant>
        <vt:lpwstr/>
      </vt:variant>
      <vt:variant>
        <vt:lpwstr>_Toc217383589</vt:lpwstr>
      </vt:variant>
      <vt:variant>
        <vt:i4>1966136</vt:i4>
      </vt:variant>
      <vt:variant>
        <vt:i4>26</vt:i4>
      </vt:variant>
      <vt:variant>
        <vt:i4>0</vt:i4>
      </vt:variant>
      <vt:variant>
        <vt:i4>5</vt:i4>
      </vt:variant>
      <vt:variant>
        <vt:lpwstr/>
      </vt:variant>
      <vt:variant>
        <vt:lpwstr>_Toc217383588</vt:lpwstr>
      </vt:variant>
      <vt:variant>
        <vt:i4>1966136</vt:i4>
      </vt:variant>
      <vt:variant>
        <vt:i4>20</vt:i4>
      </vt:variant>
      <vt:variant>
        <vt:i4>0</vt:i4>
      </vt:variant>
      <vt:variant>
        <vt:i4>5</vt:i4>
      </vt:variant>
      <vt:variant>
        <vt:lpwstr/>
      </vt:variant>
      <vt:variant>
        <vt:lpwstr>_Toc217383587</vt:lpwstr>
      </vt:variant>
      <vt:variant>
        <vt:i4>1966136</vt:i4>
      </vt:variant>
      <vt:variant>
        <vt:i4>14</vt:i4>
      </vt:variant>
      <vt:variant>
        <vt:i4>0</vt:i4>
      </vt:variant>
      <vt:variant>
        <vt:i4>5</vt:i4>
      </vt:variant>
      <vt:variant>
        <vt:lpwstr/>
      </vt:variant>
      <vt:variant>
        <vt:lpwstr>_Toc217383586</vt:lpwstr>
      </vt:variant>
      <vt:variant>
        <vt:i4>1966136</vt:i4>
      </vt:variant>
      <vt:variant>
        <vt:i4>8</vt:i4>
      </vt:variant>
      <vt:variant>
        <vt:i4>0</vt:i4>
      </vt:variant>
      <vt:variant>
        <vt:i4>5</vt:i4>
      </vt:variant>
      <vt:variant>
        <vt:lpwstr/>
      </vt:variant>
      <vt:variant>
        <vt:lpwstr>_Toc217383585</vt:lpwstr>
      </vt:variant>
      <vt:variant>
        <vt:i4>5701753</vt:i4>
      </vt:variant>
      <vt:variant>
        <vt:i4>3</vt:i4>
      </vt:variant>
      <vt:variant>
        <vt:i4>0</vt:i4>
      </vt:variant>
      <vt:variant>
        <vt:i4>5</vt:i4>
      </vt:variant>
      <vt:variant>
        <vt:lpwstr>mailto:andres.castro@cmconsulting.com.co</vt:lpwstr>
      </vt:variant>
      <vt:variant>
        <vt:lpwstr/>
      </vt:variant>
      <vt:variant>
        <vt:i4>2556014</vt:i4>
      </vt:variant>
      <vt:variant>
        <vt:i4>33</vt:i4>
      </vt:variant>
      <vt:variant>
        <vt:i4>0</vt:i4>
      </vt:variant>
      <vt:variant>
        <vt:i4>5</vt:i4>
      </vt:variant>
      <vt:variant>
        <vt:lpwstr>www.cmconsulting.com.co</vt:lpwstr>
      </vt:variant>
      <vt:variant>
        <vt:lpwstr/>
      </vt:variant>
      <vt:variant>
        <vt:i4>524387</vt:i4>
      </vt:variant>
      <vt:variant>
        <vt:i4>30</vt:i4>
      </vt:variant>
      <vt:variant>
        <vt:i4>0</vt:i4>
      </vt:variant>
      <vt:variant>
        <vt:i4>5</vt:i4>
      </vt:variant>
      <vt:variant>
        <vt:lpwstr>mailto:contactos@cmconsulting.com.co</vt:lpwstr>
      </vt:variant>
      <vt:variant>
        <vt:lpwstr/>
      </vt:variant>
      <vt:variant>
        <vt:i4>524387</vt:i4>
      </vt:variant>
      <vt:variant>
        <vt:i4>27</vt:i4>
      </vt:variant>
      <vt:variant>
        <vt:i4>0</vt:i4>
      </vt:variant>
      <vt:variant>
        <vt:i4>5</vt:i4>
      </vt:variant>
      <vt:variant>
        <vt:lpwstr>mailto:contactos@cmconsulting.com.co</vt:lpwstr>
      </vt:variant>
      <vt:variant>
        <vt:lpwstr/>
      </vt:variant>
      <vt:variant>
        <vt:i4>2556014</vt:i4>
      </vt:variant>
      <vt:variant>
        <vt:i4>24</vt:i4>
      </vt:variant>
      <vt:variant>
        <vt:i4>0</vt:i4>
      </vt:variant>
      <vt:variant>
        <vt:i4>5</vt:i4>
      </vt:variant>
      <vt:variant>
        <vt:lpwstr>www.cmconsulting.com.co</vt:lpwstr>
      </vt:variant>
      <vt:variant>
        <vt:lpwstr/>
      </vt:variant>
      <vt:variant>
        <vt:i4>2556014</vt:i4>
      </vt:variant>
      <vt:variant>
        <vt:i4>21</vt:i4>
      </vt:variant>
      <vt:variant>
        <vt:i4>0</vt:i4>
      </vt:variant>
      <vt:variant>
        <vt:i4>5</vt:i4>
      </vt:variant>
      <vt:variant>
        <vt:lpwstr>www.cmconsulting.com.co</vt:lpwstr>
      </vt:variant>
      <vt:variant>
        <vt:lpwstr/>
      </vt:variant>
      <vt:variant>
        <vt:i4>524387</vt:i4>
      </vt:variant>
      <vt:variant>
        <vt:i4>18</vt:i4>
      </vt:variant>
      <vt:variant>
        <vt:i4>0</vt:i4>
      </vt:variant>
      <vt:variant>
        <vt:i4>5</vt:i4>
      </vt:variant>
      <vt:variant>
        <vt:lpwstr>mailto:contactos@cmconsulting.com.co</vt:lpwstr>
      </vt:variant>
      <vt:variant>
        <vt:lpwstr/>
      </vt:variant>
      <vt:variant>
        <vt:i4>2556014</vt:i4>
      </vt:variant>
      <vt:variant>
        <vt:i4>15</vt:i4>
      </vt:variant>
      <vt:variant>
        <vt:i4>0</vt:i4>
      </vt:variant>
      <vt:variant>
        <vt:i4>5</vt:i4>
      </vt:variant>
      <vt:variant>
        <vt:lpwstr>www.cmconsulting.com.co</vt:lpwstr>
      </vt:variant>
      <vt:variant>
        <vt:lpwstr/>
      </vt:variant>
      <vt:variant>
        <vt:i4>524387</vt:i4>
      </vt:variant>
      <vt:variant>
        <vt:i4>12</vt:i4>
      </vt:variant>
      <vt:variant>
        <vt:i4>0</vt:i4>
      </vt:variant>
      <vt:variant>
        <vt:i4>5</vt:i4>
      </vt:variant>
      <vt:variant>
        <vt:lpwstr>mailto:contactos@cmconsulting.com.co</vt:lpwstr>
      </vt:variant>
      <vt:variant>
        <vt:lpwstr/>
      </vt:variant>
      <vt:variant>
        <vt:i4>524387</vt:i4>
      </vt:variant>
      <vt:variant>
        <vt:i4>9</vt:i4>
      </vt:variant>
      <vt:variant>
        <vt:i4>0</vt:i4>
      </vt:variant>
      <vt:variant>
        <vt:i4>5</vt:i4>
      </vt:variant>
      <vt:variant>
        <vt:lpwstr>mailto:contactos@cmconsulting.com.co</vt:lpwstr>
      </vt:variant>
      <vt:variant>
        <vt:lpwstr/>
      </vt:variant>
      <vt:variant>
        <vt:i4>2556014</vt:i4>
      </vt:variant>
      <vt:variant>
        <vt:i4>6</vt:i4>
      </vt:variant>
      <vt:variant>
        <vt:i4>0</vt:i4>
      </vt:variant>
      <vt:variant>
        <vt:i4>5</vt:i4>
      </vt:variant>
      <vt:variant>
        <vt:lpwstr>www.cmconsulting.com.co</vt:lpwstr>
      </vt:variant>
      <vt:variant>
        <vt:lpwstr/>
      </vt:variant>
      <vt:variant>
        <vt:i4>2556014</vt:i4>
      </vt:variant>
      <vt:variant>
        <vt:i4>3</vt:i4>
      </vt:variant>
      <vt:variant>
        <vt:i4>0</vt:i4>
      </vt:variant>
      <vt:variant>
        <vt:i4>5</vt:i4>
      </vt:variant>
      <vt:variant>
        <vt:lpwstr>www.cmconsulting.com.co</vt:lpwstr>
      </vt:variant>
      <vt:variant>
        <vt:lpwstr/>
      </vt:variant>
      <vt:variant>
        <vt:i4>524387</vt:i4>
      </vt:variant>
      <vt:variant>
        <vt:i4>0</vt:i4>
      </vt:variant>
      <vt:variant>
        <vt:i4>0</vt:i4>
      </vt:variant>
      <vt:variant>
        <vt:i4>5</vt:i4>
      </vt:variant>
      <vt:variant>
        <vt:lpwstr>mailto:contactos@cmconsulting.com.co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gollillo</dc:creator>
  <cp:lastModifiedBy>Luis Maury</cp:lastModifiedBy>
  <cp:revision>2</cp:revision>
  <cp:lastPrinted>2026-04-29T21:41:00Z</cp:lastPrinted>
  <dcterms:created xsi:type="dcterms:W3CDTF">2026-05-13T15:23:00Z</dcterms:created>
  <dcterms:modified xsi:type="dcterms:W3CDTF">2026-05-13T15:23:00Z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0x010100AB79FB4A799C574A859405F270C445C800BC5A1C0DCB23D8479680544034113EB5</vt:lpwstr>
  </property>
  <property fmtid="{D5CDD505-2E9C-101B-9397-08002B2CF9AE}" pid="3" name="_dlc_DocIdItemGuid">
    <vt:lpwstr>5adc616d-cc0c-4e27-91c7-53b9602759d5</vt:lpwstr>
  </property>
  <property fmtid="{D5CDD505-2E9C-101B-9397-08002B2CF9AE}" pid="4" name="Valor Servicio de Soporte">
    <vt:r8>0</vt:r8>
  </property>
  <property fmtid="{D5CDD505-2E9C-101B-9397-08002B2CF9AE}" pid="5" name="Meses Servicio de Soporte">
    <vt:r8>0</vt:r8>
  </property>
  <property fmtid="{D5CDD505-2E9C-101B-9397-08002B2CF9AE}" pid="6" name="MediaServiceImageTags">
    <vt:lpwstr/>
  </property>
  <property fmtid="{D5CDD505-2E9C-101B-9397-08002B2CF9AE}" pid="7" name="MSIP_Label_b355583b-8076-4f5c-b583-378d029bda1b_Enabled">
    <vt:lpwstr>true</vt:lpwstr>
  </property>
  <property fmtid="{D5CDD505-2E9C-101B-9397-08002B2CF9AE}" pid="8" name="MSIP_Label_b355583b-8076-4f5c-b583-378d029bda1b_SetDate">
    <vt:lpwstr>2024-03-13T16:52:56Z</vt:lpwstr>
  </property>
  <property fmtid="{D5CDD505-2E9C-101B-9397-08002B2CF9AE}" pid="9" name="MSIP_Label_b355583b-8076-4f5c-b583-378d029bda1b_Method">
    <vt:lpwstr>Standard</vt:lpwstr>
  </property>
  <property fmtid="{D5CDD505-2E9C-101B-9397-08002B2CF9AE}" pid="10" name="MSIP_Label_b355583b-8076-4f5c-b583-378d029bda1b_Name">
    <vt:lpwstr>General</vt:lpwstr>
  </property>
  <property fmtid="{D5CDD505-2E9C-101B-9397-08002B2CF9AE}" pid="11" name="MSIP_Label_b355583b-8076-4f5c-b583-378d029bda1b_SiteId">
    <vt:lpwstr>f9d98544-7ea3-4fb6-81b8-22c5176d37af</vt:lpwstr>
  </property>
  <property fmtid="{D5CDD505-2E9C-101B-9397-08002B2CF9AE}" pid="12" name="MSIP_Label_b355583b-8076-4f5c-b583-378d029bda1b_ActionId">
    <vt:lpwstr>a9f3ac00-bc40-4a02-92f1-b1e2065876b9</vt:lpwstr>
  </property>
  <property fmtid="{D5CDD505-2E9C-101B-9397-08002B2CF9AE}" pid="13" name="MSIP_Label_b355583b-8076-4f5c-b583-378d029bda1b_ContentBits">
    <vt:lpwstr>0</vt:lpwstr>
  </property>
  <property fmtid="{D5CDD505-2E9C-101B-9397-08002B2CF9AE}" pid="14" name="docLang">
    <vt:lpwstr>es</vt:lpwstr>
  </property>
</Properties>
</file>