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Pr>
        <w:pStyle w:val="PortadaCM"/>
        <w:spacing w:before="0" w:after="240"/>
        <w:jc w:val="center"/>
      </w:pPr>
      <w:r>
        <w:rPr>
          <w:rFonts w:ascii="Ubuntu" w:hAnsi="Ubuntu" w:cs="Ubuntu"/>
          <w:b/>
          <w:bCs/>
          <w:sz w:val="64"/>
          <w:szCs w:val="64"/>
        </w:rPr>
        <w:t xml:space="preserve">PLAN DE PRUEBAS — ACELERADOR DE CONSOLIDACIÓN FINANCIERA SAP BW/BPC</w:t>
      </w:r>
    </w:p>
    <w:p>
      <w:pPr>
        <w:spacing w:before="0" w:after="120" w:line="288" w:lineRule="auto"/>
        <w:jc w:val="center"/>
      </w:pPr>
      <w:r>
        <w:rPr>
          <w:rFonts w:ascii="Ubuntu" w:hAnsi="Ubuntu" w:cs="Ubuntu"/>
          <w:b/>
          <w:bCs/>
          <w:color w:val="144E8C"/>
          <w:sz w:val="28"/>
          <w:szCs w:val="28"/>
        </w:rPr>
        <w:t xml:space="preserve">Producto interno CM Consulting</w:t>
      </w:r>
    </w:p>
    <w:p>
      <w:r>
        <w:br w:type="page"/>
      </w:r>
    </w:p>
    <w:p>
      <w:pPr>
        <w:pStyle w:val="Heading1"/>
        <w:spacing w:before="360" w:after="160"/>
        <w:jc w:val="left"/>
      </w:pPr>
      <w:r>
        <w:rPr>
          <w:rFonts w:ascii="Ubuntu" w:hAnsi="Ubuntu" w:cs="Ubuntu"/>
          <w:b/>
          <w:bCs/>
          <w:color w:val="365F91"/>
          <w:sz w:val="32"/>
          <w:szCs w:val="32"/>
        </w:rPr>
        <w:t xml:space="preserve">Control de versiones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1200"/>
        <w:gridCol w:w="2200"/>
        <w:gridCol w:w="1500"/>
        <w:gridCol w:w="3938"/>
      </w:tblGrid>
      <w:tr>
        <w:trPr>
          <w:tblHeader/>
        </w:trPr>
        <w:tc>
          <w:tcPr>
            <w:tcW w:w="12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Versión</w:t>
            </w:r>
          </w:p>
        </w:tc>
        <w:tc>
          <w:tcPr>
            <w:tcW w:w="22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Elaborado por</w:t>
            </w:r>
          </w:p>
        </w:tc>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Fecha</w:t>
            </w:r>
          </w:p>
        </w:tc>
        <w:tc>
          <w:tcPr>
            <w:tcW w:w="39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Observaciones</w:t>
            </w:r>
          </w:p>
        </w:tc>
      </w:tr>
      <w:tr>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1.0</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CM Consulting</w:t>
            </w:r>
          </w:p>
        </w:tc>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16-Oct-26</w:t>
            </w:r>
          </w:p>
        </w:tc>
        <w:tc>
          <w:tcPr>
            <w:tcW w:w="3938" w:type="dxa"/>
            <w:tcMar>
              <w:top w:w="80" w:type="dxa"/>
              <w:left w:w="120" w:type="dxa"/>
              <w:bottom w:w="80" w:type="dxa"/>
              <w:right w:w="120" w:type="dxa"/>
            </w:tcMar>
            <w:vAlign w:val="center"/>
          </w:tcPr>
          <w:p>
            <w:pPr>
              <w:spacing w:after="0"/>
              <w:jc w:val="both"/>
            </w:pPr>
            <w:r>
              <w:rPr>
                <w:rFonts w:ascii="Ubuntu" w:hAnsi="Ubuntu" w:cs="Ubuntu"/>
                <w:sz w:val="21"/>
                <w:szCs w:val="21"/>
              </w:rPr>
              <w:t xml:space="preserve">Versión para aprobación interna, derivada del DAF v1.2, el Documento UX v1.1, las Historias de Usuario v1.1 y la Arquitectura v1.0.</w:t>
            </w:r>
          </w:p>
        </w:tc>
      </w:tr>
    </w:tbl>
    <w:p>
      <w:pPr>
        <w:spacing w:after="0"/>
      </w:pPr>
    </w:p>
    <w:p>
      <w:pPr>
        <w:pStyle w:val="Heading1"/>
        <w:spacing w:before="360" w:after="160"/>
        <w:jc w:val="left"/>
      </w:pPr>
      <w:r>
        <w:rPr>
          <w:rFonts w:ascii="Ubuntu" w:hAnsi="Ubuntu" w:cs="Ubuntu"/>
          <w:b/>
          <w:bCs/>
          <w:color w:val="365F91"/>
          <w:sz w:val="32"/>
          <w:szCs w:val="32"/>
        </w:rPr>
        <w:t xml:space="preserve">Confidencialidad</w:t>
      </w:r>
    </w:p>
    <w:p>
      <w:pPr>
        <w:spacing w:before="0" w:after="120" w:line="288" w:lineRule="auto"/>
        <w:jc w:val="both"/>
      </w:pPr>
      <w:r>
        <w:rPr>
          <w:rFonts w:ascii="Ubuntu" w:hAnsi="Ubuntu" w:cs="Ubuntu"/>
          <w:sz w:val="22"/>
          <w:szCs w:val="22"/>
        </w:rPr>
        <w:t xml:space="preserve">La información contenida en este documento es propiedad intelectual de </w:t>
      </w:r>
      <w:r>
        <w:rPr>
          <w:rFonts w:ascii="Ubuntu" w:hAnsi="Ubuntu" w:cs="Ubuntu"/>
          <w:b/>
          <w:bCs/>
          <w:sz w:val="22"/>
          <w:szCs w:val="22"/>
        </w:rPr>
        <w:t xml:space="preserve">CM CONSULTING SAS</w:t>
      </w:r>
      <w:r>
        <w:rPr>
          <w:rFonts w:ascii="Ubuntu" w:hAnsi="Ubuntu" w:cs="Ubuntu"/>
          <w:sz w:val="22"/>
          <w:szCs w:val="22"/>
        </w:rPr>
        <w:t xml:space="preserve">.</w:t>
      </w:r>
    </w:p>
    <w:p>
      <w:pPr>
        <w:spacing w:before="0" w:after="120" w:line="288" w:lineRule="auto"/>
        <w:jc w:val="both"/>
      </w:pPr>
      <w:r>
        <w:rPr>
          <w:rFonts w:ascii="Ubuntu" w:hAnsi="Ubuntu" w:cs="Ubuntu"/>
          <w:sz w:val="22"/>
          <w:szCs w:val="22"/>
        </w:rPr>
        <w:t xml:space="preserve">Este documento es de uso interno de </w:t>
      </w:r>
      <w:r>
        <w:rPr>
          <w:rFonts w:ascii="Ubuntu" w:hAnsi="Ubuntu" w:cs="Ubuntu"/>
          <w:b/>
          <w:bCs/>
          <w:sz w:val="22"/>
          <w:szCs w:val="22"/>
        </w:rPr>
        <w:t xml:space="preserve">CM CONSULTING SAS</w:t>
      </w:r>
      <w:r>
        <w:rPr>
          <w:rFonts w:ascii="Ubuntu" w:hAnsi="Ubuntu" w:cs="Ubuntu"/>
          <w:sz w:val="22"/>
          <w:szCs w:val="22"/>
        </w:rPr>
        <w:t xml:space="preserve">. Su reproducción, distribución o comunicación por cualquier medio queda expresamente prohibida sin el consentimiento escrito de </w:t>
      </w:r>
      <w:r>
        <w:rPr>
          <w:rFonts w:ascii="Ubuntu" w:hAnsi="Ubuntu" w:cs="Ubuntu"/>
          <w:b/>
          <w:bCs/>
          <w:sz w:val="22"/>
          <w:szCs w:val="22"/>
        </w:rPr>
        <w:t xml:space="preserve">CM CONSULTING SAS</w:t>
      </w:r>
      <w:r>
        <w:rPr>
          <w:rFonts w:ascii="Ubuntu" w:hAnsi="Ubuntu" w:cs="Ubuntu"/>
          <w:sz w:val="22"/>
          <w:szCs w:val="22"/>
        </w:rPr>
        <w:t xml:space="preserve">.</w:t>
      </w:r>
    </w:p>
    <w:p>
      <w:r>
        <w:br w:type="page"/>
      </w:r>
    </w:p>
    <w:p>
      <w:pPr>
        <w:pStyle w:val="Heading1"/>
        <w:spacing w:before="360" w:after="160"/>
        <w:jc w:val="left"/>
      </w:pPr>
      <w:r>
        <w:rPr>
          <w:rFonts w:ascii="Ubuntu" w:hAnsi="Ubuntu" w:cs="Ubuntu"/>
          <w:b/>
          <w:bCs/>
          <w:color w:val="365F91"/>
          <w:sz w:val="32"/>
          <w:szCs w:val="32"/>
        </w:rPr>
        <w:t xml:space="preserve">Tabla de contenido</w:t>
      </w:r>
    </w:p>
    <w:p>
      <w:pPr>
        <w:pStyle w:val="TOC1"/>
      </w:pPr>
      <w:r>
        <w:fldChar w:fldCharType="begin" w:dirty="true"/>
      </w:r>
      <w:r>
        <w:instrText xml:space="preserve"> TOC \o "1-3" \h \z \u </w:instrText>
      </w:r>
      <w:r>
        <w:fldChar w:fldCharType="separate"/>
      </w:r>
      <w:r>
        <w:t>Actualice la tabla de contenido en Word (clic derecho → Actualizar campos).</w:t>
      </w:r>
      <w:r>
        <w:fldChar w:fldCharType="end"/>
      </w:r>
    </w:p>
    <w:p>
      <w:r>
        <w:br w:type="page"/>
      </w:r>
    </w:p>
    <w:p>
      <w:pPr>
        <w:pStyle w:val="Heading1"/>
        <w:spacing w:before="360" w:after="160"/>
        <w:jc w:val="left"/>
      </w:pPr>
      <w:r>
        <w:rPr>
          <w:rFonts w:ascii="Ubuntu" w:hAnsi="Ubuntu" w:cs="Ubuntu"/>
          <w:b/>
          <w:bCs/>
          <w:color w:val="365F91"/>
          <w:sz w:val="32"/>
          <w:szCs w:val="32"/>
        </w:rPr>
        <w:t xml:space="preserve">1. Introducción</w:t>
      </w:r>
    </w:p>
    <w:p>
      <w:pPr>
        <w:pStyle w:val="Heading2"/>
        <w:spacing w:before="240" w:after="120"/>
        <w:jc w:val="left"/>
      </w:pPr>
      <w:r>
        <w:rPr>
          <w:rFonts w:ascii="Ubuntu" w:hAnsi="Ubuntu" w:cs="Ubuntu"/>
          <w:b/>
          <w:bCs/>
          <w:color w:val="365F91"/>
          <w:sz w:val="28"/>
          <w:szCs w:val="28"/>
        </w:rPr>
        <w:t xml:space="preserve">1.1 Objetivo</w:t>
      </w:r>
    </w:p>
    <w:p>
      <w:pPr>
        <w:spacing w:before="0" w:after="120" w:line="288" w:lineRule="auto"/>
        <w:jc w:val="both"/>
      </w:pPr>
      <w:r>
        <w:rPr>
          <w:rFonts w:ascii="Ubuntu" w:hAnsi="Ubuntu" w:cs="Ubuntu"/>
          <w:sz w:val="22"/>
          <w:szCs w:val="22"/>
        </w:rPr>
        <w:t xml:space="preserve">Este plan define cómo se verifica el Acelerador de consolidación financiera sobre SAP BW y SAP BPC antes de su uso con el primer cliente piloto. Los casos se derivan de los documentos aprobados, de modo que cada historia, criterio de aceptación, requerimiento no funcional e integración tiene al menos una prueba que lo verifica.</w:t>
      </w:r>
    </w:p>
    <w:p>
      <w:pPr>
        <w:pStyle w:val="Heading2"/>
        <w:spacing w:before="240" w:after="120"/>
        <w:jc w:val="left"/>
      </w:pPr>
      <w:r>
        <w:rPr>
          <w:rFonts w:ascii="Ubuntu" w:hAnsi="Ubuntu" w:cs="Ubuntu"/>
          <w:b/>
          <w:bCs/>
          <w:color w:val="365F91"/>
          <w:sz w:val="28"/>
          <w:szCs w:val="28"/>
        </w:rPr>
        <w:t xml:space="preserve">1.2 Documentos base</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3200"/>
        <w:gridCol w:w="1000"/>
        <w:gridCol w:w="4638"/>
      </w:tblGrid>
      <w:tr>
        <w:trPr>
          <w:tblHeader/>
        </w:trPr>
        <w:tc>
          <w:tcPr>
            <w:tcW w:w="32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Documento</w:t>
            </w:r>
          </w:p>
        </w:tc>
        <w:tc>
          <w:tcPr>
            <w:tcW w:w="1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Versión</w:t>
            </w:r>
          </w:p>
        </w:tc>
        <w:tc>
          <w:tcPr>
            <w:tcW w:w="46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Uso en este plan</w:t>
            </w:r>
          </w:p>
        </w:tc>
      </w:tr>
      <w:tr>
        <w:tc>
          <w:tcPr>
            <w:tcW w:w="3200" w:type="dxa"/>
            <w:tcMar>
              <w:top w:w="80" w:type="dxa"/>
              <w:left w:w="120" w:type="dxa"/>
              <w:bottom w:w="80" w:type="dxa"/>
              <w:right w:w="120" w:type="dxa"/>
            </w:tcMar>
            <w:vAlign w:val="center"/>
          </w:tcPr>
          <w:p>
            <w:pPr>
              <w:spacing w:after="0"/>
              <w:jc w:val="both"/>
            </w:pPr>
            <w:r>
              <w:rPr>
                <w:rFonts w:ascii="Ubuntu" w:hAnsi="Ubuntu" w:cs="Ubuntu"/>
                <w:sz w:val="21"/>
                <w:szCs w:val="21"/>
              </w:rPr>
              <w:t xml:space="preserve">Documento de Análisis Funcional (DAF)</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1.2</w:t>
            </w:r>
          </w:p>
        </w:tc>
        <w:tc>
          <w:tcPr>
            <w:tcW w:w="4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 RNF con su métrica, 19 reglas de negocio y 6 integraciones.</w:t>
            </w:r>
          </w:p>
        </w:tc>
      </w:tr>
      <w:tr>
        <w:tc>
          <w:tcPr>
            <w:tcW w:w="3200" w:type="dxa"/>
            <w:tcMar>
              <w:top w:w="80" w:type="dxa"/>
              <w:left w:w="120" w:type="dxa"/>
              <w:bottom w:w="80" w:type="dxa"/>
              <w:right w:w="120" w:type="dxa"/>
            </w:tcMar>
            <w:vAlign w:val="center"/>
          </w:tcPr>
          <w:p>
            <w:pPr>
              <w:spacing w:after="0"/>
              <w:jc w:val="both"/>
            </w:pPr>
            <w:r>
              <w:rPr>
                <w:rFonts w:ascii="Ubuntu" w:hAnsi="Ubuntu" w:cs="Ubuntu"/>
                <w:sz w:val="21"/>
                <w:szCs w:val="21"/>
              </w:rPr>
              <w:t xml:space="preserve">Documento de Diseño UX</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1.1</w:t>
            </w:r>
          </w:p>
        </w:tc>
        <w:tc>
          <w:tcPr>
            <w:tcW w:w="4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15 pantallas con sus estados normal, vacío, carga y error.</w:t>
            </w:r>
          </w:p>
        </w:tc>
      </w:tr>
      <w:tr>
        <w:tc>
          <w:tcPr>
            <w:tcW w:w="3200" w:type="dxa"/>
            <w:tcMar>
              <w:top w:w="80" w:type="dxa"/>
              <w:left w:w="120" w:type="dxa"/>
              <w:bottom w:w="80" w:type="dxa"/>
              <w:right w:w="120" w:type="dxa"/>
            </w:tcMar>
            <w:vAlign w:val="center"/>
          </w:tcPr>
          <w:p>
            <w:pPr>
              <w:spacing w:after="0"/>
              <w:jc w:val="both"/>
            </w:pPr>
            <w:r>
              <w:rPr>
                <w:rFonts w:ascii="Ubuntu" w:hAnsi="Ubuntu" w:cs="Ubuntu"/>
                <w:sz w:val="21"/>
                <w:szCs w:val="21"/>
              </w:rPr>
              <w:t xml:space="preserve">Historias de Usuario</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1.1</w:t>
            </w:r>
          </w:p>
        </w:tc>
        <w:tc>
          <w:tcPr>
            <w:tcW w:w="4638" w:type="dxa"/>
            <w:tcMar>
              <w:top w:w="80" w:type="dxa"/>
              <w:left w:w="120" w:type="dxa"/>
              <w:bottom w:w="80" w:type="dxa"/>
              <w:right w:w="120" w:type="dxa"/>
            </w:tcMar>
            <w:vAlign w:val="center"/>
          </w:tcPr>
          <w:p>
            <w:pPr>
              <w:spacing w:after="0"/>
              <w:jc w:val="both"/>
            </w:pPr>
            <w:r>
              <w:rPr>
                <w:rFonts w:ascii="Ubuntu" w:hAnsi="Ubuntu" w:cs="Ubuntu"/>
                <w:sz w:val="21"/>
                <w:szCs w:val="21"/>
              </w:rPr>
              <w:t xml:space="preserve">58 historias y 224 criterios de aceptación.</w:t>
            </w:r>
          </w:p>
        </w:tc>
      </w:tr>
      <w:tr>
        <w:tc>
          <w:tcPr>
            <w:tcW w:w="3200" w:type="dxa"/>
            <w:tcMar>
              <w:top w:w="80" w:type="dxa"/>
              <w:left w:w="120" w:type="dxa"/>
              <w:bottom w:w="80" w:type="dxa"/>
              <w:right w:w="120" w:type="dxa"/>
            </w:tcMar>
            <w:vAlign w:val="center"/>
          </w:tcPr>
          <w:p>
            <w:pPr>
              <w:spacing w:after="0"/>
              <w:jc w:val="both"/>
            </w:pPr>
            <w:r>
              <w:rPr>
                <w:rFonts w:ascii="Ubuntu" w:hAnsi="Ubuntu" w:cs="Ubuntu"/>
                <w:sz w:val="21"/>
                <w:szCs w:val="21"/>
              </w:rPr>
              <w:t xml:space="preserve">Documento de Arquitectura</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1.0</w:t>
            </w:r>
          </w:p>
        </w:tc>
        <w:tc>
          <w:tcPr>
            <w:tcW w:w="4638" w:type="dxa"/>
            <w:tcMar>
              <w:top w:w="80" w:type="dxa"/>
              <w:left w:w="120" w:type="dxa"/>
              <w:bottom w:w="80" w:type="dxa"/>
              <w:right w:w="120" w:type="dxa"/>
            </w:tcMar>
            <w:vAlign w:val="center"/>
          </w:tcPr>
          <w:p>
            <w:pPr>
              <w:spacing w:after="0"/>
              <w:jc w:val="both"/>
            </w:pPr>
            <w:r>
              <w:rPr>
                <w:rFonts w:ascii="Ubuntu" w:hAnsi="Ubuntu" w:cs="Ubuntu"/>
                <w:sz w:val="21"/>
                <w:szCs w:val="21"/>
              </w:rPr>
              <w:t xml:space="preserve">Ambientes, estrategia de errores de las integraciones y pipeline.</w:t>
            </w:r>
          </w:p>
        </w:tc>
      </w:tr>
    </w:tbl>
    <w:p>
      <w:pPr>
        <w:spacing w:after="0"/>
      </w:pPr>
    </w:p>
    <w:p>
      <w:pPr>
        <w:pStyle w:val="Heading2"/>
        <w:spacing w:before="240" w:after="120"/>
        <w:jc w:val="left"/>
      </w:pPr>
      <w:r>
        <w:rPr>
          <w:rFonts w:ascii="Ubuntu" w:hAnsi="Ubuntu" w:cs="Ubuntu"/>
          <w:b/>
          <w:bCs/>
          <w:color w:val="365F91"/>
          <w:sz w:val="28"/>
          <w:szCs w:val="28"/>
        </w:rPr>
        <w:t xml:space="preserve">1.3 Alcance</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Pruebas funcionales de QA de las 58 historias, incluidos los estados de las pantallas y los límites de las reglas con umbral.</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Pruebas no funcionales de los 12 RNF del DAF: compatibilidad, rendimiento de la carga delta, seguridad, auditoría y accesibilidad.</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Pruebas de resiliencia de las 6 integraciones según la estrategia de errores de la arquitectura.</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Gobierno de las pruebas unitarias que el equipo de desarrollo escribe en cada historia.</w:t>
      </w:r>
    </w:p>
    <w:p>
      <w:pPr>
        <w:pStyle w:val="Heading2"/>
        <w:spacing w:before="240" w:after="120"/>
        <w:jc w:val="left"/>
      </w:pPr>
      <w:r>
        <w:rPr>
          <w:rFonts w:ascii="Ubuntu" w:hAnsi="Ubuntu" w:cs="Ubuntu"/>
          <w:b/>
          <w:bCs/>
          <w:color w:val="365F91"/>
          <w:sz w:val="28"/>
          <w:szCs w:val="28"/>
        </w:rPr>
        <w:t xml:space="preserve">1.4 Exclusiones</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La arquitectura B: en la versión 1 solo se prueba que se detecta y se rechaza (HU-57).</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Pruebas de aceptación del cliente: el guion de UAT se deriva en la fase F9 a partir de los casos de prioridad Alta de este plan.</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Pruebas de los sistemas SAP del cliente y de su respaldo: son responsabilidad del cliente.</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Pruebas responsive: el configurador corre en el equipo del consultor y los reportes son Excel de escritorio; el DAF no define viewport.</w:t>
      </w:r>
    </w:p>
    <w:p>
      <w:pPr>
        <w:pStyle w:val="Heading1"/>
        <w:spacing w:before="360" w:after="160"/>
        <w:jc w:val="left"/>
      </w:pPr>
      <w:r>
        <w:rPr>
          <w:rFonts w:ascii="Ubuntu" w:hAnsi="Ubuntu" w:cs="Ubuntu"/>
          <w:b/>
          <w:bCs/>
          <w:color w:val="365F91"/>
          <w:sz w:val="32"/>
          <w:szCs w:val="32"/>
        </w:rPr>
        <w:t xml:space="preserve">2. Estrategia de pruebas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1700"/>
        <w:gridCol w:w="1700"/>
        <w:gridCol w:w="3638"/>
        <w:gridCol w:w="1800"/>
      </w:tblGrid>
      <w:tr>
        <w:trPr>
          <w:tblHeader/>
        </w:trPr>
        <w:tc>
          <w:tcPr>
            <w:tcW w:w="17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Nivel</w:t>
            </w:r>
          </w:p>
        </w:tc>
        <w:tc>
          <w:tcPr>
            <w:tcW w:w="17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Responsable</w:t>
            </w:r>
          </w:p>
        </w:tc>
        <w:tc>
          <w:tcPr>
            <w:tcW w:w="36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Qué cubre</w:t>
            </w:r>
          </w:p>
        </w:tc>
        <w:tc>
          <w:tcPr>
            <w:tcW w:w="1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Cuándo corre</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Unitarias</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Equipo de desarrollo</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Reglas de negocio, generadores y validaciones; cobertura ≥ 70 % del código nuevo (DoD).</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PR en el pipeline</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Integración</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Equipo de desarrollo</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Contratos RFC con el paquete Z, plantillas EPM y base local.</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PR y cada despliegue a QA</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Funcionales de QA</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QA</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279 casos de este plan (secciones 5.1 a 5.9).</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sprint y regresión por release</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 funcionales y resiliencia</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QA con el líder técnico</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15 pruebas de RNF y 24 de integraciones (sección 6).</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Antes de cada release y de UAT</w:t>
            </w:r>
          </w:p>
        </w:tc>
      </w:tr>
      <w:tr>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UAT</w:t>
            </w:r>
          </w:p>
        </w:tc>
        <w:tc>
          <w:tcPr>
            <w:tcW w:w="1700" w:type="dxa"/>
            <w:tcMar>
              <w:top w:w="80" w:type="dxa"/>
              <w:left w:w="120" w:type="dxa"/>
              <w:bottom w:w="80" w:type="dxa"/>
              <w:right w:w="120" w:type="dxa"/>
            </w:tcMar>
            <w:vAlign w:val="center"/>
          </w:tcPr>
          <w:p>
            <w:pPr>
              <w:spacing w:after="0"/>
              <w:jc w:val="both"/>
            </w:pPr>
            <w:r>
              <w:rPr>
                <w:rFonts w:ascii="Ubuntu" w:hAnsi="Ubuntu" w:cs="Ubuntu"/>
                <w:sz w:val="21"/>
                <w:szCs w:val="21"/>
              </w:rPr>
              <w:t xml:space="preserve">Cliente piloto</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Guion derivado de los casos de prioridad Alta.</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Fase F9</w:t>
            </w:r>
          </w:p>
        </w:tc>
      </w:tr>
    </w:tbl>
    <w:p>
      <w:pPr>
        <w:spacing w:after="0"/>
      </w:pPr>
    </w:p>
    <w:p>
      <w:pPr>
        <w:pStyle w:val="Heading2"/>
        <w:spacing w:before="240" w:after="120"/>
        <w:jc w:val="left"/>
      </w:pPr>
      <w:r>
        <w:rPr>
          <w:rFonts w:ascii="Ubuntu" w:hAnsi="Ubuntu" w:cs="Ubuntu"/>
          <w:b/>
          <w:bCs/>
          <w:color w:val="365F91"/>
          <w:sz w:val="28"/>
          <w:szCs w:val="28"/>
        </w:rPr>
        <w:t xml:space="preserve">2.1 Base de la pirámide: pruebas unitarias</w:t>
      </w:r>
    </w:p>
    <w:p>
      <w:pPr>
        <w:spacing w:before="0" w:after="120" w:line="288" w:lineRule="auto"/>
        <w:jc w:val="both"/>
      </w:pPr>
      <w:r>
        <w:rPr>
          <w:rFonts w:ascii="Ubuntu" w:hAnsi="Ubuntu" w:cs="Ubuntu"/>
          <w:sz w:val="22"/>
          <w:szCs w:val="22"/>
        </w:rPr>
        <w:t xml:space="preserve">Las pruebas unitarias viven en el repositorio y las escribe el equipo de desarrollo como parte de cada historia. Este plan las gobierna: toda regla de negocio tiene su prueba unitaria en el módulo que la implementa. En cada ciclo QA verifica que el reporte de cobertura cumple el piso y que las reglas del ciclo aparecen en la suite. Un criterio cuya regla ya está probada unitariamente se prueba en QA una sola vez, de extremo a extremo.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4238"/>
        <w:gridCol w:w="2600"/>
        <w:gridCol w:w="12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RN</w:t>
            </w:r>
          </w:p>
        </w:tc>
        <w:tc>
          <w:tcPr>
            <w:tcW w:w="4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Regla</w:t>
            </w:r>
          </w:p>
        </w:tc>
        <w:tc>
          <w:tcPr>
            <w:tcW w:w="26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Módulo con prueba unitaria</w:t>
            </w:r>
          </w:p>
        </w:tc>
        <w:tc>
          <w:tcPr>
            <w:tcW w:w="12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Marco</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RN-01</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validación de conexión ERP–BW aplica cuando ERP y BW están en sistemas separados.</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Escáner (validación ERP–BW)</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RN-02</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scripts de cálculo difieren entre BPC modelo estándar y BPC modelo embebido; cada arquitectura usa su propia variante.</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Catálogo de variantes</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RN-03</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 el cliente ya tiene bodega en BW, no se recrea: se parte de la existente.</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Escáner y orquestador; paquete Z (respuesta EXISTE)</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ABAP Unit y 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RN-04</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Después de la carga full inicial, las cargas siguientes son delta y se ejecutan cada noche.</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Generadores BW (cadenas de proceso)</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RN-05</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sociedad puede tener un plan de cuentas distinto.</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Configurador (sociedades y mapeo)</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RN-06</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consolidación se presenta en dos monedas: la moneda local que maneja SAP y dólares.</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Cargador de datos maestros (monedas)</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RN-07</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Solo las sociedades del grupo participan como entidades de la consolidación; clientes y proveedores no.</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Configurador (sociedades) y cargador no SAP</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RN-08</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el modelo estándar, los reportes EPM de consolidación y de presupuesto se conectan a su modelo BPC, no directamente a BW.</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Generador de reportes EPM (conexión con nombre)</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RN-09</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reporte puede presentar una sociedad sola o la sociedad con todas sus filiales.</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Generador de reportes EPM</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RN-10</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valor de un rubro es la suma de las cuentas mapeadas a ese rubro.</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Configurador (mapeo) y generador de reportes</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RN-11</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conversión usa tasa de cierre para cuentas de balance, tasa promedio para resultados y tasa histórica para patrimonio.</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Generadores BPC (reglas de conversión)</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RN-12</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Activos fijos y deterioros se quedan en BW: no tienen modelo en BPC y sus reportes leen de BW.</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Configurador (módulos) y orquestador</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RN-13</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sociedad tiene en cada periodo un método de consolidación: matriz, integración global, participación (coligada) o fuera del perímetro. La integración global elimina inversión y patrimonio y calcula interés minoritario; la participación reconoce la proporción del resultado y no elimina transacciones intercompañía.</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Generadores BPC (modelo de propiedad)</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RN-14</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porcentajes y el método se registran por periodo; un cambio aplica desde el periodo en que se registra y no altera los periodos anteriores.</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Generadores BPC (propiedad por periodo)</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RN-15</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asiento de ajuste solo se guarda si la suma de sus débitos es igual a la suma de sus créditos.</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Generadores BPC (journals con balanceo obligatorio)</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RN-16</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Una sociedad solo se importa a BPC si en el periodo el activo es igual al pasivo más el patrimonio, la utilidad del estado de resultados es igual al resultado del ejercicio del balance y todas sus cuentas con saldo están mapeadas; la tolerancia de redondeo se define en la pregunta abierta 14.</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Paquete Z (validación de cuadre) y cargador no SAP</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ABAP Unit y 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RN-17</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Una sociedad bloqueada en un periodo no admite cargas, asientos de ajuste ni reprocesos de ese periodo hasta que se desbloquee.</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Generadores BPC (work status)</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RN-18</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diferencia en conversión se registra en el patrimonio y no en el estado de resultados.</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Generadores BPC (cuenta de diferencia en conversión)</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r>
        <w:tc>
          <w:tcPr>
            <w:tcW w:w="8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RN-19</w:t>
            </w:r>
          </w:p>
        </w:tc>
        <w:tc>
          <w:tcPr>
            <w:tcW w:w="4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versión 1 solo se generan objetos en la arquitectura A; un cliente con arquitectura B se identifica pero no se configura ni se genera.</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Escáner y orquestador (rechazo de la arquitectura B)</w:t>
            </w:r>
          </w:p>
        </w:tc>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w:t>
            </w:r>
          </w:p>
        </w:tc>
      </w:tr>
    </w:tbl>
    <w:p>
      <w:pPr>
        <w:spacing w:after="0"/>
      </w:pPr>
    </w:p>
    <w:p>
      <w:pPr>
        <w:pStyle w:val="Heading2"/>
        <w:spacing w:before="240" w:after="120"/>
        <w:jc w:val="left"/>
      </w:pPr>
      <w:r>
        <w:rPr>
          <w:rFonts w:ascii="Ubuntu" w:hAnsi="Ubuntu" w:cs="Ubuntu"/>
          <w:b/>
          <w:bCs/>
          <w:color w:val="365F91"/>
          <w:sz w:val="28"/>
          <w:szCs w:val="28"/>
        </w:rPr>
        <w:t xml:space="preserve">2.2 Automatización por defecto</w:t>
      </w:r>
    </w:p>
    <w:p>
      <w:pPr>
        <w:spacing w:before="0" w:after="120" w:line="288" w:lineRule="auto"/>
        <w:jc w:val="both"/>
      </w:pPr>
      <w:r>
        <w:rPr>
          <w:rFonts w:ascii="Ubuntu" w:hAnsi="Ubuntu" w:cs="Ubuntu"/>
          <w:sz w:val="22"/>
          <w:szCs w:val="22"/>
        </w:rPr>
        <w:t xml:space="preserve">Todo caso se automatiza salvo justificación explícita. De 318 casos, 306 son automatizados (96.2 %) y 12 son manuales, cada uno con su justificación en la tabla del caso. Las herramientas son: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3000"/>
        <w:gridCol w:w="5838"/>
      </w:tblGrid>
      <w:tr>
        <w:trPr>
          <w:tblHeader/>
        </w:trPr>
        <w:tc>
          <w:tcPr>
            <w:tcW w:w="3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Capa</w:t>
            </w:r>
          </w:p>
        </w:tc>
        <w:tc>
          <w:tcPr>
            <w:tcW w:w="58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Herramienta</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Configurador (UX-01 a UX-10)</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Playwright para .NET, con axe-core para accesibilidad.</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Verificaciones en BW y BPC</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xUnit con SAP NCo 3.1, leyendo objetos y datos por las funciones de inventario del paquete Z.</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Reportes y plantillas EPM (UX-11 a UX-15)</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Excel COM con la API de automatización de EPM add-in, en un agente Windows con Excel.</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Resiliencia</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Dobles de prueba del gateway RFC (retardo y error configurables) y proxy de red de pruebas.</w:t>
            </w:r>
          </w:p>
        </w:tc>
      </w:tr>
      <w:tr>
        <w:tc>
          <w:tcPr>
            <w:tcW w:w="3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Seguridad</w:t>
            </w:r>
          </w:p>
        </w:tc>
        <w:tc>
          <w:tcPr>
            <w:tcW w:w="5838" w:type="dxa"/>
            <w:tcMar>
              <w:top w:w="80" w:type="dxa"/>
              <w:left w:w="120" w:type="dxa"/>
              <w:bottom w:w="80" w:type="dxa"/>
              <w:right w:w="120" w:type="dxa"/>
            </w:tcMar>
            <w:vAlign w:val="center"/>
          </w:tcPr>
          <w:p>
            <w:pPr>
              <w:spacing w:after="0"/>
              <w:jc w:val="both"/>
            </w:pPr>
            <w:r>
              <w:rPr>
                <w:rFonts w:ascii="Ubuntu" w:hAnsi="Ubuntu" w:cs="Ubuntu"/>
                <w:sz w:val="21"/>
                <w:szCs w:val="21"/>
              </w:rPr>
              <w:t xml:space="preserve">OWASP ZAP (DAST), SAST, SCA y escaneo de secretos del pipeline.</w:t>
            </w:r>
          </w:p>
        </w:tc>
      </w:tr>
    </w:tbl>
    <w:p>
      <w:pPr>
        <w:spacing w:after="0"/>
      </w:pPr>
    </w:p>
    <w:p>
      <w:pPr>
        <w:pStyle w:val="Heading2"/>
        <w:spacing w:before="240" w:after="120"/>
        <w:jc w:val="left"/>
      </w:pPr>
      <w:r>
        <w:rPr>
          <w:rFonts w:ascii="Ubuntu" w:hAnsi="Ubuntu" w:cs="Ubuntu"/>
          <w:b/>
          <w:bCs/>
          <w:color w:val="365F91"/>
          <w:sz w:val="28"/>
          <w:szCs w:val="28"/>
        </w:rPr>
        <w:t xml:space="preserve">2.3 Suite de humo</w:t>
      </w:r>
    </w:p>
    <w:p>
      <w:pPr>
        <w:spacing w:before="0" w:after="120" w:line="288" w:lineRule="auto"/>
        <w:jc w:val="both"/>
      </w:pPr>
      <w:r>
        <w:rPr>
          <w:rFonts w:ascii="Ubuntu" w:hAnsi="Ubuntu" w:cs="Ubuntu"/>
          <w:sz w:val="22"/>
          <w:szCs w:val="22"/>
        </w:rPr>
        <w:t xml:space="preserve">La suite de humo recorre el flujo crítico de extremo a extremo y corre en cada despliegue a QA y UAT. Tiene 14 casos: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1000"/>
        <w:gridCol w:w="1000"/>
        <w:gridCol w:w="6838"/>
      </w:tblGrid>
      <w:tr>
        <w:trPr>
          <w:tblHeader/>
        </w:trPr>
        <w:tc>
          <w:tcPr>
            <w:tcW w:w="1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1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HU</w:t>
            </w:r>
          </w:p>
        </w:tc>
        <w:tc>
          <w:tcPr>
            <w:tcW w:w="68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w:t>
            </w:r>
          </w:p>
        </w:tc>
      </w:tr>
      <w:tr>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CP-008</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HU-02</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Crear un cliente y pasar a Conexiones</w:t>
            </w:r>
          </w:p>
        </w:tc>
      </w:tr>
      <w:tr>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CP-016</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HU-03</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Probar una conexión exitosa y una fallida</w:t>
            </w:r>
          </w:p>
        </w:tc>
      </w:tr>
      <w:tr>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CP-031</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HU-06</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Mostrar la arquitectura y las versiones detectadas</w:t>
            </w:r>
          </w:p>
        </w:tc>
      </w:tr>
      <w:tr>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CP-035</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HU-07</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Mostrar el inventario en pestañas</w:t>
            </w:r>
          </w:p>
        </w:tc>
      </w:tr>
      <w:tr>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CP-043</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HU-08</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Actualizar el resumen al marcar módulos</w:t>
            </w:r>
          </w:p>
        </w:tc>
      </w:tr>
      <w:tr>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CP-049</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HU-09</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Agregar y editar sociedades</w:t>
            </w:r>
          </w:p>
        </w:tc>
      </w:tr>
      <w:tr>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CP-065</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HU-11</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Asignar cuentas filtradas por plan</w:t>
            </w:r>
          </w:p>
        </w:tc>
      </w:tr>
      <w:tr>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CP-079</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HU-13</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Confirmar la generación con el total de objetos</w:t>
            </w:r>
          </w:p>
        </w:tc>
      </w:tr>
      <w:tr>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CP-086</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HU-14</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Mostrar el resumen y Ver reportes al terminar</w:t>
            </w:r>
          </w:p>
        </w:tc>
      </w:tr>
      <w:tr>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CP-089</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HU-15</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Activar 0FI_GL_14 y crear los InfoProviders</w:t>
            </w:r>
          </w:p>
        </w:tc>
      </w:tr>
      <w:tr>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CP-157</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HU-27</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Mostrar la cantidad de registros importados</w:t>
            </w:r>
          </w:p>
        </w:tc>
      </w:tr>
      <w:tr>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CP-167</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HU-29</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Eliminar las transacciones intercompañía</w:t>
            </w:r>
          </w:p>
        </w:tc>
      </w:tr>
      <w:tr>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CP-172</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HU-30</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Mostrar el resumen de las dos monedas</w:t>
            </w:r>
          </w:p>
        </w:tc>
      </w:tr>
      <w:tr>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CP-256</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HU-44</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Abrir y actualizar la ola 1 con EPM</w:t>
            </w:r>
          </w:p>
        </w:tc>
      </w:tr>
    </w:tbl>
    <w:p>
      <w:pPr>
        <w:spacing w:after="0"/>
      </w:pPr>
    </w:p>
    <w:p>
      <w:pPr>
        <w:spacing w:before="0" w:after="120" w:line="288" w:lineRule="auto"/>
        <w:jc w:val="both"/>
      </w:pPr>
      <w:r>
        <w:rPr>
          <w:rFonts w:ascii="Ubuntu" w:hAnsi="Ubuntu" w:cs="Ubuntu"/>
          <w:sz w:val="22"/>
          <w:szCs w:val="22"/>
        </w:rPr>
        <w:t xml:space="preserve">La regresión completa corre por release; los casos de BW/4HANA corren cuando el ambiente QA está encendido.</w:t>
      </w:r>
    </w:p>
    <w:p>
      <w:pPr>
        <w:pStyle w:val="Heading1"/>
        <w:spacing w:before="360" w:after="160"/>
        <w:jc w:val="left"/>
      </w:pPr>
      <w:r>
        <w:rPr>
          <w:rFonts w:ascii="Ubuntu" w:hAnsi="Ubuntu" w:cs="Ubuntu"/>
          <w:b/>
          <w:bCs/>
          <w:color w:val="365F91"/>
          <w:sz w:val="32"/>
          <w:szCs w:val="32"/>
        </w:rPr>
        <w:t xml:space="preserve">3. Criterios de entrada y salida de QA</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2000"/>
        <w:gridCol w:w="6838"/>
      </w:tblGrid>
      <w:tr>
        <w:trPr>
          <w:tblHeader/>
        </w:trPr>
        <w:tc>
          <w:tcPr>
            <w:tcW w:w="2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Criterio</w:t>
            </w:r>
          </w:p>
        </w:tc>
        <w:tc>
          <w:tcPr>
            <w:tcW w:w="68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Condición</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Entrada</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Historia con su DoD cumplida (incluidas las pruebas unitarias), pipeline en verde, build desplegado en QA y datos de prueba cargados.</w:t>
            </w:r>
          </w:p>
        </w:tc>
      </w:tr>
      <w:tr>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Salida (gate F9)</w:t>
            </w:r>
          </w:p>
        </w:tc>
        <w:tc>
          <w:tcPr>
            <w:tcW w:w="68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100 % de los casos ejecutados, 0 defectos críticos o altos abiertos, prueba de frescura de la carga delta dentro del umbral, DAST sin hallazgos altos y ASVS nivel 2 sin hallazgos altos abiertos.</w:t>
            </w:r>
          </w:p>
        </w:tc>
      </w:tr>
    </w:tbl>
    <w:p>
      <w:pPr>
        <w:spacing w:after="0"/>
      </w:pPr>
    </w:p>
    <w:p>
      <w:pPr>
        <w:pStyle w:val="Heading1"/>
        <w:spacing w:before="360" w:after="160"/>
        <w:jc w:val="left"/>
      </w:pPr>
      <w:r>
        <w:rPr>
          <w:rFonts w:ascii="Ubuntu" w:hAnsi="Ubuntu" w:cs="Ubuntu"/>
          <w:b/>
          <w:bCs/>
          <w:color w:val="365F91"/>
          <w:sz w:val="32"/>
          <w:szCs w:val="32"/>
        </w:rPr>
        <w:t xml:space="preserve">4. Ambientes y datos de prueba</w:t>
      </w:r>
    </w:p>
    <w:p>
      <w:pPr>
        <w:pStyle w:val="Heading2"/>
        <w:spacing w:before="240" w:after="120"/>
        <w:jc w:val="left"/>
      </w:pPr>
      <w:r>
        <w:rPr>
          <w:rFonts w:ascii="Ubuntu" w:hAnsi="Ubuntu" w:cs="Ubuntu"/>
          <w:b/>
          <w:bCs/>
          <w:color w:val="365F91"/>
          <w:sz w:val="28"/>
          <w:szCs w:val="28"/>
        </w:rPr>
        <w:t xml:space="preserve">4.1 Ambientes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1200"/>
        <w:gridCol w:w="3638"/>
        <w:gridCol w:w="4000"/>
      </w:tblGrid>
      <w:tr>
        <w:trPr>
          <w:tblHeader/>
        </w:trPr>
        <w:tc>
          <w:tcPr>
            <w:tcW w:w="12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Ambiente</w:t>
            </w:r>
          </w:p>
        </w:tc>
        <w:tc>
          <w:tcPr>
            <w:tcW w:w="36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Infraestructura (Arquitectura v1.0)</w:t>
            </w:r>
          </w:p>
        </w:tc>
        <w:tc>
          <w:tcPr>
            <w:tcW w:w="4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Uso en las pruebas</w:t>
            </w:r>
          </w:p>
        </w:tc>
      </w:tr>
      <w:tr>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DEV</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Equipo del desarrollador y sandbox SAP de arquitectura A (BW 7.5, BPC 10.1)</w:t>
            </w:r>
          </w:p>
        </w:tc>
        <w:tc>
          <w:tcPr>
            <w:tcW w:w="4000" w:type="dxa"/>
            <w:tcMar>
              <w:top w:w="80" w:type="dxa"/>
              <w:left w:w="120" w:type="dxa"/>
              <w:bottom w:w="80" w:type="dxa"/>
              <w:right w:w="120" w:type="dxa"/>
            </w:tcMar>
            <w:vAlign w:val="center"/>
          </w:tcPr>
          <w:p>
            <w:pPr>
              <w:spacing w:after="0"/>
              <w:jc w:val="both"/>
            </w:pPr>
            <w:r>
              <w:rPr>
                <w:rFonts w:ascii="Ubuntu" w:hAnsi="Ubuntu" w:cs="Ubuntu"/>
                <w:sz w:val="21"/>
                <w:szCs w:val="21"/>
              </w:rPr>
              <w:t xml:space="preserve">Pruebas unitarias y de integración; ejecución de QA de la variante BW 7.5 en una ventana reservada del sandbox.</w:t>
            </w:r>
          </w:p>
        </w:tc>
      </w:tr>
      <w:tr>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QA</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BW/4HANA con BPC 2021 modelo estándar en SAP CAL sobre Azure, encendido bajo demanda</w:t>
            </w:r>
          </w:p>
        </w:tc>
        <w:tc>
          <w:tcPr>
            <w:tcW w:w="4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Certificación de la variante BW/4HANA, regresión por release y pruebas no funcionales.</w:t>
            </w:r>
          </w:p>
        </w:tc>
      </w:tr>
      <w:tr>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UAT</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Sistema de calidad del primer cliente piloto</w:t>
            </w:r>
          </w:p>
        </w:tc>
        <w:tc>
          <w:tcPr>
            <w:tcW w:w="4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Suite de humo y UAT del cliente (F9).</w:t>
            </w:r>
          </w:p>
        </w:tc>
      </w:tr>
      <w:tr>
        <w:tc>
          <w:tcPr>
            <w:tcW w:w="1200" w:type="dxa"/>
            <w:tcMar>
              <w:top w:w="80" w:type="dxa"/>
              <w:left w:w="120" w:type="dxa"/>
              <w:bottom w:w="80" w:type="dxa"/>
              <w:right w:w="120" w:type="dxa"/>
            </w:tcMar>
            <w:vAlign w:val="center"/>
          </w:tcPr>
          <w:p>
            <w:pPr>
              <w:spacing w:after="0"/>
              <w:jc w:val="both"/>
            </w:pPr>
            <w:r>
              <w:rPr>
                <w:rFonts w:ascii="Ubuntu" w:hAnsi="Ubuntu" w:cs="Ubuntu"/>
                <w:sz w:val="21"/>
                <w:szCs w:val="21"/>
              </w:rPr>
              <w:t xml:space="preserve">Agente de pruebas</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VM Windows del pipeline con Excel y EPM add-in</w:t>
            </w:r>
          </w:p>
        </w:tc>
        <w:tc>
          <w:tcPr>
            <w:tcW w:w="40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Casos de reportes y plantillas EPM.</w:t>
            </w:r>
          </w:p>
        </w:tc>
      </w:tr>
    </w:tbl>
    <w:p>
      <w:pPr>
        <w:spacing w:after="0"/>
      </w:pPr>
    </w:p>
    <w:p>
      <w:pPr>
        <w:pStyle w:val="Heading2"/>
        <w:spacing w:before="240" w:after="120"/>
        <w:jc w:val="left"/>
      </w:pPr>
      <w:r>
        <w:rPr>
          <w:rFonts w:ascii="Ubuntu" w:hAnsi="Ubuntu" w:cs="Ubuntu"/>
          <w:b/>
          <w:bCs/>
          <w:color w:val="365F91"/>
          <w:sz w:val="28"/>
          <w:szCs w:val="28"/>
        </w:rPr>
        <w:t xml:space="preserve">4.2 Datos de prueba</w:t>
      </w:r>
    </w:p>
    <w:p>
      <w:pPr>
        <w:spacing w:before="0" w:after="120" w:line="288" w:lineRule="auto"/>
        <w:jc w:val="both"/>
      </w:pPr>
      <w:r>
        <w:rPr>
          <w:rFonts w:ascii="Ubuntu" w:hAnsi="Ubuntu" w:cs="Ubuntu"/>
          <w:sz w:val="22"/>
          <w:szCs w:val="22"/>
        </w:rPr>
        <w:t xml:space="preserve">Todos los datos de prueba son sintéticos: no se usan datos reales de clientes en DEV ni en QA. En UAT los datos son del cliente y no salen de su sistema; los archivos no SAP se borran del equipo después de cargarlos (Arquitectura, dominio Cumplimiento). Un script del repositorio genera el Grupo Demo en el sandbox y en el ambiente QA:</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1100"/>
        <w:gridCol w:w="2238"/>
        <w:gridCol w:w="1000"/>
        <w:gridCol w:w="1400"/>
        <w:gridCol w:w="2000"/>
        <w:gridCol w:w="1100"/>
      </w:tblGrid>
      <w:tr>
        <w:trPr>
          <w:tblHeader/>
        </w:trPr>
        <w:tc>
          <w:tcPr>
            <w:tcW w:w="1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Sociedad</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Nombre</w:t>
            </w:r>
          </w:p>
        </w:tc>
        <w:tc>
          <w:tcPr>
            <w:tcW w:w="1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En SAP</w:t>
            </w:r>
          </w:p>
        </w:tc>
        <w:tc>
          <w:tcPr>
            <w:tcW w:w="1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Moneda local</w:t>
            </w:r>
          </w:p>
        </w:tc>
        <w:tc>
          <w:tcPr>
            <w:tcW w:w="2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Método</w:t>
            </w:r>
          </w:p>
        </w:tc>
        <w:tc>
          <w:tcPr>
            <w:tcW w:w="1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 propiedad</w:t>
            </w:r>
          </w:p>
        </w:tc>
      </w:tr>
      <w:tr>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D100</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Matriz Demo</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Sí</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COP</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Matriz</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100</w:t>
            </w:r>
          </w:p>
        </w:tc>
      </w:tr>
      <w:tr>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D200</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Filial Demo US</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Sí</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USD</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Integración global</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80</w:t>
            </w:r>
          </w:p>
        </w:tc>
      </w:tr>
      <w:tr>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D300</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Coligada Demo</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Sí</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COP</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Participación</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w:t>
            </w:r>
          </w:p>
        </w:tc>
      </w:tr>
      <w:tr>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D400</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Filial No SAP</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COP</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Integración global</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100</w:t>
            </w:r>
          </w:p>
        </w:tc>
      </w:tr>
      <w:tr>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D900</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Sociedad Inactiva</w:t>
            </w:r>
          </w:p>
        </w:tc>
        <w:tc>
          <w:tcPr>
            <w:tcW w:w="1000" w:type="dxa"/>
            <w:tcMar>
              <w:top w:w="80" w:type="dxa"/>
              <w:left w:w="120" w:type="dxa"/>
              <w:bottom w:w="80" w:type="dxa"/>
              <w:right w:w="120" w:type="dxa"/>
            </w:tcMar>
            <w:vAlign w:val="center"/>
          </w:tcPr>
          <w:p>
            <w:pPr>
              <w:spacing w:after="0"/>
              <w:jc w:val="both"/>
            </w:pPr>
            <w:r>
              <w:rPr>
                <w:rFonts w:ascii="Ubuntu" w:hAnsi="Ubuntu" w:cs="Ubuntu"/>
                <w:sz w:val="21"/>
                <w:szCs w:val="21"/>
              </w:rPr>
              <w:t xml:space="preserve">Sí</w:t>
            </w:r>
          </w:p>
        </w:tc>
        <w:tc>
          <w:tcPr>
            <w:tcW w:w="1400" w:type="dxa"/>
            <w:tcMar>
              <w:top w:w="80" w:type="dxa"/>
              <w:left w:w="120" w:type="dxa"/>
              <w:bottom w:w="80" w:type="dxa"/>
              <w:right w:w="120" w:type="dxa"/>
            </w:tcMar>
            <w:vAlign w:val="center"/>
          </w:tcPr>
          <w:p>
            <w:pPr>
              <w:spacing w:after="0"/>
              <w:jc w:val="both"/>
            </w:pPr>
            <w:r>
              <w:rPr>
                <w:rFonts w:ascii="Ubuntu" w:hAnsi="Ubuntu" w:cs="Ubuntu"/>
                <w:sz w:val="21"/>
                <w:szCs w:val="21"/>
              </w:rPr>
              <w:t xml:space="preserve">COP</w:t>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Fuera del perímetro</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0</w:t>
            </w:r>
          </w:p>
        </w:tc>
      </w:tr>
    </w:tbl>
    <w:p>
      <w:pPr>
        <w:spacing w:after="0"/>
      </w:pP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Planes de cuentas CO01 (D100, D300, D400, D900) y US01 (D200), con CeCo, CeBe y jerarquía sintéticos.</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Movimientos del periodo 2026.06 con transacciones intercompañía entre D100, D200 y D300; periodos 2026.07 y 2026.08 para los cambios de participación.</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Tasas de cierre, promedio e histórica COP/USD de 2026.06 a 2026.08.</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Archivos no SAP de D400: válido, con errores, descuadrado y de volumen (100.000 filas).</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Presupuesto sintético 2027 en el ERP para las versiones anual, 3+9 y 6+6.</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Tolerancia de cuadre 1,00 y umbral de conciliación 1.000,00 en moneda local: valores provisionales hasta cerrar la pregunta 14 del DAF; los casos de límite se ajustan a los definitivos.</w:t>
      </w:r>
    </w:p>
    <w:p>
      <w:pPr>
        <w:pStyle w:val="Heading1"/>
        <w:spacing w:before="360" w:after="160"/>
        <w:jc w:val="left"/>
      </w:pPr>
      <w:r>
        <w:rPr>
          <w:rFonts w:ascii="Ubuntu" w:hAnsi="Ubuntu" w:cs="Ubuntu"/>
          <w:b/>
          <w:bCs/>
          <w:color w:val="365F91"/>
          <w:sz w:val="32"/>
          <w:szCs w:val="32"/>
        </w:rPr>
        <w:t xml:space="preserve">5. Casos de prueba funcionales</w:t>
      </w:r>
    </w:p>
    <w:p>
      <w:pPr>
        <w:spacing w:before="0" w:after="120" w:line="288" w:lineRule="auto"/>
        <w:jc w:val="both"/>
      </w:pPr>
      <w:r>
        <w:rPr>
          <w:rFonts w:ascii="Ubuntu" w:hAnsi="Ubuntu" w:cs="Ubuntu"/>
          <w:sz w:val="22"/>
          <w:szCs w:val="22"/>
        </w:rPr>
        <w:t xml:space="preserve">Cada historia lista sus casos: uno por criterio de aceptación (funcional), los negativos que derivan de las excepciones y de los estados de las pantallas, y los de límite de las reglas con umbral. El resultado esperado de un caso funcional es el criterio de aceptación. Los casos no funcionales y de resiliencia de cada historia se detallan en la sección 6. Total de la sección: 279 casos.</w:t>
      </w:r>
    </w:p>
    <w:p>
      <w:r>
        <w:br w:type="page"/>
      </w:r>
    </w:p>
    <w:p>
      <w:pPr>
        <w:pStyle w:val="Heading2"/>
        <w:spacing w:before="240" w:after="120"/>
        <w:jc w:val="left"/>
      </w:pPr>
      <w:r>
        <w:rPr>
          <w:rFonts w:ascii="Ubuntu" w:hAnsi="Ubuntu" w:cs="Ubuntu"/>
          <w:b/>
          <w:bCs/>
          <w:color w:val="365F91"/>
          <w:sz w:val="28"/>
          <w:szCs w:val="28"/>
        </w:rPr>
        <w:t xml:space="preserve">5.1 E1 — Conexión y diagnóstico</w:t>
      </w:r>
    </w:p>
    <w:p>
      <w:pPr>
        <w:spacing w:before="0" w:after="120" w:line="288" w:lineRule="auto"/>
        <w:jc w:val="both"/>
      </w:pPr>
      <w:r>
        <w:rPr>
          <w:rFonts w:ascii="Ubuntu" w:hAnsi="Ubuntu" w:cs="Ubuntu"/>
          <w:sz w:val="22"/>
          <w:szCs w:val="22"/>
        </w:rPr>
        <w:t xml:space="preserve">7 historias · 38 casos · precondición general: Configurador instalado en el equipo de pruebas. Sandbox de arquitectura A (BW 7.5 con BPC 10.1 modelo estándar) con el paquete Z importado y el usuario técnico de prueba con el rol Z del acelerador.</w:t>
      </w:r>
    </w:p>
    <w:p>
      <w:pPr>
        <w:pStyle w:val="Heading3"/>
        <w:spacing w:before="240" w:after="120"/>
        <w:jc w:val="left"/>
      </w:pPr>
      <w:r>
        <w:rPr>
          <w:rFonts w:ascii="Ubuntu" w:hAnsi="Ubuntu" w:cs="Ubuntu"/>
          <w:b/>
          <w:bCs/>
          <w:color w:val="365F91"/>
          <w:sz w:val="24"/>
          <w:szCs w:val="24"/>
        </w:rPr>
        <w:t xml:space="preserve">HU-01 — Spike: prueba técnica de inyección en la arquitectura A</w:t>
      </w:r>
    </w:p>
    <w:p>
      <w:pPr>
        <w:spacing w:before="0" w:after="120" w:line="288" w:lineRule="auto"/>
        <w:jc w:val="both"/>
      </w:pPr>
      <w:r>
        <w:rPr>
          <w:rFonts w:ascii="Ubuntu" w:hAnsi="Ubuntu" w:cs="Ubuntu"/>
          <w:b/>
          <w:bCs/>
          <w:sz w:val="22"/>
          <w:szCs w:val="22"/>
        </w:rPr>
        <w:t xml:space="preserve">Precondición: </w:t>
      </w:r>
      <w:r>
        <w:rPr>
          <w:rFonts w:ascii="Ubuntu" w:hAnsi="Ubuntu" w:cs="Ubuntu"/>
          <w:sz w:val="22"/>
          <w:szCs w:val="22"/>
        </w:rPr>
        <w:t xml:space="preserve">Sandbox de arquitectura A (BW 7.5 con BPC 10.1 modelo estándar) con el paquete Z importado y el usuario técnico de prueba con el rol Z del acelerador. Sin el configurador: el spike usa las llamadas RFC directas.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CP-001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Ejecutar el spike con el usuario técnico sin SAP_ALL</w:t>
            </w:r>
            <w:r>
              <w:rPr>
                <w:rFonts w:ascii="Ubuntu" w:hAnsi="Ubuntu" w:cs="Ubuntu"/>
                <w:sz w:val="22"/>
                <w:szCs w:val="22"/>
              </w:rPr>
              <w:t xml:space="preserve"> (HU-01 / criterio 1 · Funcional)</w:t>
            </w:r>
            <w:r>
              <w:rPr>
                <w:rFonts w:ascii="Ubuntu" w:hAnsi="Ubuntu" w:cs="Ubuntu"/>
                <w:i/>
                <w:iCs/>
                <w:sz w:val="22"/>
                <w:szCs w:val="22"/>
              </w:rPr>
              <w:t xml:space="preserve"> Manual: Spike de ejecución única: automatizarlo cuesta más que ejecutarlo una vez. Las mismas llamadas RFC quedan automatizadas en los casos de resiliencia de INT-02 e INT-03.</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Consultar en SU01 los roles y perfiles del usuario técnico. 2) Ejecutar la prueba técnica de inyección con ese usuario. 3) Revisar el resultado de cada llamada RFC.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prueba se ejecuta en el ambiente de arquitectura A con el usuario técnico del cliente, sin permisos SAP_ALL (RNF-Seg-03).</w:t>
            </w:r>
          </w:p>
        </w:tc>
        <w:tc>
          <w:tcPr>
            <w:tcW w:w="800" w:type="dxa"/>
            <w:shd w:val="clear" w:color="auto" w:fill="FFF3CD"/>
            <w:tcMar>
              <w:top w:w="80" w:type="dxa"/>
              <w:left w:w="120" w:type="dxa"/>
              <w:bottom w:w="80" w:type="dxa"/>
              <w:right w:w="120" w:type="dxa"/>
            </w:tcMar>
            <w:vAlign w:val="center"/>
          </w:tcPr>
          <w:p>
            <w:pPr>
              <w:spacing w:after="0"/>
              <w:jc w:val="center"/>
            </w:pPr>
            <w:r>
              <w:rPr>
                <w:rFonts w:ascii="Ubuntu" w:hAnsi="Ubuntu" w:cs="Ubuntu"/>
                <w:sz w:val="21"/>
                <w:szCs w:val="21"/>
              </w:rPr>
              <w:t xml:space="preserve">Manual</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CP-002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Crear por RFC un objeto en BW y un miembro en BPC</w:t>
            </w:r>
            <w:r>
              <w:rPr>
                <w:rFonts w:ascii="Ubuntu" w:hAnsi="Ubuntu" w:cs="Ubuntu"/>
                <w:sz w:val="22"/>
                <w:szCs w:val="22"/>
              </w:rPr>
              <w:t xml:space="preserve"> (HU-01 / criterio 2 · Funcional)</w:t>
            </w:r>
            <w:r>
              <w:rPr>
                <w:rFonts w:ascii="Ubuntu" w:hAnsi="Ubuntu" w:cs="Ubuntu"/>
                <w:i/>
                <w:iCs/>
                <w:sz w:val="22"/>
                <w:szCs w:val="22"/>
              </w:rPr>
              <w:t xml:space="preserve"> Manual: Spike de ejecución única: automatizarlo cuesta más que ejecutarlo una vez. Las mismas llamadas RFC quedan automatizadas en los casos de resiliencia de INT-02 e INT-03.</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Invocar el módulo Z de creación con el InfoObject de prueba ZQA_TEST. 2) Invocar el módulo Z de BPC para crear el miembro QA_TEST en la dimensión de prueba. 3) Buscar ambos objetos en RSA1 y en la administración de BPC desde SAP GUI.</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crea por RFC un objeto de prueba en BW y un miembro de dimensión en BPC, y se verifica su existencia desde SAP GUI.</w:t>
            </w:r>
          </w:p>
        </w:tc>
        <w:tc>
          <w:tcPr>
            <w:tcW w:w="800" w:type="dxa"/>
            <w:shd w:val="clear" w:color="auto" w:fill="FFF3CD"/>
            <w:tcMar>
              <w:top w:w="80" w:type="dxa"/>
              <w:left w:w="120" w:type="dxa"/>
              <w:bottom w:w="80" w:type="dxa"/>
              <w:right w:w="120" w:type="dxa"/>
            </w:tcMar>
            <w:vAlign w:val="center"/>
          </w:tcPr>
          <w:p>
            <w:pPr>
              <w:spacing w:after="0"/>
              <w:jc w:val="center"/>
            </w:pPr>
            <w:r>
              <w:rPr>
                <w:rFonts w:ascii="Ubuntu" w:hAnsi="Ubuntu" w:cs="Ubuntu"/>
                <w:sz w:val="21"/>
                <w:szCs w:val="21"/>
              </w:rPr>
              <w:t xml:space="preserve">Manual</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CP-003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Generar y restaurar un respaldo UJBR</w:t>
            </w:r>
            <w:r>
              <w:rPr>
                <w:rFonts w:ascii="Ubuntu" w:hAnsi="Ubuntu" w:cs="Ubuntu"/>
                <w:sz w:val="22"/>
                <w:szCs w:val="22"/>
              </w:rPr>
              <w:t xml:space="preserve"> (HU-01 / criterio 3 · Funcional)</w:t>
            </w:r>
            <w:r>
              <w:rPr>
                <w:rFonts w:ascii="Ubuntu" w:hAnsi="Ubuntu" w:cs="Ubuntu"/>
                <w:i/>
                <w:iCs/>
                <w:sz w:val="22"/>
                <w:szCs w:val="22"/>
              </w:rPr>
              <w:t xml:space="preserve"> Manual: Spike de ejecución única: automatizarlo cuesta más que ejecutarlo una vez. El respaldo UJBR antes de cambiar BPC queda automatizado en HU-28.</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Generar el respaldo UJBR del ambiente BPC de prueba. 2) Borrar el miembro QA_TEST. 3) Restaurar el respaldo con UJBR. 4) Consultar la dimensión de prueba.</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genera y restaura un respaldo UJBR del ambiente BPC de prueba.</w:t>
            </w:r>
          </w:p>
        </w:tc>
        <w:tc>
          <w:tcPr>
            <w:tcW w:w="800" w:type="dxa"/>
            <w:shd w:val="clear" w:color="auto" w:fill="FFF3CD"/>
            <w:tcMar>
              <w:top w:w="80" w:type="dxa"/>
              <w:left w:w="120" w:type="dxa"/>
              <w:bottom w:w="80" w:type="dxa"/>
              <w:right w:w="120" w:type="dxa"/>
            </w:tcMar>
            <w:vAlign w:val="center"/>
          </w:tcPr>
          <w:p>
            <w:pPr>
              <w:spacing w:after="0"/>
              <w:jc w:val="center"/>
            </w:pPr>
            <w:r>
              <w:rPr>
                <w:rFonts w:ascii="Ubuntu" w:hAnsi="Ubuntu" w:cs="Ubuntu"/>
                <w:sz w:val="21"/>
                <w:szCs w:val="21"/>
              </w:rPr>
              <w:t xml:space="preserve">Manual</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CP-004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Revisar la nota técnica del spike</w:t>
            </w:r>
            <w:r>
              <w:rPr>
                <w:rFonts w:ascii="Ubuntu" w:hAnsi="Ubuntu" w:cs="Ubuntu"/>
                <w:sz w:val="22"/>
                <w:szCs w:val="22"/>
              </w:rPr>
              <w:t xml:space="preserve"> (HU-01 / criterio 4 · Funcional)</w:t>
            </w:r>
            <w:r>
              <w:rPr>
                <w:rFonts w:ascii="Ubuntu" w:hAnsi="Ubuntu" w:cs="Ubuntu"/>
                <w:i/>
                <w:iCs/>
                <w:sz w:val="22"/>
                <w:szCs w:val="22"/>
              </w:rPr>
              <w:t xml:space="preserve"> Manual: Revisión documental de un entregable: no hay comportamiento de software que ejecutar.</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la nota técnica adjunta a HU-01 en Azure DevOps. 2) Buscar el resultado, los permisos mínimos y la recomendación.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entregable es una nota técnica con el resultado, los permisos mínimos requeridos y la recomendación (seguir o cambiar de mecanismo).</w:t>
            </w:r>
          </w:p>
        </w:tc>
        <w:tc>
          <w:tcPr>
            <w:tcW w:w="800" w:type="dxa"/>
            <w:shd w:val="clear" w:color="auto" w:fill="FFF3CD"/>
            <w:tcMar>
              <w:top w:w="80" w:type="dxa"/>
              <w:left w:w="120" w:type="dxa"/>
              <w:bottom w:w="80" w:type="dxa"/>
              <w:right w:w="120" w:type="dxa"/>
            </w:tcMar>
            <w:vAlign w:val="center"/>
          </w:tcPr>
          <w:p>
            <w:pPr>
              <w:spacing w:after="0"/>
              <w:jc w:val="center"/>
            </w:pPr>
            <w:r>
              <w:rPr>
                <w:rFonts w:ascii="Ubuntu" w:hAnsi="Ubuntu" w:cs="Ubuntu"/>
                <w:sz w:val="21"/>
                <w:szCs w:val="21"/>
              </w:rPr>
              <w:t xml:space="preserve">Manual</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CP-005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Verificar el límite de un sprint y el escalamiento</w:t>
            </w:r>
            <w:r>
              <w:rPr>
                <w:rFonts w:ascii="Ubuntu" w:hAnsi="Ubuntu" w:cs="Ubuntu"/>
                <w:sz w:val="22"/>
                <w:szCs w:val="22"/>
              </w:rPr>
              <w:t xml:space="preserve"> (HU-01 / criterio 5 · Funcional)</w:t>
            </w:r>
            <w:r>
              <w:rPr>
                <w:rFonts w:ascii="Ubuntu" w:hAnsi="Ubuntu" w:cs="Ubuntu"/>
                <w:i/>
                <w:iCs/>
                <w:sz w:val="22"/>
                <w:szCs w:val="22"/>
              </w:rPr>
              <w:t xml:space="preserve"> Manual: Verificación de gestión del sprint en Azure DevOps: no hay comportamiento de software que ejecutar.</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Revisar en Azure DevOps las fechas de inicio y cierre de HU-01. 2) Si el resultado fue fallido, buscar la decisión registrada antes del inicio de E3.</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duración está limitada a un sprint; si el mecanismo falla, la decisión se escala antes de iniciar E3.</w:t>
            </w:r>
          </w:p>
        </w:tc>
        <w:tc>
          <w:tcPr>
            <w:tcW w:w="800" w:type="dxa"/>
            <w:shd w:val="clear" w:color="auto" w:fill="FFF3CD"/>
            <w:tcMar>
              <w:top w:w="80" w:type="dxa"/>
              <w:left w:w="120" w:type="dxa"/>
              <w:bottom w:w="80" w:type="dxa"/>
              <w:right w:w="120" w:type="dxa"/>
            </w:tcMar>
            <w:vAlign w:val="center"/>
          </w:tcPr>
          <w:p>
            <w:pPr>
              <w:spacing w:after="0"/>
              <w:jc w:val="center"/>
            </w:pPr>
            <w:r>
              <w:rPr>
                <w:rFonts w:ascii="Ubuntu" w:hAnsi="Ubuntu" w:cs="Ubuntu"/>
                <w:sz w:val="21"/>
                <w:szCs w:val="21"/>
              </w:rPr>
              <w:t xml:space="preserve">Manual</w:t>
            </w:r>
          </w:p>
        </w:tc>
      </w:tr>
    </w:tbl>
    <w:p>
      <w:pPr>
        <w:spacing w:after="0"/>
      </w:pPr>
    </w:p>
    <w:p>
      <w:pPr>
        <w:pStyle w:val="Heading3"/>
        <w:spacing w:before="240" w:after="120"/>
        <w:jc w:val="left"/>
      </w:pPr>
      <w:r>
        <w:rPr>
          <w:rFonts w:ascii="Ubuntu" w:hAnsi="Ubuntu" w:cs="Ubuntu"/>
          <w:b/>
          <w:bCs/>
          <w:color w:val="365F91"/>
          <w:sz w:val="24"/>
          <w:szCs w:val="24"/>
        </w:rPr>
        <w:t xml:space="preserve">HU-02 — Gestionar clientes</w:t>
      </w:r>
    </w:p>
    <w:p>
      <w:pPr>
        <w:spacing w:before="0" w:after="120" w:line="288" w:lineRule="auto"/>
        <w:jc w:val="both"/>
      </w:pPr>
      <w:r>
        <w:rPr>
          <w:rFonts w:ascii="Ubuntu" w:hAnsi="Ubuntu" w:cs="Ubuntu"/>
          <w:b/>
          <w:bCs/>
          <w:sz w:val="22"/>
          <w:szCs w:val="22"/>
        </w:rPr>
        <w:t xml:space="preserve">Precondición: </w:t>
      </w:r>
      <w:r>
        <w:rPr>
          <w:rFonts w:ascii="Ubuntu" w:hAnsi="Ubuntu" w:cs="Ubuntu"/>
          <w:sz w:val="22"/>
          <w:szCs w:val="22"/>
        </w:rPr>
        <w:t xml:space="preserve">Configurador instalado en el equipo de pruebas con la base local vacía.</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CP-006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Listar los clientes con sus columnas</w:t>
            </w:r>
            <w:r>
              <w:rPr>
                <w:rFonts w:ascii="Ubuntu" w:hAnsi="Ubuntu" w:cs="Ubuntu"/>
                <w:sz w:val="22"/>
                <w:szCs w:val="22"/>
              </w:rPr>
              <w:t xml:space="preserve"> (HU-02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Crear dos clientes de arquitectura A en pasos distintos. 2) Abrir UX-01. 3) Leer las columnas y valores de la tabla.</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UX-01 se listan los clientes con arquitectura, paso actual, estado, última ejecución y usuario.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CP-007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Exigir un nombre de cliente único</w:t>
            </w:r>
            <w:r>
              <w:rPr>
                <w:rFonts w:ascii="Ubuntu" w:hAnsi="Ubuntu" w:cs="Ubuntu"/>
                <w:sz w:val="22"/>
                <w:szCs w:val="22"/>
              </w:rPr>
              <w:t xml:space="preserve"> (HU-02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Pulsar Nuevo cliente y dejar el nombre vacío. 2) Pulsar Crear. 3) Escribir el nombre de un cliente existente y pulsar Crear.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botón Nuevo cliente pide el nombre; el nombre es obligatorio y no puede repetir uno existente.</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CP-008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Crear un cliente y pasar a Conexiones</w:t>
            </w:r>
            <w:r>
              <w:rPr>
                <w:rFonts w:ascii="Ubuntu" w:hAnsi="Ubuntu" w:cs="Ubuntu"/>
                <w:sz w:val="22"/>
                <w:szCs w:val="22"/>
              </w:rPr>
              <w:t xml:space="preserve"> (HU-02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Pulsar Nuevo cliente. 2) Escribir «Cliente QA Demo». 3) Pulsar Crear.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Al crear el cliente, el sistema lleva a UX-02 Conexiones.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 · Humo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CP-009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vacío sin clientes</w:t>
            </w:r>
            <w:r>
              <w:rPr>
                <w:rFonts w:ascii="Ubuntu" w:hAnsi="Ubuntu" w:cs="Ubuntu"/>
                <w:sz w:val="22"/>
                <w:szCs w:val="22"/>
              </w:rPr>
              <w:t xml:space="preserve"> (HU-02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UX-01 con la base local vacía.</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Sin clientes se muestra «Aún no hay clientes. Crea el primero para empezar.»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CP-010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Filtrar clientes por nombre</w:t>
            </w:r>
            <w:r>
              <w:rPr>
                <w:rFonts w:ascii="Ubuntu" w:hAnsi="Ubuntu" w:cs="Ubuntu"/>
                <w:sz w:val="22"/>
                <w:szCs w:val="22"/>
              </w:rPr>
              <w:t xml:space="preserve"> (HU-02 / criterio 5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Crear los clientes «Demo Uno», «Demo Dos» y «Piloto». 2) Escribir «Demo» en Buscar.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búsqueda filtra la lista por nombre.</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CP-011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Ejecutar el configurador sin servidores adicionales</w:t>
            </w:r>
            <w:r>
              <w:rPr>
                <w:rFonts w:ascii="Ubuntu" w:hAnsi="Ubuntu" w:cs="Ubuntu"/>
                <w:sz w:val="22"/>
                <w:szCs w:val="22"/>
              </w:rPr>
              <w:t xml:space="preserve"> (HU-02 / criterio 6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Iniciar el configurador en el equipo de pruebas. 2) Listar con netstat los puertos en escucha del proceso. 3) Revisar las conexiones salientes del proceso hacia hosts distintos del SAP del cliente.</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el prototipo, el configurador se ejecuta en el equipo del Consultor implementador sin servidores adicionales (RNF-Comp-03).</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CP-012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UX-01 Clientes</w:t>
            </w:r>
            <w:r>
              <w:rPr>
                <w:rFonts w:ascii="Ubuntu" w:hAnsi="Ubuntu" w:cs="Ubuntu"/>
                <w:sz w:val="22"/>
                <w:szCs w:val="22"/>
              </w:rPr>
              <w:t xml:space="preserve"> (UX-01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Activar el doble de prueba con 5 s de retardo en la respuesta de la lista de clientes. 2) Abrir UX-01.</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filas esqueleto.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CP-013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error de UX-01 Clientes</w:t>
            </w:r>
            <w:r>
              <w:rPr>
                <w:rFonts w:ascii="Ubuntu" w:hAnsi="Ubuntu" w:cs="Ubuntu"/>
                <w:sz w:val="22"/>
                <w:szCs w:val="22"/>
              </w:rPr>
              <w:t xml:space="preserve"> (UX-01 / estado error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Activar el doble de prueba que hace fallar la lectura de la base local. 2) Abrir UX-01. 3) Restaurar la base y pulsar Reintentar.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«No se pudo cargar la lista de clientes» con Reintentar.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HU-03 — Registrar y probar conexiones a SAP</w:t>
      </w:r>
    </w:p>
    <w:p>
      <w:pPr>
        <w:spacing w:before="0" w:after="120" w:line="288" w:lineRule="auto"/>
        <w:jc w:val="both"/>
      </w:pPr>
      <w:r>
        <w:rPr>
          <w:rFonts w:ascii="Ubuntu" w:hAnsi="Ubuntu" w:cs="Ubuntu"/>
          <w:b/>
          <w:bCs/>
          <w:sz w:val="22"/>
          <w:szCs w:val="22"/>
        </w:rPr>
        <w:t xml:space="preserve">Precondición: </w:t>
      </w:r>
      <w:r>
        <w:rPr>
          <w:rFonts w:ascii="Ubuntu" w:hAnsi="Ubuntu" w:cs="Ubuntu"/>
          <w:sz w:val="22"/>
          <w:szCs w:val="22"/>
        </w:rPr>
        <w:t xml:space="preserve">Cliente QA Demo creado. Sandbox de arquitectura A (BW 7.5 con BPC 10.1 modelo estándar) con el paquete Z importado y el usuario técnico de prueba con el rol Z del acelerador.</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CP-015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Exigir los campos de conexión de cada sistema</w:t>
            </w:r>
            <w:r>
              <w:rPr>
                <w:rFonts w:ascii="Ubuntu" w:hAnsi="Ubuntu" w:cs="Ubuntu"/>
                <w:sz w:val="22"/>
                <w:szCs w:val="22"/>
              </w:rPr>
              <w:t xml:space="preserve"> (HU-03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UX-02. 2) Dejar vacío, uno a la vez, host, mandante, usuario técnico y credencial de la tarjeta ERP. 3) Intentar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UX-02 cada sistema tiene su tarjeta con host, mandante, usuario técnico y credencial, todos obligatorios.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CP-016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Probar una conexión exitosa y una fallida</w:t>
            </w:r>
            <w:r>
              <w:rPr>
                <w:rFonts w:ascii="Ubuntu" w:hAnsi="Ubuntu" w:cs="Ubuntu"/>
                <w:sz w:val="22"/>
                <w:szCs w:val="22"/>
              </w:rPr>
              <w:t xml:space="preserve"> (HU-03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Registrar datos válidos de BW y pulsar Probar conexión. 2) Cambiar el mandante por uno inexistente y pulsar Probar conexión.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Probar conexión muestra «Conexión exitosa» o «Fallida» con el mensaje que devuelve SAP.</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 · Humo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CP-017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Habilitar Continuar solo con conexiones exitosas</w:t>
            </w:r>
            <w:r>
              <w:rPr>
                <w:rFonts w:ascii="Ubuntu" w:hAnsi="Ubuntu" w:cs="Ubuntu"/>
                <w:sz w:val="22"/>
                <w:szCs w:val="22"/>
              </w:rPr>
              <w:t xml:space="preserve"> (HU-03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Dejar ERP exitosa y BW fallida. 2) Revisar el botón Continuar al diagnóstico. 3) Corregir BW, probar de nuevo y revisar el botón.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Continuar al diagnóstico solo se habilita con las conexiones requeridas en estado exitoso.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CP-018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Registrar cada prueba de conexión</w:t>
            </w:r>
            <w:r>
              <w:rPr>
                <w:rFonts w:ascii="Ubuntu" w:hAnsi="Ubuntu" w:cs="Ubuntu"/>
                <w:sz w:val="22"/>
                <w:szCs w:val="22"/>
              </w:rPr>
              <w:t xml:space="preserve"> (HU-03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Probar las conexiones de ERP, BW y BPC. 2) Abrir el registro de ejecuciones en UX-09 y filtrar por el cliente.</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prueba queda en el registro de ejecuciones (RNF-Aud-01).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CP-019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vacío de UX-02 Conexiones</w:t>
            </w:r>
            <w:r>
              <w:rPr>
                <w:rFonts w:ascii="Ubuntu" w:hAnsi="Ubuntu" w:cs="Ubuntu"/>
                <w:sz w:val="22"/>
                <w:szCs w:val="22"/>
              </w:rPr>
              <w:t xml:space="preserve"> (UX-02 / estado vacío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Crear un cliente nuevo. 2) Abrir UX-02 sin datos de conexión.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formulario sin datos y ayuda para pedir el usuario técnico al Administrador SAP del cliente.</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CP-020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UX-02 Conexiones</w:t>
            </w:r>
            <w:r>
              <w:rPr>
                <w:rFonts w:ascii="Ubuntu" w:hAnsi="Ubuntu" w:cs="Ubuntu"/>
                <w:sz w:val="22"/>
                <w:szCs w:val="22"/>
              </w:rPr>
              <w:t xml:space="preserve"> (UX-02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Activar el doble de prueba con 5 s de retardo en la respuesta de la llamada RFC de prueba de conexión. 2) Pulsar Probar conexión en la tarjeta BW.</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Probando… dentro de cada tarjeta.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HU-04 — Proteger las credenciales de conexión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CP-021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Enmascarar la credencial</w:t>
            </w:r>
            <w:r>
              <w:rPr>
                <w:rFonts w:ascii="Ubuntu" w:hAnsi="Ubuntu" w:cs="Ubuntu"/>
                <w:sz w:val="22"/>
                <w:szCs w:val="22"/>
              </w:rPr>
              <w:t xml:space="preserve"> (HU-04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UX-02 con una credencial guardada. 2) Revisar el campo credencial. 3) Pulsar Mostrar.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UX-02 la credencial se muestra enmascarada y solo se revela con Mostrar.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CP-022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Verificar que ningún archivo contiene la credencial</w:t>
            </w:r>
            <w:r>
              <w:rPr>
                <w:rFonts w:ascii="Ubuntu" w:hAnsi="Ubuntu" w:cs="Ubuntu"/>
                <w:sz w:val="22"/>
                <w:szCs w:val="22"/>
              </w:rPr>
              <w:t xml:space="preserve"> (HU-04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Registrar como credencial un valor centinela único. 2) Probar conexión y ejecutar el diagnóstico. 3) Buscar el centinela en la base SQLite, la configuración, los registros y los temporales del perfil.</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Ningún archivo de configuración ni registro contiene la credencial legible (RNF-Seg-02).</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CP-023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Revisar la documentación del rol técnico</w:t>
            </w:r>
            <w:r>
              <w:rPr>
                <w:rFonts w:ascii="Ubuntu" w:hAnsi="Ubuntu" w:cs="Ubuntu"/>
                <w:sz w:val="22"/>
                <w:szCs w:val="22"/>
              </w:rPr>
              <w:t xml:space="preserve"> (HU-04 / criterio 3 · Funcional)</w:t>
            </w:r>
            <w:r>
              <w:rPr>
                <w:rFonts w:ascii="Ubuntu" w:hAnsi="Ubuntu" w:cs="Ubuntu"/>
                <w:i/>
                <w:iCs/>
                <w:sz w:val="22"/>
                <w:szCs w:val="22"/>
              </w:rPr>
              <w:t xml:space="preserve"> Manual: Revisión documental del rol técnico. La ausencia de SAP_ALL en el usuario se automatiza en la prueba no funcional de RNF-Seg-03.</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la documentación del rol técnico. 2) Comparar los permisos por paso con los roles Z asignados en SU01. 3) Buscar SAP_ALL y SAP_NEW.</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documentación del rol técnico lista los permisos mínimos por paso, sin SAP_ALL (RNF-Seg-03).</w:t>
            </w:r>
          </w:p>
        </w:tc>
        <w:tc>
          <w:tcPr>
            <w:tcW w:w="800" w:type="dxa"/>
            <w:shd w:val="clear" w:color="auto" w:fill="FFF3CD"/>
            <w:tcMar>
              <w:top w:w="80" w:type="dxa"/>
              <w:left w:w="120" w:type="dxa"/>
              <w:bottom w:w="80" w:type="dxa"/>
              <w:right w:w="120" w:type="dxa"/>
            </w:tcMar>
            <w:vAlign w:val="center"/>
          </w:tcPr>
          <w:p>
            <w:pPr>
              <w:spacing w:after="0"/>
              <w:jc w:val="center"/>
            </w:pPr>
            <w:r>
              <w:rPr>
                <w:rFonts w:ascii="Ubuntu" w:hAnsi="Ubuntu" w:cs="Ubuntu"/>
                <w:sz w:val="21"/>
                <w:szCs w:val="21"/>
              </w:rPr>
              <w:t xml:space="preserve">Manual</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CP-024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No exponer la credencial en los errores</w:t>
            </w:r>
            <w:r>
              <w:rPr>
                <w:rFonts w:ascii="Ubuntu" w:hAnsi="Ubuntu" w:cs="Ubuntu"/>
                <w:sz w:val="22"/>
                <w:szCs w:val="22"/>
              </w:rPr>
              <w:t xml:space="preserve"> (HU-04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Registrar como credencial inválida un valor centinela único. 2) Pulsar Probar conexión. 3) Revisar el mensaje en pantalla y el registro de ejecuciones.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Una credencial inválida se reporta sin escribirla en el mensaje de error.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HU-05 — Validar la conexión ERP–BW</w:t>
      </w:r>
    </w:p>
    <w:p>
      <w:pPr>
        <w:spacing w:before="0" w:after="120" w:line="288" w:lineRule="auto"/>
        <w:jc w:val="both"/>
      </w:pPr>
      <w:r>
        <w:rPr>
          <w:rFonts w:ascii="Ubuntu" w:hAnsi="Ubuntu" w:cs="Ubuntu"/>
          <w:b/>
          <w:bCs/>
          <w:sz w:val="22"/>
          <w:szCs w:val="22"/>
        </w:rPr>
        <w:t xml:space="preserve">Precondición: </w:t>
      </w:r>
      <w:r>
        <w:rPr>
          <w:rFonts w:ascii="Ubuntu" w:hAnsi="Ubuntu" w:cs="Ubuntu"/>
          <w:sz w:val="22"/>
          <w:szCs w:val="22"/>
        </w:rPr>
        <w:t xml:space="preserve">Cliente QA Demo con ERP y BW registrados en sistemas separados y conexiones exitosas.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CP-027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validación ERP–BW con sistemas separados</w:t>
            </w:r>
            <w:r>
              <w:rPr>
                <w:rFonts w:ascii="Ubuntu" w:hAnsi="Ubuntu" w:cs="Ubuntu"/>
                <w:sz w:val="22"/>
                <w:szCs w:val="22"/>
              </w:rPr>
              <w:t xml:space="preserve"> (HU-05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UX-02 del cliente con ERP y BW en hosts distintos. 2) Buscar el botón Validar conexión ERP–BW.</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UX-02 el botón Validar conexión ERP–BW aparece solo si ERP y BW están en sistemas separados (RN-01).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CP-028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Registrar el resultado de la validación ERP–BW</w:t>
            </w:r>
            <w:r>
              <w:rPr>
                <w:rFonts w:ascii="Ubuntu" w:hAnsi="Ubuntu" w:cs="Ubuntu"/>
                <w:sz w:val="22"/>
                <w:szCs w:val="22"/>
              </w:rPr>
              <w:t xml:space="preserve"> (HU-05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Pulsar Validar conexión ERP–BW. 2) Abrir el registro de ejecuciones.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resultado de la validación queda registrado con fecha, usuario y mensaje.</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CP-029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Bloquear el avance si falla la validación ERP–BW</w:t>
            </w:r>
            <w:r>
              <w:rPr>
                <w:rFonts w:ascii="Ubuntu" w:hAnsi="Ubuntu" w:cs="Ubuntu"/>
                <w:sz w:val="22"/>
                <w:szCs w:val="22"/>
              </w:rPr>
              <w:t xml:space="preserve"> (HU-05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Desactivar en BW (RSA1) el sistema origen del ERP. 2) Pulsar Validar conexión ERP–BW. 3) Revisar Continuar al diagnóstico.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 la validación falla, se muestra el mensaje del sistema y Continuar al diagnóstico queda deshabilitado.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CP-030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Ocultar la validación ERP–BW con un solo sistema</w:t>
            </w:r>
            <w:r>
              <w:rPr>
                <w:rFonts w:ascii="Ubuntu" w:hAnsi="Ubuntu" w:cs="Ubuntu"/>
                <w:sz w:val="22"/>
                <w:szCs w:val="22"/>
              </w:rPr>
              <w:t xml:space="preserve"> (HU-05 / criterio 1 · excepción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Registrar ERP y BW con el mismo host y mandante. 2) Abrir UX-02. 3) Buscar el botón Validar conexión ERP–BW.</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botón Validar conexión ERP–BW no aparece y Continuar al diagnóstico depende solo de las pruebas de conexión (RN-01).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HU-06 — Identificar arquitectura y versión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CP-031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arquitectura y las versiones detectadas</w:t>
            </w:r>
            <w:r>
              <w:rPr>
                <w:rFonts w:ascii="Ubuntu" w:hAnsi="Ubuntu" w:cs="Ubuntu"/>
                <w:sz w:val="22"/>
                <w:szCs w:val="22"/>
              </w:rPr>
              <w:t xml:space="preserve"> (HU-06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Probar las conexiones contra el sandbox A. 2) Leer en UX-02 la insignia y las versiones de BW y BPC.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UX-02 se muestra la insignia A o B y las versiones detectadas de BW y BPC.</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 · Humo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CP-032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Reconocer BW 7.5 y BW/4HANA como arquitectura A</w:t>
            </w:r>
            <w:r>
              <w:rPr>
                <w:rFonts w:ascii="Ubuntu" w:hAnsi="Ubuntu" w:cs="Ubuntu"/>
                <w:sz w:val="22"/>
                <w:szCs w:val="22"/>
              </w:rPr>
              <w:t xml:space="preserve"> (HU-06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Detectar el sandbox BW 7.5 con BPC 10.1. 2) Detectar el ambiente QA BW/4HANA con BPC 2021. 3) Comparar la insignia y las versiones de ambos.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arquitectura A reconoce BW 7.5 y BW/4HANA con BPC modelo estándar (RNF-Comp-05).</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CP-033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Bloquear una versión sin variante</w:t>
            </w:r>
            <w:r>
              <w:rPr>
                <w:rFonts w:ascii="Ubuntu" w:hAnsi="Ubuntu" w:cs="Ubuntu"/>
                <w:sz w:val="22"/>
                <w:szCs w:val="22"/>
              </w:rPr>
              <w:t xml:space="preserve"> (HU-06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Configurar el doble de prueba del paquete Z para responder BW 7.4. 2) Probar las conexiones. 3) Revisar el mensaje y Continuar al diagnóstico.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 la versión no tiene variante disponible se muestra «Versión no soportada aún» y no se puede continuar (RNF-Comp-04).</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CP-034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Guardar la arquitectura y la versión en el cliente</w:t>
            </w:r>
            <w:r>
              <w:rPr>
                <w:rFonts w:ascii="Ubuntu" w:hAnsi="Ubuntu" w:cs="Ubuntu"/>
                <w:sz w:val="22"/>
                <w:szCs w:val="22"/>
              </w:rPr>
              <w:t xml:space="preserve"> (HU-06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Detectar la arquitectura. 2) Volver a UX-01. 3) Reiniciar el configurador y abrir de nuevo UX-01.</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arquitectura y la versión quedan guardadas en el cliente y se ven en UX-01.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HU-07 — Inventariar objetos existentes</w:t>
      </w:r>
    </w:p>
    <w:p>
      <w:pPr>
        <w:spacing w:before="0" w:after="120" w:line="288" w:lineRule="auto"/>
        <w:jc w:val="both"/>
      </w:pPr>
      <w:r>
        <w:rPr>
          <w:rFonts w:ascii="Ubuntu" w:hAnsi="Ubuntu" w:cs="Ubuntu"/>
          <w:b/>
          <w:bCs/>
          <w:sz w:val="22"/>
          <w:szCs w:val="22"/>
        </w:rPr>
        <w:t xml:space="preserve">Precondición: </w:t>
      </w:r>
      <w:r>
        <w:rPr>
          <w:rFonts w:ascii="Ubuntu" w:hAnsi="Ubuntu" w:cs="Ubuntu"/>
          <w:sz w:val="22"/>
          <w:szCs w:val="22"/>
        </w:rPr>
        <w:t xml:space="preserve">Cliente QA Demo con arquitectura A detectada (HU-06).</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CP-035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inventario en pestañas</w:t>
            </w:r>
            <w:r>
              <w:rPr>
                <w:rFonts w:ascii="Ubuntu" w:hAnsi="Ubuntu" w:cs="Ubuntu"/>
                <w:sz w:val="22"/>
                <w:szCs w:val="22"/>
              </w:rPr>
              <w:t xml:space="preserve"> (HU-07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UX-03 y pulsar Escanear. 2) Recorrer las pestañas Extractores, InfoProviders, Modelos BPC y Campos Z.</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UX-03 el inventario se muestra en pestañas: extractores, InfoProviders (InfoCubos o aDSO según la versión), modelos BPC y campos Z.</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 · Humo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CP-036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Marcar la bodega existente y no recrearla</w:t>
            </w:r>
            <w:r>
              <w:rPr>
                <w:rFonts w:ascii="Ubuntu" w:hAnsi="Ubuntu" w:cs="Ubuntu"/>
                <w:sz w:val="22"/>
                <w:szCs w:val="22"/>
              </w:rPr>
              <w:t xml:space="preserve"> (HU-07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Escanear un sandbox que ya tiene la bodega financiera. 2) Revisar el indicador Bodega existente. 3) Abrir UX-08 y revisar los objetos de la bodega.</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indicador Bodega existente se marca si BW ya tiene la bodega; en ese caso no se recrea (RN-03).</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CP-037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Volver a escanear</w:t>
            </w:r>
            <w:r>
              <w:rPr>
                <w:rFonts w:ascii="Ubuntu" w:hAnsi="Ubuntu" w:cs="Ubuntu"/>
                <w:sz w:val="22"/>
                <w:szCs w:val="22"/>
              </w:rPr>
              <w:t xml:space="preserve"> (HU-07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Anotar la fecha del último escaneo. 2) Agregar el campo ZZNUEVO a la tabla de prueba del ERP. 3) Pulsar Volver a escanear.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Volver a escanear repite el inventario y actualiza la fecha del último escaneo.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CP-038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Informar el paso que falló en el escaneo</w:t>
            </w:r>
            <w:r>
              <w:rPr>
                <w:rFonts w:ascii="Ubuntu" w:hAnsi="Ubuntu" w:cs="Ubuntu"/>
                <w:sz w:val="22"/>
                <w:szCs w:val="22"/>
              </w:rPr>
              <w:t xml:space="preserve"> (HU-07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Quitar al usuario técnico la autorización de lectura de BPC. 2) Pulsar Escanear.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 el escaneo falla se muestra el paso que falló y el mensaje del sistema.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CP-039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Generar la bodega completa si no existe</w:t>
            </w:r>
            <w:r>
              <w:rPr>
                <w:rFonts w:ascii="Ubuntu" w:hAnsi="Ubuntu" w:cs="Ubuntu"/>
                <w:sz w:val="22"/>
                <w:szCs w:val="22"/>
              </w:rPr>
              <w:t xml:space="preserve"> (HU-07 / criterio 2 · excepción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Escanear un sandbox sin bodega financiera. 2) Revisar el indicador Bodega existente. 3) Abrir UX-08.</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indicador Bodega existente queda sin marcar y UX-08 muestra los objetos de la bodega como Nuevo.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CP-040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vacío de UX-03 Diagnóstico e inventario</w:t>
            </w:r>
            <w:r>
              <w:rPr>
                <w:rFonts w:ascii="Ubuntu" w:hAnsi="Ubuntu" w:cs="Ubuntu"/>
                <w:sz w:val="22"/>
                <w:szCs w:val="22"/>
              </w:rPr>
              <w:t xml:space="preserve"> (UX-03 / estado vacío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Escanear un sandbox sin bodega en BW y sin campos Z. 2) Abrir cada pestaña del inventario.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mensaje por pestaña (p. ej. «El cliente no tiene bodega en BW: se generará completa»).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CP-041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UX-03 Diagnóstico e inventario</w:t>
            </w:r>
            <w:r>
              <w:rPr>
                <w:rFonts w:ascii="Ubuntu" w:hAnsi="Ubuntu" w:cs="Ubuntu"/>
                <w:sz w:val="22"/>
                <w:szCs w:val="22"/>
              </w:rPr>
              <w:t xml:space="preserve"> (UX-03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Activar el doble de prueba con 5 s de retardo en la respuesta de cada llamada RFC de inventario. 2) Pulsar Escanear.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barra de progreso «Escaneando BW y BPC…».</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r>
        <w:br w:type="page"/>
      </w:r>
    </w:p>
    <w:p>
      <w:pPr>
        <w:pStyle w:val="Heading2"/>
        <w:spacing w:before="240" w:after="120"/>
        <w:jc w:val="left"/>
      </w:pPr>
      <w:r>
        <w:rPr>
          <w:rFonts w:ascii="Ubuntu" w:hAnsi="Ubuntu" w:cs="Ubuntu"/>
          <w:b/>
          <w:bCs/>
          <w:color w:val="365F91"/>
          <w:sz w:val="28"/>
          <w:szCs w:val="28"/>
        </w:rPr>
        <w:t xml:space="preserve">5.2 E2 — Configuración de alcance</w:t>
      </w:r>
    </w:p>
    <w:p>
      <w:pPr>
        <w:spacing w:before="0" w:after="120" w:line="288" w:lineRule="auto"/>
        <w:jc w:val="both"/>
      </w:pPr>
      <w:r>
        <w:rPr>
          <w:rFonts w:ascii="Ubuntu" w:hAnsi="Ubuntu" w:cs="Ubuntu"/>
          <w:sz w:val="22"/>
          <w:szCs w:val="22"/>
        </w:rPr>
        <w:t xml:space="preserve">5 historias · 35 casos · precondición general: Cliente «Cliente QA Demo» con conexiones exitosas y diagnóstico completo (E1). Datos sintéticos del Grupo Demo cargados en el ERP del sandbox.</w:t>
      </w:r>
    </w:p>
    <w:p>
      <w:pPr>
        <w:pStyle w:val="Heading3"/>
        <w:spacing w:before="240" w:after="120"/>
        <w:jc w:val="left"/>
      </w:pPr>
      <w:r>
        <w:rPr>
          <w:rFonts w:ascii="Ubuntu" w:hAnsi="Ubuntu" w:cs="Ubuntu"/>
          <w:b/>
          <w:bCs/>
          <w:color w:val="365F91"/>
          <w:sz w:val="24"/>
          <w:szCs w:val="24"/>
        </w:rPr>
        <w:t xml:space="preserve">HU-08 — Seleccionar módulos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CP-042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los módulos como tarjetas</w:t>
            </w:r>
            <w:r>
              <w:rPr>
                <w:rFonts w:ascii="Ubuntu" w:hAnsi="Ubuntu" w:cs="Ubuntu"/>
                <w:sz w:val="22"/>
                <w:szCs w:val="22"/>
              </w:rPr>
              <w:t xml:space="preserve"> (HU-08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UX-04. 2) Revisar las tarjetas de consolidación, presupuesto, activos fijos y deterioros.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UX-04 cada módulo es una tarjeta con casilla y descripción de lo que genera.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CP-043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Actualizar el resumen al marcar módulos</w:t>
            </w:r>
            <w:r>
              <w:rPr>
                <w:rFonts w:ascii="Ubuntu" w:hAnsi="Ubuntu" w:cs="Ubuntu"/>
                <w:sz w:val="22"/>
                <w:szCs w:val="22"/>
              </w:rPr>
              <w:t xml:space="preserve"> (HU-08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Marcar Consolidación. 2) Marcar Presupuesto. 3) Desmarcar Presupuesto, leyendo el resumen después de cada cambio.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resumen muestra la cantidad de módulos y de reportes y se actualiza al marcar.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 · Humo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CP-044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Deshabilitar Continuar sin módulos</w:t>
            </w:r>
            <w:r>
              <w:rPr>
                <w:rFonts w:ascii="Ubuntu" w:hAnsi="Ubuntu" w:cs="Ubuntu"/>
                <w:sz w:val="22"/>
                <w:szCs w:val="22"/>
              </w:rPr>
              <w:t xml:space="preserve"> (HU-08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Desmarcar todos los módulos. 2) Revisar el botón Continuar.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Continuar está deshabilitado sin módulos marcados.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CP-045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Avisar que activos fijos y deterioros se quedan en BW</w:t>
            </w:r>
            <w:r>
              <w:rPr>
                <w:rFonts w:ascii="Ubuntu" w:hAnsi="Ubuntu" w:cs="Ubuntu"/>
                <w:sz w:val="22"/>
                <w:szCs w:val="22"/>
              </w:rPr>
              <w:t xml:space="preserve"> (HU-08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Revisar las tarjetas de Activos fijos y de Deterioros.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Activos fijos y deterioros muestran «Se queda en BW; no crea modelo en BPC» (RN-12).</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CP-046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vacío de UX-04 Módulos</w:t>
            </w:r>
            <w:r>
              <w:rPr>
                <w:rFonts w:ascii="Ubuntu" w:hAnsi="Ubuntu" w:cs="Ubuntu"/>
                <w:sz w:val="22"/>
                <w:szCs w:val="22"/>
              </w:rPr>
              <w:t xml:space="preserve"> (UX-04 / estado vacío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UX-04 de un cliente nuevo sin módulos marcados.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ninguno marcado y aviso «Elige al menos un módulo».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CP-047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UX-04 Módulos</w:t>
            </w:r>
            <w:r>
              <w:rPr>
                <w:rFonts w:ascii="Ubuntu" w:hAnsi="Ubuntu" w:cs="Ubuntu"/>
                <w:sz w:val="22"/>
                <w:szCs w:val="22"/>
              </w:rPr>
              <w:t xml:space="preserve"> (UX-04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Activar el doble de prueba con 5 s de retardo en la respuesta de la configuración del cliente. 2) Abrir UX-04.</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tarjetas esqueleto.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CP-048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error de UX-04 Módulos</w:t>
            </w:r>
            <w:r>
              <w:rPr>
                <w:rFonts w:ascii="Ubuntu" w:hAnsi="Ubuntu" w:cs="Ubuntu"/>
                <w:sz w:val="22"/>
                <w:szCs w:val="22"/>
              </w:rPr>
              <w:t xml:space="preserve"> (UX-04 / estado error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Activar el doble de prueba que hace fallar la escritura en la base local. 2) Marcar un módulo. 3) Pulsar Continuar.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«No se pudo guardar la selección».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HU-09 — Registrar sociedades del grupo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CP-049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Agregar y editar sociedades</w:t>
            </w:r>
            <w:r>
              <w:rPr>
                <w:rFonts w:ascii="Ubuntu" w:hAnsi="Ubuntu" w:cs="Ubuntu"/>
                <w:sz w:val="22"/>
                <w:szCs w:val="22"/>
              </w:rPr>
              <w:t xml:space="preserve"> (HU-09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UX-05. 2) Agregar D100 a D400 con los datos del Grupo Demo. 3) Editar el nombre de D300, guardar y recargar.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UX-05 la tabla permite agregar y editar sociedades con código, nombre, en SAP, moneda local, matriz y plan de cuentas.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 · Humo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CP-050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Registrar solo sociedades del grupo</w:t>
            </w:r>
            <w:r>
              <w:rPr>
                <w:rFonts w:ascii="Ubuntu" w:hAnsi="Ubuntu" w:cs="Ubuntu"/>
                <w:sz w:val="22"/>
                <w:szCs w:val="22"/>
              </w:rPr>
              <w:t xml:space="preserve"> (HU-09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el selector de código de sociedad. 2) Buscar el código del tercero de prueba T9001. 3) Intentar guardarlo como sociedad.</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Solo se registran sociedades del grupo; clientes y proveedores no son entidades (RN-07).</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CP-051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Asignar un plan de cuentas por sociedad</w:t>
            </w:r>
            <w:r>
              <w:rPr>
                <w:rFonts w:ascii="Ubuntu" w:hAnsi="Ubuntu" w:cs="Ubuntu"/>
                <w:sz w:val="22"/>
                <w:szCs w:val="22"/>
              </w:rPr>
              <w:t xml:space="preserve"> (HU-09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Asignar el plan CO01 a D100 y US01 a D200. 2) Guardar. 3) Recargar UX-05.</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sociedad puede tener su propio plan de cuentas (RN-05).</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CP-052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Exigir la moneda local</w:t>
            </w:r>
            <w:r>
              <w:rPr>
                <w:rFonts w:ascii="Ubuntu" w:hAnsi="Ubuntu" w:cs="Ubuntu"/>
                <w:sz w:val="22"/>
                <w:szCs w:val="22"/>
              </w:rPr>
              <w:t xml:space="preserve"> (HU-09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Agregar la sociedad D500 sin moneda local. 2) Pulsar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moneda local es obligatoria; si falta, se muestra «La sociedad X no tiene moneda local» y no se guarda.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CP-053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Habilitar la carga no SAP</w:t>
            </w:r>
            <w:r>
              <w:rPr>
                <w:rFonts w:ascii="Ubuntu" w:hAnsi="Ubuntu" w:cs="Ubuntu"/>
                <w:sz w:val="22"/>
                <w:szCs w:val="22"/>
              </w:rPr>
              <w:t xml:space="preserve"> (HU-09 / criterio 5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Marcar D400 como no SAP y guardar. 2) Revisar la navegación lateral.</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Una sociedad marcada como no SAP habilita el paso UX-07.</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CP-054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vacío de UX-05 Sociedades del grupo</w:t>
            </w:r>
            <w:r>
              <w:rPr>
                <w:rFonts w:ascii="Ubuntu" w:hAnsi="Ubuntu" w:cs="Ubuntu"/>
                <w:sz w:val="22"/>
                <w:szCs w:val="22"/>
              </w:rPr>
              <w:t xml:space="preserve"> (UX-05 / estado vacío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UX-05 de un cliente sin sociedades.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«Agrega las sociedades del grupo».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CP-055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UX-05 Sociedades del grupo</w:t>
            </w:r>
            <w:r>
              <w:rPr>
                <w:rFonts w:ascii="Ubuntu" w:hAnsi="Ubuntu" w:cs="Ubuntu"/>
                <w:sz w:val="22"/>
                <w:szCs w:val="22"/>
              </w:rPr>
              <w:t xml:space="preserve"> (UX-05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Activar el doble de prueba con 5 s de retardo en la respuesta de la lista de sociedades. 2) Abrir UX-05.</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filas esqueleto.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CP-056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error de UX-05 Sociedades del grupo</w:t>
            </w:r>
            <w:r>
              <w:rPr>
                <w:rFonts w:ascii="Ubuntu" w:hAnsi="Ubuntu" w:cs="Ubuntu"/>
                <w:sz w:val="22"/>
                <w:szCs w:val="22"/>
              </w:rPr>
              <w:t xml:space="preserve"> (UX-05 / estado error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Activar el doble de prueba que hace fallar la escritura en la base local. 2) Agregar la sociedad D100. 3) Pulsar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«No se pudieron guardar las sociedades» con la causa.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HU-10 — Registrar la estructura inicial de participaciones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CP-057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Registrar porcentaje y método por sociedad</w:t>
            </w:r>
            <w:r>
              <w:rPr>
                <w:rFonts w:ascii="Ubuntu" w:hAnsi="Ubuntu" w:cs="Ubuntu"/>
                <w:sz w:val="22"/>
                <w:szCs w:val="22"/>
              </w:rPr>
              <w:t xml:space="preserve"> (HU-10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UX-05. 2) Revisar las columnas % propiedad y Método. 3) Abrir la lista de métodos.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UX-05 cada sociedad tiene % de propiedad (0 a 100) y método: matriz, integración global, participación o fuera del perímetro (RN-13).</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CP-058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Permitir una sola sociedad matriz</w:t>
            </w:r>
            <w:r>
              <w:rPr>
                <w:rFonts w:ascii="Ubuntu" w:hAnsi="Ubuntu" w:cs="Ubuntu"/>
                <w:sz w:val="22"/>
                <w:szCs w:val="22"/>
              </w:rPr>
              <w:t xml:space="preserve"> (HU-10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Asignar el método matriz a D100. 2) Asignar el método matriz a D200. 3) Pulsar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Solo una sociedad del grupo puede tener método matriz.</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CP-059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Rechazar un porcentaje fuera de rango</w:t>
            </w:r>
            <w:r>
              <w:rPr>
                <w:rFonts w:ascii="Ubuntu" w:hAnsi="Ubuntu" w:cs="Ubuntu"/>
                <w:sz w:val="22"/>
                <w:szCs w:val="22"/>
              </w:rPr>
              <w:t xml:space="preserve"> (HU-10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Escribir 120 en % propiedad de D200. 2) Pulsar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porcentaje fuera de 0 a 100 se marca en la fila y no se guarda.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CP-060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Usar la estructura como primer periodo</w:t>
            </w:r>
            <w:r>
              <w:rPr>
                <w:rFonts w:ascii="Ubuntu" w:hAnsi="Ubuntu" w:cs="Ubuntu"/>
                <w:sz w:val="22"/>
                <w:szCs w:val="22"/>
              </w:rPr>
              <w:t xml:space="preserve"> (HU-10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Guardar la estructura del Grupo Demo. 2) Ejecutar el paso Modelo de propiedad. 3) Consultar C02 del primer periodo.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estructura se usa como primer periodo del modelo de propiedad (HU-32).</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CP-061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Rechazar un porcentaje de −0,01</w:t>
            </w:r>
            <w:r>
              <w:rPr>
                <w:rFonts w:ascii="Ubuntu" w:hAnsi="Ubuntu" w:cs="Ubuntu"/>
                <w:sz w:val="22"/>
                <w:szCs w:val="22"/>
              </w:rPr>
              <w:t xml:space="preserve"> (HU-10 / criterio 3 · límite inferior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Escribir −0,01 en % propiedad de D200. 2) Pulsar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fila de D200 se marca con el error de rango y no se guarda.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CP-062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Aceptar un porcentaje de 0</w:t>
            </w:r>
            <w:r>
              <w:rPr>
                <w:rFonts w:ascii="Ubuntu" w:hAnsi="Ubuntu" w:cs="Ubuntu"/>
                <w:sz w:val="22"/>
                <w:szCs w:val="22"/>
              </w:rPr>
              <w:t xml:space="preserve"> (HU-10 / criterio 3 · exacto inferior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Escribir 0 en % propiedad de D900. 2) Pulsar Guardar. 3) Recargar UX-05.</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fila se guarda sin error y D900 muestra 0 después de recargar.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CP-063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Aceptar un porcentaje de 100</w:t>
            </w:r>
            <w:r>
              <w:rPr>
                <w:rFonts w:ascii="Ubuntu" w:hAnsi="Ubuntu" w:cs="Ubuntu"/>
                <w:sz w:val="22"/>
                <w:szCs w:val="22"/>
              </w:rPr>
              <w:t xml:space="preserve"> (HU-10 / criterio 3 · exacto superior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Escribir 100 en % propiedad de D400. 2) Pulsar Guardar. 3) Recargar UX-05.</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fila se guarda sin error y D400 muestra 100 después de recargar.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CP-064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Rechazar un porcentaje de 100,01</w:t>
            </w:r>
            <w:r>
              <w:rPr>
                <w:rFonts w:ascii="Ubuntu" w:hAnsi="Ubuntu" w:cs="Ubuntu"/>
                <w:sz w:val="22"/>
                <w:szCs w:val="22"/>
              </w:rPr>
              <w:t xml:space="preserve"> (HU-10 / criterio 3 · sobre el límite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Escribir 100,01 en % propiedad de D200. 2) Pulsar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fila de D200 se marca con el error de rango y no se guarda.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HU-11 — Mapear cuentas a rubros de reporte</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CP-065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Asignar cuentas filtradas por plan</w:t>
            </w:r>
            <w:r>
              <w:rPr>
                <w:rFonts w:ascii="Ubuntu" w:hAnsi="Ubuntu" w:cs="Ubuntu"/>
                <w:sz w:val="22"/>
                <w:szCs w:val="22"/>
              </w:rPr>
              <w:t xml:space="preserve"> (HU-11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UX-06. 2) Elegir la sociedad D200 y el rubro Efectivo. 3) Revisar que la lista solo trae cuentas del plan US01. 4) Marcar dos cuentas y asignarlas.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UX-06 se elige un rubro y se le asignan cuentas marcadas, filtradas por el plan de cuentas de la sociedad (RN-05).</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 · Humo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CP-066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suma del rubro</w:t>
            </w:r>
            <w:r>
              <w:rPr>
                <w:rFonts w:ascii="Ubuntu" w:hAnsi="Ubuntu" w:cs="Ubuntu"/>
                <w:sz w:val="22"/>
                <w:szCs w:val="22"/>
              </w:rPr>
              <w:t xml:space="preserve"> (HU-11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Mapear las cuentas 1105 y 1110 al rubro Efectivo. 2) Seleccionar el rubro. 3) Comparar la vista previa con la suma de los saldos sintéticos.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vista previa del rubro muestra la suma de sus cuentas mapeadas (RN-10).</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CP-067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Listar las cuentas sin mapear</w:t>
            </w:r>
            <w:r>
              <w:rPr>
                <w:rFonts w:ascii="Ubuntu" w:hAnsi="Ubuntu" w:cs="Ubuntu"/>
                <w:sz w:val="22"/>
                <w:szCs w:val="22"/>
              </w:rPr>
              <w:t xml:space="preserve"> (HU-11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Leer el contador de cuentas sin mapear. 2) Activar el filtro Solo sin mapear. 3) Mapear una cuenta y leer de nuevo el contador.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contador muestra las cuentas sin mapear y el filtro Solo sin mapear las lista.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CP-068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Leer las cuentas del ERP</w:t>
            </w:r>
            <w:r>
              <w:rPr>
                <w:rFonts w:ascii="Ubuntu" w:hAnsi="Ubuntu" w:cs="Ubuntu"/>
                <w:sz w:val="22"/>
                <w:szCs w:val="22"/>
              </w:rPr>
              <w:t xml:space="preserve"> (HU-11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Crear en el ERP la cuenta 1199 en el plan CO01. 2) Recargar UX-06. 3) Buscar la cuenta 1199.</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cuentas se leen del ERP del cliente por la conexión registrada en HU-03.</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CP-069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Informar las asignaciones no guardadas</w:t>
            </w:r>
            <w:r>
              <w:rPr>
                <w:rFonts w:ascii="Ubuntu" w:hAnsi="Ubuntu" w:cs="Ubuntu"/>
                <w:sz w:val="22"/>
                <w:szCs w:val="22"/>
              </w:rPr>
              <w:t xml:space="preserve"> (HU-11 / criterio 5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Activar el doble de prueba que hace fallar la escritura en la base local. 2) Asignar tres cuentas. 3) Pulsar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 el guardado falla se informa cuántas asignaciones no se guardaron.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CP-070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vacío de UX-06 Mapeo de cuentas</w:t>
            </w:r>
            <w:r>
              <w:rPr>
                <w:rFonts w:ascii="Ubuntu" w:hAnsi="Ubuntu" w:cs="Ubuntu"/>
                <w:sz w:val="22"/>
                <w:szCs w:val="22"/>
              </w:rPr>
              <w:t xml:space="preserve"> (UX-06 / estado vacío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UX-06 de un cliente sin mapeos.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«Aún no hay cuentas mapeadas».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CP-071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UX-06 Mapeo de cuentas</w:t>
            </w:r>
            <w:r>
              <w:rPr>
                <w:rFonts w:ascii="Ubuntu" w:hAnsi="Ubuntu" w:cs="Ubuntu"/>
                <w:sz w:val="22"/>
                <w:szCs w:val="22"/>
              </w:rPr>
              <w:t xml:space="preserve"> (UX-06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Activar el doble de prueba con 5 s de retardo en la respuesta de la lectura de cuentas del ERP. 2) Abrir UX-06.</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esqueleto en la lista y la tabla.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HU-12 — Definir versiones de presupuesto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CP-072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Editar las versiones propuestas</w:t>
            </w:r>
            <w:r>
              <w:rPr>
                <w:rFonts w:ascii="Ubuntu" w:hAnsi="Ubuntu" w:cs="Ubuntu"/>
                <w:sz w:val="22"/>
                <w:szCs w:val="22"/>
              </w:rPr>
              <w:t xml:space="preserve"> (HU-12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Marcar Presupuesto en UX-04. 2) Agregar la versión V2. 3) Renombrar 3+9. 4) Quitar 9+3.</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UX-04, si Presupuesto está marcado, se muestran las versiones propuestas y se pueden agregar, renombrar o quitar.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CP-073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Exigir la versión de presupuesto anual</w:t>
            </w:r>
            <w:r>
              <w:rPr>
                <w:rFonts w:ascii="Ubuntu" w:hAnsi="Ubuntu" w:cs="Ubuntu"/>
                <w:sz w:val="22"/>
                <w:szCs w:val="22"/>
              </w:rPr>
              <w:t xml:space="preserve"> (HU-12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Intentar quitar la versión de presupuesto anual. 2)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Debe existir al menos la versión de presupuesto anual.</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CP-074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Rechazar códigos de versión repetidos</w:t>
            </w:r>
            <w:r>
              <w:rPr>
                <w:rFonts w:ascii="Ubuntu" w:hAnsi="Ubuntu" w:cs="Ubuntu"/>
                <w:sz w:val="22"/>
                <w:szCs w:val="22"/>
              </w:rPr>
              <w:t xml:space="preserve"> (HU-12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Agregar una versión con el código de una existente. 2)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códigos de versión no se repiten.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CP-075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Pasar las versiones al plan</w:t>
            </w:r>
            <w:r>
              <w:rPr>
                <w:rFonts w:ascii="Ubuntu" w:hAnsi="Ubuntu" w:cs="Ubuntu"/>
                <w:sz w:val="22"/>
                <w:szCs w:val="22"/>
              </w:rPr>
              <w:t xml:space="preserve"> (HU-12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Guardar las versiones. 2) Abrir UX-08 y buscar el modelo de presupuesto.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versiones pasan al plan de generación (UX-08).</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CP-076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Ocultar las versiones sin el módulo Presupuesto</w:t>
            </w:r>
            <w:r>
              <w:rPr>
                <w:rFonts w:ascii="Ubuntu" w:hAnsi="Ubuntu" w:cs="Ubuntu"/>
                <w:sz w:val="22"/>
                <w:szCs w:val="22"/>
              </w:rPr>
              <w:t xml:space="preserve"> (HU-12 / criterio 1 · excepción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Desmarcar Presupuesto en UX-04. 2) Buscar la sección de versiones. 3) Abrir UX-08.</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UX-04 no muestra la sección de versiones y UX-08 no lista el modelo de presupuesto.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r>
        <w:br w:type="page"/>
      </w:r>
    </w:p>
    <w:p>
      <w:pPr>
        <w:pStyle w:val="Heading2"/>
        <w:spacing w:before="240" w:after="120"/>
        <w:jc w:val="left"/>
      </w:pPr>
      <w:r>
        <w:rPr>
          <w:rFonts w:ascii="Ubuntu" w:hAnsi="Ubuntu" w:cs="Ubuntu"/>
          <w:b/>
          <w:bCs/>
          <w:color w:val="365F91"/>
          <w:sz w:val="28"/>
          <w:szCs w:val="28"/>
        </w:rPr>
        <w:t xml:space="preserve">5.3 E3 — Bodega de datos en BW</w:t>
      </w:r>
    </w:p>
    <w:p>
      <w:pPr>
        <w:spacing w:before="0" w:after="120" w:line="288" w:lineRule="auto"/>
        <w:jc w:val="both"/>
      </w:pPr>
      <w:r>
        <w:rPr>
          <w:rFonts w:ascii="Ubuntu" w:hAnsi="Ubuntu" w:cs="Ubuntu"/>
          <w:sz w:val="22"/>
          <w:szCs w:val="22"/>
        </w:rPr>
        <w:t xml:space="preserve">8 historias · 35 casos · precondición general: Cliente QA Demo con la configuración de alcance completa (E2): cuatro módulos, sociedades D100 a D900 y mapeo de cuentas.</w:t>
      </w:r>
    </w:p>
    <w:p>
      <w:pPr>
        <w:pStyle w:val="Heading3"/>
        <w:spacing w:before="240" w:after="120"/>
        <w:jc w:val="left"/>
      </w:pPr>
      <w:r>
        <w:rPr>
          <w:rFonts w:ascii="Ubuntu" w:hAnsi="Ubuntu" w:cs="Ubuntu"/>
          <w:b/>
          <w:bCs/>
          <w:color w:val="365F91"/>
          <w:sz w:val="24"/>
          <w:szCs w:val="24"/>
        </w:rPr>
        <w:t xml:space="preserve">HU-13 — Revisar el plan de generación</w:t>
      </w:r>
    </w:p>
    <w:p>
      <w:pPr>
        <w:spacing w:before="0" w:after="120" w:line="288" w:lineRule="auto"/>
        <w:jc w:val="both"/>
      </w:pPr>
      <w:r>
        <w:rPr>
          <w:rFonts w:ascii="Ubuntu" w:hAnsi="Ubuntu" w:cs="Ubuntu"/>
          <w:b/>
          <w:bCs/>
          <w:sz w:val="22"/>
          <w:szCs w:val="22"/>
        </w:rPr>
        <w:t xml:space="preserve">Precondición: </w:t>
      </w:r>
      <w:r>
        <w:rPr>
          <w:rFonts w:ascii="Ubuntu" w:hAnsi="Ubuntu" w:cs="Ubuntu"/>
          <w:sz w:val="22"/>
          <w:szCs w:val="22"/>
        </w:rPr>
        <w:t xml:space="preserve">Cliente QA Demo con la configuración de alcance completa (E2) y un sandbox sin bodega.</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CP-077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Agrupar el plan y marcar Nuevo o Existente</w:t>
            </w:r>
            <w:r>
              <w:rPr>
                <w:rFonts w:ascii="Ubuntu" w:hAnsi="Ubuntu" w:cs="Ubuntu"/>
                <w:sz w:val="22"/>
                <w:szCs w:val="22"/>
              </w:rPr>
              <w:t xml:space="preserve"> (HU-13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UX-08. 2) Revisar los grupos SAP BW, SAP BPC y Monedas y tasas. 3) Revisar la marca de cada objeto.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UX-08 el plan se agrupa en SAP BW, SAP BPC y Monedas y tasas, y marca cada objeto como Nuevo o Existente.</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CP-078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No recrear ni modificar objetos existentes</w:t>
            </w:r>
            <w:r>
              <w:rPr>
                <w:rFonts w:ascii="Ubuntu" w:hAnsi="Ubuntu" w:cs="Ubuntu"/>
                <w:sz w:val="22"/>
                <w:szCs w:val="22"/>
              </w:rPr>
              <w:t xml:space="preserve"> (HU-13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Escanear un sandbox con bodega existente. 2) Anotar en RSA1 la fecha del último cambio de sus objetos. 3) Generar. 4) Comparar las fechas.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objetos existentes no se recrean ni se modifican (RN-03).</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CP-079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Confirmar la generación con el total de objetos</w:t>
            </w:r>
            <w:r>
              <w:rPr>
                <w:rFonts w:ascii="Ubuntu" w:hAnsi="Ubuntu" w:cs="Ubuntu"/>
                <w:sz w:val="22"/>
                <w:szCs w:val="22"/>
              </w:rPr>
              <w:t xml:space="preserve"> (HU-13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Leer el total de objetos a crear. 2) Pulsar Generar. 3) Leer el diálogo de confirmación.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total de objetos a crear se muestra y Generar pide confirmación con ese número.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 · Humo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CP-080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Enlazar el paso anterior incompleto</w:t>
            </w:r>
            <w:r>
              <w:rPr>
                <w:rFonts w:ascii="Ubuntu" w:hAnsi="Ubuntu" w:cs="Ubuntu"/>
                <w:sz w:val="22"/>
                <w:szCs w:val="22"/>
              </w:rPr>
              <w:t xml:space="preserve"> (HU-13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Borrar el mapeo de cuentas del cliente. 2) Abrir UX-08. 3) Pulsar el enlace del paso faltante.</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 un paso anterior está incompleto, el plan muestra cuál falta con un enlace para completarlo.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CP-081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UX-08 Plan de generación</w:t>
            </w:r>
            <w:r>
              <w:rPr>
                <w:rFonts w:ascii="Ubuntu" w:hAnsi="Ubuntu" w:cs="Ubuntu"/>
                <w:sz w:val="22"/>
                <w:szCs w:val="22"/>
              </w:rPr>
              <w:t xml:space="preserve"> (UX-08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Activar el doble de prueba con 5 s de retardo en la respuesta del cálculo del plan. 2) Abrir UX-08.</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«Calculando el plan…».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CP-082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error de UX-08 Plan de generación</w:t>
            </w:r>
            <w:r>
              <w:rPr>
                <w:rFonts w:ascii="Ubuntu" w:hAnsi="Ubuntu" w:cs="Ubuntu"/>
                <w:sz w:val="22"/>
                <w:szCs w:val="22"/>
              </w:rPr>
              <w:t xml:space="preserve"> (UX-08 / estado error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Dejar el diagnóstico con el escaneo fallido. 2) Abrir UX-08.</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paso previo con error y enlace para corregirlo.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HU-14 — Ejecutar el plan paso a paso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CP-083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estado y duración de cada paso</w:t>
            </w:r>
            <w:r>
              <w:rPr>
                <w:rFonts w:ascii="Ubuntu" w:hAnsi="Ubuntu" w:cs="Ubuntu"/>
                <w:sz w:val="22"/>
                <w:szCs w:val="22"/>
              </w:rPr>
              <w:t xml:space="preserve"> (HU-14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Iniciar la ejecución del plan. 2) Observar la línea de pasos durante la ejecución y al terminar.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UX-09 la línea de pasos muestra cada paso como completo, en curso, pendiente o con error, y su duración.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CP-084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causa y la acción de un paso con error</w:t>
            </w:r>
            <w:r>
              <w:rPr>
                <w:rFonts w:ascii="Ubuntu" w:hAnsi="Ubuntu" w:cs="Ubuntu"/>
                <w:sz w:val="22"/>
                <w:szCs w:val="22"/>
              </w:rPr>
              <w:t xml:space="preserve"> (HU-14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Quitar al usuario técnico el permiso de escritura en BPC. 2) Ejecutar el plan. 3) Revisar el paso fallido.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paso con error muestra la causa, el enlace a la pantalla que la corrige y Reintentar desde este paso.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CP-085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Reintentar sin repetir los pasos completos</w:t>
            </w:r>
            <w:r>
              <w:rPr>
                <w:rFonts w:ascii="Ubuntu" w:hAnsi="Ubuntu" w:cs="Ubuntu"/>
                <w:sz w:val="22"/>
                <w:szCs w:val="22"/>
              </w:rPr>
              <w:t xml:space="preserve"> (HU-14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Devolver el permiso de escritura. 2) Pulsar Reintentar desde este paso. 3) Revisar en el registro qué pasos se ejecutaron.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Reintentar no vuelve a ejecutar los pasos completos.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CP-086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resumen y Ver reportes al terminar</w:t>
            </w:r>
            <w:r>
              <w:rPr>
                <w:rFonts w:ascii="Ubuntu" w:hAnsi="Ubuntu" w:cs="Ubuntu"/>
                <w:sz w:val="22"/>
                <w:szCs w:val="22"/>
              </w:rPr>
              <w:t xml:space="preserve"> (HU-14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plan completo. 2) Leer el resumen. 3) Pulsar Ver reportes.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Al terminar se muestra el resumen y el botón Ver reportes (UX-10).</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 · Humo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CP-087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vacío de UX-09 Ejecución y registro</w:t>
            </w:r>
            <w:r>
              <w:rPr>
                <w:rFonts w:ascii="Ubuntu" w:hAnsi="Ubuntu" w:cs="Ubuntu"/>
                <w:sz w:val="22"/>
                <w:szCs w:val="22"/>
              </w:rPr>
              <w:t xml:space="preserve"> (UX-09 / estado vacío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UX-09 de un cliente sin ejecuciones.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«Aún no hay ejecuciones».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CP-088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UX-09 Ejecución y registro</w:t>
            </w:r>
            <w:r>
              <w:rPr>
                <w:rFonts w:ascii="Ubuntu" w:hAnsi="Ubuntu" w:cs="Ubuntu"/>
                <w:sz w:val="22"/>
                <w:szCs w:val="22"/>
              </w:rPr>
              <w:t xml:space="preserve"> (UX-09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Iniciar la ejecución del plan. 2) Observar la línea de pasos mientras corre el primer paso.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paso en curso y los siguientes pendientes.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HU-15 — Generar la bodega financiera en BW 7.5</w:t>
      </w:r>
    </w:p>
    <w:p>
      <w:pPr>
        <w:spacing w:before="0" w:after="120" w:line="288" w:lineRule="auto"/>
        <w:jc w:val="both"/>
      </w:pPr>
      <w:r>
        <w:rPr>
          <w:rFonts w:ascii="Ubuntu" w:hAnsi="Ubuntu" w:cs="Ubuntu"/>
          <w:b/>
          <w:bCs/>
          <w:sz w:val="22"/>
          <w:szCs w:val="22"/>
        </w:rPr>
        <w:t xml:space="preserve">Precondición: </w:t>
      </w:r>
      <w:r>
        <w:rPr>
          <w:rFonts w:ascii="Ubuntu" w:hAnsi="Ubuntu" w:cs="Ubuntu"/>
          <w:sz w:val="22"/>
          <w:szCs w:val="22"/>
        </w:rPr>
        <w:t xml:space="preserve">Plan de generación confirmado sobre el sandbox BW 7.5 sin bodega previa.</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CP-089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Activar 0FI_GL_14 y crear los InfoProviders</w:t>
            </w:r>
            <w:r>
              <w:rPr>
                <w:rFonts w:ascii="Ubuntu" w:hAnsi="Ubuntu" w:cs="Ubuntu"/>
                <w:sz w:val="22"/>
                <w:szCs w:val="22"/>
              </w:rPr>
              <w:t xml:space="preserve"> (HU-15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Bodega BW. 2) Consultar en RSA6 el estado de 0FI_GL_14. 3) Consultar en RSA1 los InfoProviders del módulo de consolidación.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 el inventario indica que no hay bodega, se activa 0FI_GL_14 y se crean los InfoProviders del módulo de consolidación.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 · Humo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CP-090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No crear objetos si la bodega existe</w:t>
            </w:r>
            <w:r>
              <w:rPr>
                <w:rFonts w:ascii="Ubuntu" w:hAnsi="Ubuntu" w:cs="Ubuntu"/>
                <w:sz w:val="22"/>
                <w:szCs w:val="22"/>
              </w:rPr>
              <w:t xml:space="preserve"> (HU-15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Bodega BW en un sandbox con bodega. 2) Revisar el estado del paso. 3) Contar los objetos creados en el registro.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 la bodega existe, el paso queda como Existente y no crea objetos (RN-03).</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CP-091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Registrar cada objeto con su nombre técnico</w:t>
            </w:r>
            <w:r>
              <w:rPr>
                <w:rFonts w:ascii="Ubuntu" w:hAnsi="Ubuntu" w:cs="Ubuntu"/>
                <w:sz w:val="22"/>
                <w:szCs w:val="22"/>
              </w:rPr>
              <w:t xml:space="preserve"> (HU-15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Bodega BW. 2) Comparar los nombres técnicos del registro con los objetos de RSA1.</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objeto creado queda en el registro con su nombre técnico (RNF-Aud-01).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CP-092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número de objetos creados</w:t>
            </w:r>
            <w:r>
              <w:rPr>
                <w:rFonts w:ascii="Ubuntu" w:hAnsi="Ubuntu" w:cs="Ubuntu"/>
                <w:sz w:val="22"/>
                <w:szCs w:val="22"/>
              </w:rPr>
              <w:t xml:space="preserve"> (HU-15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Bodega BW. 2) Leer el resultado en UX-09 y compararlo con el registro.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resultado se ve en UX-09 con el número de objetos creados.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HU-16 — Generar la bodega en la variante BW/4HANA</w:t>
      </w:r>
    </w:p>
    <w:p>
      <w:pPr>
        <w:spacing w:before="0" w:after="120" w:line="288" w:lineRule="auto"/>
        <w:jc w:val="both"/>
      </w:pPr>
      <w:r>
        <w:rPr>
          <w:rFonts w:ascii="Ubuntu" w:hAnsi="Ubuntu" w:cs="Ubuntu"/>
          <w:b/>
          <w:bCs/>
          <w:sz w:val="22"/>
          <w:szCs w:val="22"/>
        </w:rPr>
        <w:t xml:space="preserve">Precondición: </w:t>
      </w:r>
      <w:r>
        <w:rPr>
          <w:rFonts w:ascii="Ubuntu" w:hAnsi="Ubuntu" w:cs="Ubuntu"/>
          <w:sz w:val="22"/>
          <w:szCs w:val="22"/>
        </w:rPr>
        <w:t xml:space="preserve">Ambiente QA BW/4HANA con BPC 2021 modelo estándar (SAP CAL) encendido, con el paquete Z importado; cliente «Cliente QA BW4» con la configuración del Grupo Demo.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CP-097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Usar la variante BW/4HANA sin cambiar la configuración</w:t>
            </w:r>
            <w:r>
              <w:rPr>
                <w:rFonts w:ascii="Ubuntu" w:hAnsi="Ubuntu" w:cs="Ubuntu"/>
                <w:sz w:val="22"/>
                <w:szCs w:val="22"/>
              </w:rPr>
              <w:t xml:space="preserve"> (HU-16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Exportar la configuración del Cliente QA BW4. 2) Ejecutar la generación. 3) Exportar de nuevo y comparar. 4) Revisar la variante en el registro.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 la versión detectada es BW/4HANA, la generación usa la variante BW/4HANA sin cambiar la configuración del cliente (RNF-Comp-04).</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CP-098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Crear aDSO y ningún InfoCubo</w:t>
            </w:r>
            <w:r>
              <w:rPr>
                <w:rFonts w:ascii="Ubuntu" w:hAnsi="Ubuntu" w:cs="Ubuntu"/>
                <w:sz w:val="22"/>
                <w:szCs w:val="22"/>
              </w:rPr>
              <w:t xml:space="preserve"> (HU-16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la generación. 2) Listar los InfoProviders creados por tipo.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InfoProviders se crean como aDSO; no se genera ningún InfoCubo (RNF-Comp-05).</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CP-099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Conectar los extractores por ODP</w:t>
            </w:r>
            <w:r>
              <w:rPr>
                <w:rFonts w:ascii="Ubuntu" w:hAnsi="Ubuntu" w:cs="Ubuntu"/>
                <w:sz w:val="22"/>
                <w:szCs w:val="22"/>
              </w:rPr>
              <w:t xml:space="preserve"> (HU-16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Revisar en BW/4HANA las fuentes de datos creadas y su tipo de sistema origen.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extractores se conectan por ODP.</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CP-100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aDSO en el plan</w:t>
            </w:r>
            <w:r>
              <w:rPr>
                <w:rFonts w:ascii="Ubuntu" w:hAnsi="Ubuntu" w:cs="Ubuntu"/>
                <w:sz w:val="22"/>
                <w:szCs w:val="22"/>
              </w:rPr>
              <w:t xml:space="preserve"> (HU-16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UX-08 del Cliente QA BW4. 2) Revisar el tipo de los InfoProviders.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plan UX-08 muestra «aDSO» en los InfoProviders de esta variante.</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HU-17 — Incorporar campos Z a la bodega</w:t>
      </w:r>
    </w:p>
    <w:p>
      <w:pPr>
        <w:spacing w:before="0" w:after="120" w:line="288" w:lineRule="auto"/>
        <w:jc w:val="both"/>
      </w:pPr>
      <w:r>
        <w:rPr>
          <w:rFonts w:ascii="Ubuntu" w:hAnsi="Ubuntu" w:cs="Ubuntu"/>
          <w:b/>
          <w:bCs/>
          <w:sz w:val="22"/>
          <w:szCs w:val="22"/>
        </w:rPr>
        <w:t xml:space="preserve">Precondición: </w:t>
      </w:r>
      <w:r>
        <w:rPr>
          <w:rFonts w:ascii="Ubuntu" w:hAnsi="Ubuntu" w:cs="Ubuntu"/>
          <w:sz w:val="22"/>
          <w:szCs w:val="22"/>
        </w:rPr>
        <w:t xml:space="preserve">Tabla de prueba del ERP con los campos ZZSEGMENTO (CHAR 10) y ZZBLOB (RAWSTRING); inventario ejecutado.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CP-102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Marcar campos Z para incorporar</w:t>
            </w:r>
            <w:r>
              <w:rPr>
                <w:rFonts w:ascii="Ubuntu" w:hAnsi="Ubuntu" w:cs="Ubuntu"/>
                <w:sz w:val="22"/>
                <w:szCs w:val="22"/>
              </w:rPr>
              <w:t xml:space="preserve"> (HU-17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UX-03, pestaña Campos Z. 2) Marcar ZZSEGMENTO.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UX-03, pestaña Campos Z, se marcan los campos a incorporar.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CP-103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los campos Z como Nuevo en el plan</w:t>
            </w:r>
            <w:r>
              <w:rPr>
                <w:rFonts w:ascii="Ubuntu" w:hAnsi="Ubuntu" w:cs="Ubuntu"/>
                <w:sz w:val="22"/>
                <w:szCs w:val="22"/>
              </w:rPr>
              <w:t xml:space="preserve"> (HU-17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Marcar ZZSEGMENTO. 2) Abrir UX-08.</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campos marcados aparecen como Nuevo en el plan UX-08.</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CP-104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Rechazar un campo Z sin tipo compatible</w:t>
            </w:r>
            <w:r>
              <w:rPr>
                <w:rFonts w:ascii="Ubuntu" w:hAnsi="Ubuntu" w:cs="Ubuntu"/>
                <w:sz w:val="22"/>
                <w:szCs w:val="22"/>
              </w:rPr>
              <w:t xml:space="preserve"> (HU-17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Marcar ZZBLOB. 2) Revisar la fila y el plan UX-08.</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campo Z sin tipo de dato compatible se marca con el motivo y no se incorpora.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HU-18 — Generar cadenas de proceso full y delta</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CP-105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Crear la cadena full y la delta cada 24 horas</w:t>
            </w:r>
            <w:r>
              <w:rPr>
                <w:rFonts w:ascii="Ubuntu" w:hAnsi="Ubuntu" w:cs="Ubuntu"/>
                <w:sz w:val="22"/>
                <w:szCs w:val="22"/>
              </w:rPr>
              <w:t xml:space="preserve"> (HU-18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Cadenas de proceso. 2) Revisar en RSPC las dos cadenas y la programación de la delta.</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crea una cadena de carga full inicial y una cadena delta programada cada 24 horas (RN-04).</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CP-106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Dejar los datos con 24 horas o menos de antigüedad</w:t>
            </w:r>
            <w:r>
              <w:rPr>
                <w:rFonts w:ascii="Ubuntu" w:hAnsi="Ubuntu" w:cs="Ubuntu"/>
                <w:sz w:val="22"/>
                <w:szCs w:val="22"/>
              </w:rPr>
              <w:t xml:space="preserve"> (HU-18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Registrar hoy en el ERP un documento sintético. 2) Ejecutar la delta nocturna programada. 3) Al día siguiente, comparar la hora de la última carga del reporte con la hora actual.</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Después de la carga delta, la antigüedad de los datos es de 24 horas o menos (RNF-Rend-01).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CP-107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Evitar duplicados por peticiones solapadas</w:t>
            </w:r>
            <w:r>
              <w:rPr>
                <w:rFonts w:ascii="Ubuntu" w:hAnsi="Ubuntu" w:cs="Ubuntu"/>
                <w:sz w:val="22"/>
                <w:szCs w:val="22"/>
              </w:rPr>
              <w:t xml:space="preserve"> (HU-18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Revisar las variantes de la cadena delta. 2) Ejecutar la delta dos veces seguidas. 3) Comparar el total de la bodega con el del ERP.</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cadenas no usan borrado de peticiones solapadas que duplique datos.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CP-108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carga full en la ejecución</w:t>
            </w:r>
            <w:r>
              <w:rPr>
                <w:rFonts w:ascii="Ubuntu" w:hAnsi="Ubuntu" w:cs="Ubuntu"/>
                <w:sz w:val="22"/>
                <w:szCs w:val="22"/>
              </w:rPr>
              <w:t xml:space="preserve"> (HU-18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plan. 2) Revisar en UX-09 el paso de carga full.</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ejecución de la carga full se ve como paso en UX-09.</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HU-19 — Generar el módulo de activos fijos en BW</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CP-114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Generar activos fijos solo si el módulo está marcado</w:t>
            </w:r>
            <w:r>
              <w:rPr>
                <w:rFonts w:ascii="Ubuntu" w:hAnsi="Ubuntu" w:cs="Ubuntu"/>
                <w:sz w:val="22"/>
                <w:szCs w:val="22"/>
              </w:rPr>
              <w:t xml:space="preserve"> (HU-19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Marcar Activos fijos en UX-04. 2) Ejecutar el plan. 3) Revisar el paso y los objetos creados.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Solo se genera si Activos fijos está marcado en UX-04.</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CP-115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Crear activos fijos en BW sin modelo BPC</w:t>
            </w:r>
            <w:r>
              <w:rPr>
                <w:rFonts w:ascii="Ubuntu" w:hAnsi="Ubuntu" w:cs="Ubuntu"/>
                <w:sz w:val="22"/>
                <w:szCs w:val="22"/>
              </w:rPr>
              <w:t xml:space="preserve"> (HU-19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2) Consultar el extractor en RSA6 y los InfoProviders en RSA1. 3) Consultar los modelos de BPC.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activa el extractor estándar de activos fijos y se crean sus InfoProviders y cargas en BW, sin modelo en BPC (RN-12).</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CP-116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paso Activos fijos en BW</w:t>
            </w:r>
            <w:r>
              <w:rPr>
                <w:rFonts w:ascii="Ubuntu" w:hAnsi="Ubuntu" w:cs="Ubuntu"/>
                <w:sz w:val="22"/>
                <w:szCs w:val="22"/>
              </w:rPr>
              <w:t xml:space="preserve"> (HU-19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UX-08. 2) Ejecutar y abrir UX-09.</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plan UX-08 y la ejecución UX-09 muestran el paso «Activos fijos en BW».</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CP-117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No generar activos fijos sin el módulo</w:t>
            </w:r>
            <w:r>
              <w:rPr>
                <w:rFonts w:ascii="Ubuntu" w:hAnsi="Ubuntu" w:cs="Ubuntu"/>
                <w:sz w:val="22"/>
                <w:szCs w:val="22"/>
              </w:rPr>
              <w:t xml:space="preserve"> (HU-19 / criterio 1 · excepción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Desmarcar Activos fijos en UX-04. 2) Ejecutar el plan. 3) Consultar en RSA1 los InfoProviders de activos fijos.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UX-08 y UX-09 no muestran el paso «Activos fijos en BW» y en BW no se crea ningún objeto de activos fijos.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HU-20 — Generar el módulo de deterioros en BW</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CP-118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Generar deterioros solo si el módulo está marcado</w:t>
            </w:r>
            <w:r>
              <w:rPr>
                <w:rFonts w:ascii="Ubuntu" w:hAnsi="Ubuntu" w:cs="Ubuntu"/>
                <w:sz w:val="22"/>
                <w:szCs w:val="22"/>
              </w:rPr>
              <w:t xml:space="preserve"> (HU-20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Marcar Deterioros en UX-04. 2) Ejecutar el plan. 3) Revisar el paso y los objetos creados.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Solo se genera si Deterioros está marcado en UX-04.</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CP-119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Crear deterioros en BW sin modelo BPC</w:t>
            </w:r>
            <w:r>
              <w:rPr>
                <w:rFonts w:ascii="Ubuntu" w:hAnsi="Ubuntu" w:cs="Ubuntu"/>
                <w:sz w:val="22"/>
                <w:szCs w:val="22"/>
              </w:rPr>
              <w:t xml:space="preserve"> (HU-20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2) Consultar el extractor en RSA6 y los InfoProviders en RSA1. 3) Consultar los modelos de BPC.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activa el extractor estándar de deterioros y se crean sus InfoProviders y cargas en BW, sin modelo en BPC (RN-12).</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CP-120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paso Deterioros en BW</w:t>
            </w:r>
            <w:r>
              <w:rPr>
                <w:rFonts w:ascii="Ubuntu" w:hAnsi="Ubuntu" w:cs="Ubuntu"/>
                <w:sz w:val="22"/>
                <w:szCs w:val="22"/>
              </w:rPr>
              <w:t xml:space="preserve"> (HU-20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UX-08. 2) Ejecutar y abrir UX-09.</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plan UX-08 y la ejecución UX-09 muestran el paso «Deterioros en BW».</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CP-121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No generar deterioros sin el módulo</w:t>
            </w:r>
            <w:r>
              <w:rPr>
                <w:rFonts w:ascii="Ubuntu" w:hAnsi="Ubuntu" w:cs="Ubuntu"/>
                <w:sz w:val="22"/>
                <w:szCs w:val="22"/>
              </w:rPr>
              <w:t xml:space="preserve"> (HU-20 / criterio 1 · excepción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Desmarcar Deterioros en UX-04. 2) Ejecutar el plan. 3) Consultar en RSA1 los InfoProviders de deterioros.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UX-08 y UX-09 no muestran el paso «Deterioros en BW» y en BW no se crea ningún objeto de deterioros.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r>
        <w:br w:type="page"/>
      </w:r>
    </w:p>
    <w:p>
      <w:pPr>
        <w:pStyle w:val="Heading2"/>
        <w:spacing w:before="240" w:after="120"/>
        <w:jc w:val="left"/>
      </w:pPr>
      <w:r>
        <w:rPr>
          <w:rFonts w:ascii="Ubuntu" w:hAnsi="Ubuntu" w:cs="Ubuntu"/>
          <w:b/>
          <w:bCs/>
          <w:color w:val="365F91"/>
          <w:sz w:val="28"/>
          <w:szCs w:val="28"/>
        </w:rPr>
        <w:t xml:space="preserve">5.4 E4 — Datos maestros</w:t>
      </w:r>
    </w:p>
    <w:p>
      <w:pPr>
        <w:spacing w:before="0" w:after="120" w:line="288" w:lineRule="auto"/>
        <w:jc w:val="both"/>
      </w:pPr>
      <w:r>
        <w:rPr>
          <w:rFonts w:ascii="Ubuntu" w:hAnsi="Ubuntu" w:cs="Ubuntu"/>
          <w:sz w:val="22"/>
          <w:szCs w:val="22"/>
        </w:rPr>
        <w:t xml:space="preserve">5 historias · 20 casos · precondición general: Bodega financiera generada en el sandbox (E3). Planes de cuentas CO01 y US01, CeCo, CeBe, tasas y jerarquía sintéticos en el ERP.</w:t>
      </w:r>
    </w:p>
    <w:p>
      <w:pPr>
        <w:pStyle w:val="Heading3"/>
        <w:spacing w:before="240" w:after="120"/>
        <w:jc w:val="left"/>
      </w:pPr>
      <w:r>
        <w:rPr>
          <w:rFonts w:ascii="Ubuntu" w:hAnsi="Ubuntu" w:cs="Ubuntu"/>
          <w:b/>
          <w:bCs/>
          <w:color w:val="365F91"/>
          <w:sz w:val="24"/>
          <w:szCs w:val="24"/>
        </w:rPr>
        <w:t xml:space="preserve">HU-21 — Cargar los planes de cuentas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CP-122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Cargar el plan de cuentas de cada sociedad</w:t>
            </w:r>
            <w:r>
              <w:rPr>
                <w:rFonts w:ascii="Ubuntu" w:hAnsi="Ubuntu" w:cs="Ubuntu"/>
                <w:sz w:val="22"/>
                <w:szCs w:val="22"/>
              </w:rPr>
              <w:t xml:space="preserve"> (HU-21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Planes de cuentas. 2) Comparar por plan las cuentas de BW con las del ERP (SKA1).</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carga el plan de cuentas de cada sociedad registrada en UX-05 (RN-05).</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CP-123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cantidad de cuentas cargadas</w:t>
            </w:r>
            <w:r>
              <w:rPr>
                <w:rFonts w:ascii="Ubuntu" w:hAnsi="Ubuntu" w:cs="Ubuntu"/>
                <w:sz w:val="22"/>
                <w:szCs w:val="22"/>
              </w:rPr>
              <w:t xml:space="preserve"> (HU-21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2) Comparar la cantidad de UX-09 con el conteo en BW.</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paso «Planes de cuentas» se ve en UX-09 con la cantidad de cuentas cargadas.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CP-124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Reportar una sociedad sin plan de cuentas</w:t>
            </w:r>
            <w:r>
              <w:rPr>
                <w:rFonts w:ascii="Ubuntu" w:hAnsi="Ubuntu" w:cs="Ubuntu"/>
                <w:sz w:val="22"/>
                <w:szCs w:val="22"/>
              </w:rPr>
              <w:t xml:space="preserve"> (HU-21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Registrar la sociedad D600 con un plan inexistente en el ERP. 2) Ejecutar el paso.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Una sociedad sin plan de cuentas en el ERP se reporta como error del paso con su código.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HU-22 — Cargar centros de costo y de beneficio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CP-125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Cargar CeCo y CeBe de las sociedades</w:t>
            </w:r>
            <w:r>
              <w:rPr>
                <w:rFonts w:ascii="Ubuntu" w:hAnsi="Ubuntu" w:cs="Ubuntu"/>
                <w:sz w:val="22"/>
                <w:szCs w:val="22"/>
              </w:rPr>
              <w:t xml:space="preserve"> (HU-22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2) Comparar CeCo y CeBe de BW con CSKS y CEPC del ERP.</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cargan CeCo y CeBe de todas las sociedades seleccionadas.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CP-126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las cantidades de CeCo y CeBe</w:t>
            </w:r>
            <w:r>
              <w:rPr>
                <w:rFonts w:ascii="Ubuntu" w:hAnsi="Ubuntu" w:cs="Ubuntu"/>
                <w:sz w:val="22"/>
                <w:szCs w:val="22"/>
              </w:rPr>
              <w:t xml:space="preserve"> (HU-22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2) Comparar las cantidades de UX-09 con el conteo en BW.</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paso se ve en UX-09 con las cantidades cargadas.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CP-127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sociedad y el mensaje de un error de carga</w:t>
            </w:r>
            <w:r>
              <w:rPr>
                <w:rFonts w:ascii="Ubuntu" w:hAnsi="Ubuntu" w:cs="Ubuntu"/>
                <w:sz w:val="22"/>
                <w:szCs w:val="22"/>
              </w:rPr>
              <w:t xml:space="preserve"> (HU-22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Asignar a D200 un área de controlling inexistente. 2) Ejecutar el paso.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error de carga muestra la sociedad y el mensaje del sistema.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HU-23 — Cargar monedas y tasas de cambio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CP-128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Tomar la moneda local de SAP</w:t>
            </w:r>
            <w:r>
              <w:rPr>
                <w:rFonts w:ascii="Ubuntu" w:hAnsi="Ubuntu" w:cs="Ubuntu"/>
                <w:sz w:val="22"/>
                <w:szCs w:val="22"/>
              </w:rPr>
              <w:t xml:space="preserve"> (HU-23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Monedas y tasas. 2) Comparar la moneda de cada sociedad con T001 del ERP.</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moneda local de cada sociedad se toma tal como la maneja SAP (RN-06).</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CP-129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Cargar tasas de cierre, promedio e histórica</w:t>
            </w:r>
            <w:r>
              <w:rPr>
                <w:rFonts w:ascii="Ubuntu" w:hAnsi="Ubuntu" w:cs="Ubuntu"/>
                <w:sz w:val="22"/>
                <w:szCs w:val="22"/>
              </w:rPr>
              <w:t xml:space="preserve"> (HU-23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2) Consultar en BW las tasas por moneda y periodo 2026.06.</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cargan tasas de cierre, promedio e histórica por moneda y periodo (RN-11).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CP-130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Reportar una moneda sin tasa</w:t>
            </w:r>
            <w:r>
              <w:rPr>
                <w:rFonts w:ascii="Ubuntu" w:hAnsi="Ubuntu" w:cs="Ubuntu"/>
                <w:sz w:val="22"/>
                <w:szCs w:val="22"/>
              </w:rPr>
              <w:t xml:space="preserve"> (HU-23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Borrar en el sandbox la tasa USD de 2026.06. 2) Ejecutar el paso.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Una moneda sin tasa para el periodo se reporta como error del paso en UX-09.</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CP-131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monedas y tipos de tasa en el plan</w:t>
            </w:r>
            <w:r>
              <w:rPr>
                <w:rFonts w:ascii="Ubuntu" w:hAnsi="Ubuntu" w:cs="Ubuntu"/>
                <w:sz w:val="22"/>
                <w:szCs w:val="22"/>
              </w:rPr>
              <w:t xml:space="preserve"> (HU-23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UX-08. 2) Revisar el grupo Monedas y tasas.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UX-08 muestra la moneda local por sociedad y los tipos de tasa.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HU-24 — Cargar la jerarquía de cuentas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CP-132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Cargar la jerarquía de cuentas</w:t>
            </w:r>
            <w:r>
              <w:rPr>
                <w:rFonts w:ascii="Ubuntu" w:hAnsi="Ubuntu" w:cs="Ubuntu"/>
                <w:sz w:val="22"/>
                <w:szCs w:val="22"/>
              </w:rPr>
              <w:t xml:space="preserve"> (HU-24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Jerarquía. 2) Comparar la jerarquía de BW con la del ERP.</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carga la jerarquía de cuentas desde el ERP.</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CP-133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Reportar una cuenta de la jerarquía fuera del plan</w:t>
            </w:r>
            <w:r>
              <w:rPr>
                <w:rFonts w:ascii="Ubuntu" w:hAnsi="Ubuntu" w:cs="Ubuntu"/>
                <w:sz w:val="22"/>
                <w:szCs w:val="22"/>
              </w:rPr>
              <w:t xml:space="preserve"> (HU-24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Agregar a la jerarquía del ERP la cuenta 8888 inexistente en el plan. 2) Ejecutar el paso.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Una cuenta en la jerarquía que no existe en el plan de cuentas se reporta en el paso.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CP-134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cantidad de nodos</w:t>
            </w:r>
            <w:r>
              <w:rPr>
                <w:rFonts w:ascii="Ubuntu" w:hAnsi="Ubuntu" w:cs="Ubuntu"/>
                <w:sz w:val="22"/>
                <w:szCs w:val="22"/>
              </w:rPr>
              <w:t xml:space="preserve"> (HU-24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2) Comparar la cantidad de UX-09 con los nodos en BW.</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paso se ve en UX-09 con la cantidad de nodos cargados.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HU-25 — Cargar la información de sociedades no SAP</w:t>
      </w:r>
    </w:p>
    <w:p>
      <w:pPr>
        <w:spacing w:before="0" w:after="120" w:line="288" w:lineRule="auto"/>
        <w:jc w:val="both"/>
      </w:pPr>
      <w:r>
        <w:rPr>
          <w:rFonts w:ascii="Ubuntu" w:hAnsi="Ubuntu" w:cs="Ubuntu"/>
          <w:b/>
          <w:bCs/>
          <w:sz w:val="22"/>
          <w:szCs w:val="22"/>
        </w:rPr>
        <w:t xml:space="preserve">Precondición: </w:t>
      </w:r>
      <w:r>
        <w:rPr>
          <w:rFonts w:ascii="Ubuntu" w:hAnsi="Ubuntu" w:cs="Ubuntu"/>
          <w:sz w:val="22"/>
          <w:szCs w:val="22"/>
        </w:rPr>
        <w:t xml:space="preserve">Sociedad D400 marcada como no SAP. Archivos sintéticos D400_2026_06 (válido, con errores y descuadrado) en la carpeta de datos de prueba.</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CP-135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Ver la vista previa del archivo no SAP</w:t>
            </w:r>
            <w:r>
              <w:rPr>
                <w:rFonts w:ascii="Ubuntu" w:hAnsi="Ubuntu" w:cs="Ubuntu"/>
                <w:sz w:val="22"/>
                <w:szCs w:val="22"/>
              </w:rPr>
              <w:t xml:space="preserve"> (HU-25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UX-07. 2) Subir D400_2026_06_valido.csv. 3) Revisar las columnas de la vista previa.</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UX-07 se sube un archivo por sociedad no SAP y se ve la vista previa con sociedad, cuenta, periodo, tercero, CeCo, CeBe e importe.</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CP-136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Listar los errores por fila</w:t>
            </w:r>
            <w:r>
              <w:rPr>
                <w:rFonts w:ascii="Ubuntu" w:hAnsi="Ubuntu" w:cs="Ubuntu"/>
                <w:sz w:val="22"/>
                <w:szCs w:val="22"/>
              </w:rPr>
              <w:t xml:space="preserve"> (HU-25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Subir D400_2026_06_errores.csv (importe no numérico en la fila 3 y cuenta 9999 sin mapear en la fila 5). 2) Revisar la lista de errores.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errores se listan por fila, columna y motivo; una cuenta fuera del mapeo se marca como «cuenta sin mapear».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CP-137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Habilitar Confirmar carga solo sin errores</w:t>
            </w:r>
            <w:r>
              <w:rPr>
                <w:rFonts w:ascii="Ubuntu" w:hAnsi="Ubuntu" w:cs="Ubuntu"/>
                <w:sz w:val="22"/>
                <w:szCs w:val="22"/>
              </w:rPr>
              <w:t xml:space="preserve"> (HU-25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Subir el archivo con errores y revisar Confirmar carga. 2) Subir el archivo válido y revisar Confirmar carga.</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Con el archivo con errores, Confirmar carga queda deshabilitado; con el archivo válido, Confirmar carga se habilita.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CP-138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Rechazar el archivo de una sociedad no registrada</w:t>
            </w:r>
            <w:r>
              <w:rPr>
                <w:rFonts w:ascii="Ubuntu" w:hAnsi="Ubuntu" w:cs="Ubuntu"/>
                <w:sz w:val="22"/>
                <w:szCs w:val="22"/>
              </w:rPr>
              <w:t xml:space="preserve"> (HU-25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Subir un archivo con el código de sociedad D999. 2) Revisar el resultado.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archivo debe ser de una sociedad del grupo registrada (RN-07).</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CP-139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Pasar la carga no SAP por la validación de cuadre</w:t>
            </w:r>
            <w:r>
              <w:rPr>
                <w:rFonts w:ascii="Ubuntu" w:hAnsi="Ubuntu" w:cs="Ubuntu"/>
                <w:sz w:val="22"/>
                <w:szCs w:val="22"/>
              </w:rPr>
              <w:t xml:space="preserve"> (HU-25 / criterio 5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Subir D400_2026_06_descuadrado.csv. 2) Confirmar la carga. 3) Ejecutar la importación. 4) Consultar C03.</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carga pasa por la validación de cuadre de HU-36 antes de llegar a BPC.</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CP-140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vacío de UX-07 Carga de sociedades no SAP</w:t>
            </w:r>
            <w:r>
              <w:rPr>
                <w:rFonts w:ascii="Ubuntu" w:hAnsi="Ubuntu" w:cs="Ubuntu"/>
                <w:sz w:val="22"/>
                <w:szCs w:val="22"/>
              </w:rPr>
              <w:t xml:space="preserve"> (UX-07 / estado vacío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Dejar todas las sociedades como SAP en UX-05. 2) Revisar la navegación lateral. 3) Abrir UX-07 por su dirección directa.</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«Ninguna sociedad está marcada como no SAP»; el paso no aparece en la navegación.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CP-141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UX-07 Carga de sociedades no SAP</w:t>
            </w:r>
            <w:r>
              <w:rPr>
                <w:rFonts w:ascii="Ubuntu" w:hAnsi="Ubuntu" w:cs="Ubuntu"/>
                <w:sz w:val="22"/>
                <w:szCs w:val="22"/>
              </w:rPr>
              <w:t xml:space="preserve"> (UX-07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Subir el archivo de volumen D400_volumen.csv (100.000 filas). 2) Observar la pantalla durante la subida.</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barra de progreso de subida.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r>
        <w:br w:type="page"/>
      </w:r>
    </w:p>
    <w:p>
      <w:pPr>
        <w:pStyle w:val="Heading2"/>
        <w:spacing w:before="240" w:after="120"/>
        <w:jc w:val="left"/>
      </w:pPr>
      <w:r>
        <w:rPr>
          <w:rFonts w:ascii="Ubuntu" w:hAnsi="Ubuntu" w:cs="Ubuntu"/>
          <w:b/>
          <w:bCs/>
          <w:color w:val="365F91"/>
          <w:sz w:val="28"/>
          <w:szCs w:val="28"/>
        </w:rPr>
        <w:t xml:space="preserve">5.5 E5 — Modelo BPC y consolidación</w:t>
      </w:r>
    </w:p>
    <w:p>
      <w:pPr>
        <w:spacing w:before="0" w:after="120" w:line="288" w:lineRule="auto"/>
        <w:jc w:val="both"/>
      </w:pPr>
      <w:r>
        <w:rPr>
          <w:rFonts w:ascii="Ubuntu" w:hAnsi="Ubuntu" w:cs="Ubuntu"/>
          <w:sz w:val="22"/>
          <w:szCs w:val="22"/>
        </w:rPr>
        <w:t xml:space="preserve">9 historias · 36 casos · precondición general: Bodega y datos maestros cargados (E3, E4) con los movimientos sintéticos del periodo 2026.06.</w:t>
      </w:r>
    </w:p>
    <w:p>
      <w:pPr>
        <w:pStyle w:val="Heading3"/>
        <w:spacing w:before="240" w:after="120"/>
        <w:jc w:val="left"/>
      </w:pPr>
      <w:r>
        <w:rPr>
          <w:rFonts w:ascii="Ubuntu" w:hAnsi="Ubuntu" w:cs="Ubuntu"/>
          <w:b/>
          <w:bCs/>
          <w:color w:val="365F91"/>
          <w:sz w:val="24"/>
          <w:szCs w:val="24"/>
        </w:rPr>
        <w:t xml:space="preserve">HU-26 — Configurar las dimensiones del modelo de consolidación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CP-146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Crear las dimensiones del modelo</w:t>
            </w:r>
            <w:r>
              <w:rPr>
                <w:rFonts w:ascii="Ubuntu" w:hAnsi="Ubuntu" w:cs="Ubuntu"/>
                <w:sz w:val="22"/>
                <w:szCs w:val="22"/>
              </w:rPr>
              <w:t xml:space="preserve"> (HU-26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Modelo BPC. 2) Listar las dimensiones del ambiente BPC.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crean las dimensiones definidas en arquitectura, entre ellas cuentas, entidades, intercompañía y terceros.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CP-147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Cargar los miembros desde los datos maestros</w:t>
            </w:r>
            <w:r>
              <w:rPr>
                <w:rFonts w:ascii="Ubuntu" w:hAnsi="Ubuntu" w:cs="Ubuntu"/>
                <w:sz w:val="22"/>
                <w:szCs w:val="22"/>
              </w:rPr>
              <w:t xml:space="preserve"> (HU-26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2) Comparar la cantidad de miembros por dimensión con los datos maestros de BW.</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miembros se cargan desde los datos maestros de E4.</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CP-148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modelo en el plan y en la ejecución</w:t>
            </w:r>
            <w:r>
              <w:rPr>
                <w:rFonts w:ascii="Ubuntu" w:hAnsi="Ubuntu" w:cs="Ubuntu"/>
                <w:sz w:val="22"/>
                <w:szCs w:val="22"/>
              </w:rPr>
              <w:t xml:space="preserve"> (HU-26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UX-08. 2) Ejecutar y abrir UX-09.</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UX-08 lista el modelo de consolidación como objeto a crear y UX-09 muestra el paso.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CP-149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Reportar un miembro rechazado por BPC</w:t>
            </w:r>
            <w:r>
              <w:rPr>
                <w:rFonts w:ascii="Ubuntu" w:hAnsi="Ubuntu" w:cs="Ubuntu"/>
                <w:sz w:val="22"/>
                <w:szCs w:val="22"/>
              </w:rPr>
              <w:t xml:space="preserve"> (HU-26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Agregar al maestro la cuenta «12/34» con un carácter que BPC no admite. 2) Ejecutar el paso.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miembro rechazado por BPC se reporta con su código.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HU-27 — Importar los datos de BW a BPC</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CP-154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Generar la importación solo en arquitectura A</w:t>
            </w:r>
            <w:r>
              <w:rPr>
                <w:rFonts w:ascii="Ubuntu" w:hAnsi="Ubuntu" w:cs="Ubuntu"/>
                <w:sz w:val="22"/>
                <w:szCs w:val="22"/>
              </w:rPr>
              <w:t xml:space="preserve"> (HU-27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UX-08 de un cliente A y buscar el paso Importación a BPC. 2) Abrir UX-08 de un cliente B (doble de prueba) y buscar el mismo paso.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Aplica a la arquitectura A, la única soportada en la versión 1 (RN-19).</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CP-155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Importar por sociedad y periodo con Data Manager</w:t>
            </w:r>
            <w:r>
              <w:rPr>
                <w:rFonts w:ascii="Ubuntu" w:hAnsi="Ubuntu" w:cs="Ubuntu"/>
                <w:sz w:val="22"/>
                <w:szCs w:val="22"/>
              </w:rPr>
              <w:t xml:space="preserve"> (HU-27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Revisar en BPC el paquete de Data Manager generado. 2) Ejecutarlo para D100 y 2026.06. 3) Consultar los datos en BPC.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importación se genera como paquete de Data Manager y se ejecuta por sociedad y periodo.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CP-156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Importar solo las sociedades que cuadran</w:t>
            </w:r>
            <w:r>
              <w:rPr>
                <w:rFonts w:ascii="Ubuntu" w:hAnsi="Ubuntu" w:cs="Ubuntu"/>
                <w:sz w:val="22"/>
                <w:szCs w:val="22"/>
              </w:rPr>
              <w:t xml:space="preserve"> (HU-27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Descuadrar D200 en 2026.06. 2) Ejecutar la importación. 3) Consultar en BPC las sociedades con datos.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Solo se importan las sociedades que pasan la validación de cuadre (HU-36).</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CP-157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cantidad de registros importados</w:t>
            </w:r>
            <w:r>
              <w:rPr>
                <w:rFonts w:ascii="Ubuntu" w:hAnsi="Ubuntu" w:cs="Ubuntu"/>
                <w:sz w:val="22"/>
                <w:szCs w:val="22"/>
              </w:rPr>
              <w:t xml:space="preserve"> (HU-27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la importación. 2) Comparar la cantidad de UX-09 con los registros en BPC.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paso «Importación a BPC» se ve en UX-09 con la cantidad de registros.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 · Humo</w:t>
            </w:r>
          </w:p>
        </w:tc>
      </w:tr>
    </w:tbl>
    <w:p>
      <w:pPr>
        <w:spacing w:after="0"/>
      </w:pPr>
    </w:p>
    <w:p>
      <w:pPr>
        <w:pStyle w:val="Heading3"/>
        <w:spacing w:before="240" w:after="120"/>
        <w:jc w:val="left"/>
      </w:pPr>
      <w:r>
        <w:rPr>
          <w:rFonts w:ascii="Ubuntu" w:hAnsi="Ubuntu" w:cs="Ubuntu"/>
          <w:b/>
          <w:bCs/>
          <w:color w:val="365F91"/>
          <w:sz w:val="24"/>
          <w:szCs w:val="24"/>
        </w:rPr>
        <w:t xml:space="preserve">HU-28 — Desplegar los scripts de consolidación por variante</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CP-162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Desplegar la variante de modelo estándar</w:t>
            </w:r>
            <w:r>
              <w:rPr>
                <w:rFonts w:ascii="Ubuntu" w:hAnsi="Ubuntu" w:cs="Ubuntu"/>
                <w:sz w:val="22"/>
                <w:szCs w:val="22"/>
              </w:rPr>
              <w:t xml:space="preserve"> (HU-28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Scripts. 2) Abrir en UJFS el script desplegado y su encabezado de variante.</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script usa la variante de BPC modelo estándar (RN-02); la variante embebida queda fuera de la versión 1 (RN-19).</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CP-163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Insertar los códigos del cliente sin edición manual</w:t>
            </w:r>
            <w:r>
              <w:rPr>
                <w:rFonts w:ascii="Ubuntu" w:hAnsi="Ubuntu" w:cs="Ubuntu"/>
                <w:sz w:val="22"/>
                <w:szCs w:val="22"/>
              </w:rPr>
              <w:t xml:space="preserve"> (HU-28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2) Comparar las sociedades y cuentas del script con las del Grupo Demo.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códigos de sociedades y cuentas del cliente se insertan sin edición manual.</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CP-164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variante en el plan</w:t>
            </w:r>
            <w:r>
              <w:rPr>
                <w:rFonts w:ascii="Ubuntu" w:hAnsi="Ubuntu" w:cs="Ubuntu"/>
                <w:sz w:val="22"/>
                <w:szCs w:val="22"/>
              </w:rPr>
              <w:t xml:space="preserve"> (HU-28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UX-08. 2) Revisar la variante de scripts.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UX-08 muestra la variante que se va a desplegar.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CP-165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Respaldar con UJBR antes de reemplazar un script</w:t>
            </w:r>
            <w:r>
              <w:rPr>
                <w:rFonts w:ascii="Ubuntu" w:hAnsi="Ubuntu" w:cs="Ubuntu"/>
                <w:sz w:val="22"/>
                <w:szCs w:val="22"/>
              </w:rPr>
              <w:t xml:space="preserve"> (HU-28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Desplegar los scripts. 2) Modificar el script en UJFS. 3) Desplegar de nuevo. 4) Revisar los respaldos UJBR.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Antes de reemplazar un script existente se genera respaldo UJBR.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HU-29 — Ejecutar la consolidación con eliminación intercompañía</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CP-166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Consolidar solo las sociedades del grupo</w:t>
            </w:r>
            <w:r>
              <w:rPr>
                <w:rFonts w:ascii="Ubuntu" w:hAnsi="Ubuntu" w:cs="Ubuntu"/>
                <w:sz w:val="22"/>
                <w:szCs w:val="22"/>
              </w:rPr>
              <w:t xml:space="preserve"> (HU-29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la consolidación de 2026.06. 2) Listar las entidades del resultado.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Solo participan las sociedades del grupo (RN-07).</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CP-167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Eliminar las transacciones intercompañía</w:t>
            </w:r>
            <w:r>
              <w:rPr>
                <w:rFonts w:ascii="Ubuntu" w:hAnsi="Ubuntu" w:cs="Ubuntu"/>
                <w:sz w:val="22"/>
                <w:szCs w:val="22"/>
              </w:rPr>
              <w:t xml:space="preserve"> (HU-29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Cargar una venta intercompañía D100 a D200 de 1.000.000 COP. 2) Consolidar 2026.06. 3) Consultar los saldos intercompañía consolidados.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transacciones intercompañía entre sociedades con integración global se eliminan.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 · Humo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CP-168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resultado o la causa del paso Consolidación</w:t>
            </w:r>
            <w:r>
              <w:rPr>
                <w:rFonts w:ascii="Ubuntu" w:hAnsi="Ubuntu" w:cs="Ubuntu"/>
                <w:sz w:val="22"/>
                <w:szCs w:val="22"/>
              </w:rPr>
              <w:t xml:space="preserve"> (HU-29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Consolidar y revisar el paso en UX-09. 2) Desactivar la regla de eliminación en BPC. 3) Consolidar de nuevo y revisar el paso.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paso «Consolidación» en UX-09 muestra el resultado; si falla, muestra la causa y Reintentar desde este paso.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CP-169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Consultar las eliminaciones en R05</w:t>
            </w:r>
            <w:r>
              <w:rPr>
                <w:rFonts w:ascii="Ubuntu" w:hAnsi="Ubuntu" w:cs="Ubuntu"/>
                <w:sz w:val="22"/>
                <w:szCs w:val="22"/>
              </w:rPr>
              <w:t xml:space="preserve"> (HU-29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Consolidar 2026.06. 2) Abrir R05 con D100 e Incluir filiales.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resultado queda consultable en R05 Hoja de eliminaciones intercompañía.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HU-30 — Convertir a la otra moneda de presentación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CP-170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Convertir con la tasa de cada tipo de cuenta</w:t>
            </w:r>
            <w:r>
              <w:rPr>
                <w:rFonts w:ascii="Ubuntu" w:hAnsi="Ubuntu" w:cs="Ubuntu"/>
                <w:sz w:val="22"/>
                <w:szCs w:val="22"/>
              </w:rPr>
              <w:t xml:space="preserve"> (HU-30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Convertir 2026.06. 2) Comparar una cuenta de balance, una de resultados y una de patrimonio de D100 con su importe local por la tasa sintética.</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Balance con tasa de cierre, resultados con tasa promedio y patrimonio con tasa histórica (RN-11).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CP-171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Dejar la consolidación en ambas monedas</w:t>
            </w:r>
            <w:r>
              <w:rPr>
                <w:rFonts w:ascii="Ubuntu" w:hAnsi="Ubuntu" w:cs="Ubuntu"/>
                <w:sz w:val="22"/>
                <w:szCs w:val="22"/>
              </w:rPr>
              <w:t xml:space="preserve"> (HU-30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Consultar en BPC el resultado consolidado en COP y en USD.</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consolidación queda disponible en ambas monedas (RN-06).</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CP-172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resumen de las dos monedas</w:t>
            </w:r>
            <w:r>
              <w:rPr>
                <w:rFonts w:ascii="Ubuntu" w:hAnsi="Ubuntu" w:cs="Ubuntu"/>
                <w:sz w:val="22"/>
                <w:szCs w:val="22"/>
              </w:rPr>
              <w:t xml:space="preserve"> (HU-30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plan. 2) Leer el resumen en UX-09.</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UX-09 muestra el resumen «Consolidación disponible en moneda local y en dólares».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 · Humo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CP-173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Fallar e indicar la moneda sin tasa</w:t>
            </w:r>
            <w:r>
              <w:rPr>
                <w:rFonts w:ascii="Ubuntu" w:hAnsi="Ubuntu" w:cs="Ubuntu"/>
                <w:sz w:val="22"/>
                <w:szCs w:val="22"/>
              </w:rPr>
              <w:t xml:space="preserve"> (HU-30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Borrar la tasa de cierre USD de 2026.06. 2) Convertir. 3) Revisar el paso.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 falta una tasa del periodo, el paso falla e indica la moneda.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HU-31 — Registrar la diferencia en conversión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CP-174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Registrar la diferencia en conversión en patrimonio</w:t>
            </w:r>
            <w:r>
              <w:rPr>
                <w:rFonts w:ascii="Ubuntu" w:hAnsi="Ubuntu" w:cs="Ubuntu"/>
                <w:sz w:val="22"/>
                <w:szCs w:val="22"/>
              </w:rPr>
              <w:t xml:space="preserve"> (HU-31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Convertir 2026.06. 2) Consultar la cuenta de patrimonio configurada y las cuentas de resultados.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diferencia se registra en la cuenta de patrimonio configurada, no en resultados (RN-18).</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CP-175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Cuadrar el balance convertido</w:t>
            </w:r>
            <w:r>
              <w:rPr>
                <w:rFonts w:ascii="Ubuntu" w:hAnsi="Ubuntu" w:cs="Ubuntu"/>
                <w:sz w:val="22"/>
                <w:szCs w:val="22"/>
              </w:rPr>
              <w:t xml:space="preserve"> (HU-31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Convertir 2026.06. 2) Calcular activo menos pasivo y patrimonio en la moneda de presentación.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Después de convertir, activo menos pasivo y patrimonio da cero en la moneda de presentación.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CP-176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cuenta de destino y el paso</w:t>
            </w:r>
            <w:r>
              <w:rPr>
                <w:rFonts w:ascii="Ubuntu" w:hAnsi="Ubuntu" w:cs="Ubuntu"/>
                <w:sz w:val="22"/>
                <w:szCs w:val="22"/>
              </w:rPr>
              <w:t xml:space="preserve"> (HU-31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UX-08. 2) Ejecutar y abrir UX-09.</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UX-08 muestra la cuenta de destino y UX-09 el paso con su resultado.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HU-32 — Generar el modelo de propiedad</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CP-177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Crear el modelo de propiedad con la estructura inicial</w:t>
            </w:r>
            <w:r>
              <w:rPr>
                <w:rFonts w:ascii="Ubuntu" w:hAnsi="Ubuntu" w:cs="Ubuntu"/>
                <w:sz w:val="22"/>
                <w:szCs w:val="22"/>
              </w:rPr>
              <w:t xml:space="preserve"> (HU-32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Modelo de propiedad. 2) Consultar en BPC los porcentajes y métodos del primer periodo.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crea el modelo de propiedad con la estructura registrada en HU-10 como primer periodo.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CP-178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Generar la plantilla C02 conectada</w:t>
            </w:r>
            <w:r>
              <w:rPr>
                <w:rFonts w:ascii="Ubuntu" w:hAnsi="Ubuntu" w:cs="Ubuntu"/>
                <w:sz w:val="22"/>
                <w:szCs w:val="22"/>
              </w:rPr>
              <w:t xml:space="preserve"> (HU-32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2) Abrir C02 y actualizar.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genera la plantilla C02 conectada al modelo de propiedad.</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CP-179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Listar el modelo de propiedad y C02 en el plan</w:t>
            </w:r>
            <w:r>
              <w:rPr>
                <w:rFonts w:ascii="Ubuntu" w:hAnsi="Ubuntu" w:cs="Ubuntu"/>
                <w:sz w:val="22"/>
                <w:szCs w:val="22"/>
              </w:rPr>
              <w:t xml:space="preserve"> (HU-32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UX-08. 2) Buscar los dos objetos.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UX-08 lista el modelo de propiedad y la plantilla C02 como objetos a crear.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CP-180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C02 en el catálogo</w:t>
            </w:r>
            <w:r>
              <w:rPr>
                <w:rFonts w:ascii="Ubuntu" w:hAnsi="Ubuntu" w:cs="Ubuntu"/>
                <w:sz w:val="22"/>
                <w:szCs w:val="22"/>
              </w:rPr>
              <w:t xml:space="preserve"> (HU-32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UX-10. 2) Buscar C02.</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C02 aparece en el catálogo de UX-10.</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HU-33 — Eliminar inversión y calcular interés minoritario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CP-181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Eliminar inversión solo con integración global</w:t>
            </w:r>
            <w:r>
              <w:rPr>
                <w:rFonts w:ascii="Ubuntu" w:hAnsi="Ubuntu" w:cs="Ubuntu"/>
                <w:sz w:val="22"/>
                <w:szCs w:val="22"/>
              </w:rPr>
              <w:t xml:space="preserve"> (HU-33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Consolidar 2026.06. 2) Revisar las eliminaciones de inversión de D200, D300 y D400.</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Aplica a las sociedades con método integración global en el periodo (RN-13).</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CP-182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Usar los porcentajes del periodo</w:t>
            </w:r>
            <w:r>
              <w:rPr>
                <w:rFonts w:ascii="Ubuntu" w:hAnsi="Ubuntu" w:cs="Ubuntu"/>
                <w:sz w:val="22"/>
                <w:szCs w:val="22"/>
              </w:rPr>
              <w:t xml:space="preserve"> (HU-33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Cambiar el % de D200 a 90 en 2026.07. 2) Consolidar 2026.06 y 2026.07. 3) Comparar el interés minoritario de cada periodo.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Usa los porcentajes del periodo; un cambio de porcentaje no altera periodos anteriores (RN-14).</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CP-183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Presentar el interés minoritario separado</w:t>
            </w:r>
            <w:r>
              <w:rPr>
                <w:rFonts w:ascii="Ubuntu" w:hAnsi="Ubuntu" w:cs="Ubuntu"/>
                <w:sz w:val="22"/>
                <w:szCs w:val="22"/>
              </w:rPr>
              <w:t xml:space="preserve"> (HU-33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Consolidar 2026.06. 2) Abrir el patrimonio consolidado en R03.</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interés minoritario se presenta separado en el patrimonio consolidado.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CP-184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paso de eliminación de inversión</w:t>
            </w:r>
            <w:r>
              <w:rPr>
                <w:rFonts w:ascii="Ubuntu" w:hAnsi="Ubuntu" w:cs="Ubuntu"/>
                <w:sz w:val="22"/>
                <w:szCs w:val="22"/>
              </w:rPr>
              <w:t xml:space="preserve"> (HU-33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plan. 2) Revisar UX-09.</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UX-09 muestra el paso «Eliminación de inversión e interés minoritario».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CP-185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Dejar la diferencia de eliminación en una cuenta identificable</w:t>
            </w:r>
            <w:r>
              <w:rPr>
                <w:rFonts w:ascii="Ubuntu" w:hAnsi="Ubuntu" w:cs="Ubuntu"/>
                <w:sz w:val="22"/>
                <w:szCs w:val="22"/>
              </w:rPr>
              <w:t xml:space="preserve"> (HU-33 / criterio 5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Consolidar 2026.06. 2) Consultar la cuenta de diferencia entre inversión y patrimonio eliminado.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diferencia entre inversión y patrimonio eliminado queda en una cuenta identificable.</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HU-34 — Aplicar el método de participación a coligadas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CP-186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No integrar línea a línea las coligadas</w:t>
            </w:r>
            <w:r>
              <w:rPr>
                <w:rFonts w:ascii="Ubuntu" w:hAnsi="Ubuntu" w:cs="Ubuntu"/>
                <w:sz w:val="22"/>
                <w:szCs w:val="22"/>
              </w:rPr>
              <w:t xml:space="preserve"> (HU-34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Consolidar 2026.06. 2) Revisar las cuentas de D300 en el consolidado.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sociedades con método participación no se integran línea a línea (RN-13).</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CP-187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Reconocer la proporción del resultado de la coligada</w:t>
            </w:r>
            <w:r>
              <w:rPr>
                <w:rFonts w:ascii="Ubuntu" w:hAnsi="Ubuntu" w:cs="Ubuntu"/>
                <w:sz w:val="22"/>
                <w:szCs w:val="22"/>
              </w:rPr>
              <w:t xml:space="preserve"> (HU-34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Consolidar 2026.06. 2) Comparar el resultado reconocido con el 30 % del resultado de D300.</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reconoce la proporción del resultado según el porcentaje de propiedad del periodo.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CP-188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No eliminar transacciones con coligadas</w:t>
            </w:r>
            <w:r>
              <w:rPr>
                <w:rFonts w:ascii="Ubuntu" w:hAnsi="Ubuntu" w:cs="Ubuntu"/>
                <w:sz w:val="22"/>
                <w:szCs w:val="22"/>
              </w:rPr>
              <w:t xml:space="preserve"> (HU-34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Cargar una venta D100 a D300 de 500.000 COP. 2) Consolidar. 3) Consultar la transacción en el consolidado.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transacciones con coligadas no se eliminan.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CP-189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Excluir sociedades fuera del perímetro</w:t>
            </w:r>
            <w:r>
              <w:rPr>
                <w:rFonts w:ascii="Ubuntu" w:hAnsi="Ubuntu" w:cs="Ubuntu"/>
                <w:sz w:val="22"/>
                <w:szCs w:val="22"/>
              </w:rPr>
              <w:t xml:space="preserve"> (HU-34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Consolidar 2026.06. 2) Buscar D900 en el consolidado.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sociedades fuera del perímetro no participan en el periodo.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r>
        <w:br w:type="page"/>
      </w:r>
    </w:p>
    <w:p>
      <w:pPr>
        <w:pStyle w:val="Heading2"/>
        <w:spacing w:before="240" w:after="120"/>
        <w:jc w:val="left"/>
      </w:pPr>
      <w:r>
        <w:rPr>
          <w:rFonts w:ascii="Ubuntu" w:hAnsi="Ubuntu" w:cs="Ubuntu"/>
          <w:b/>
          <w:bCs/>
          <w:color w:val="365F91"/>
          <w:sz w:val="28"/>
          <w:szCs w:val="28"/>
        </w:rPr>
        <w:t xml:space="preserve">5.6 E6 — Control del cierre</w:t>
      </w:r>
    </w:p>
    <w:p>
      <w:pPr>
        <w:spacing w:before="0" w:after="120" w:line="288" w:lineRule="auto"/>
        <w:jc w:val="both"/>
      </w:pPr>
      <w:r>
        <w:rPr>
          <w:rFonts w:ascii="Ubuntu" w:hAnsi="Ubuntu" w:cs="Ubuntu"/>
          <w:sz w:val="22"/>
          <w:szCs w:val="22"/>
        </w:rPr>
        <w:t xml:space="preserve">7 historias · 50 casos · precondición general: Modelo de consolidación generado y periodo 2026.06 importado (E5). Excel con EPM add-in conectado al modelo con el usuario financiero de prueba.</w:t>
      </w:r>
    </w:p>
    <w:p>
      <w:pPr>
        <w:pStyle w:val="Heading3"/>
        <w:spacing w:before="240" w:after="120"/>
        <w:jc w:val="left"/>
      </w:pPr>
      <w:r>
        <w:rPr>
          <w:rFonts w:ascii="Ubuntu" w:hAnsi="Ubuntu" w:cs="Ubuntu"/>
          <w:b/>
          <w:bCs/>
          <w:color w:val="365F91"/>
          <w:sz w:val="24"/>
          <w:szCs w:val="24"/>
        </w:rPr>
        <w:t xml:space="preserve">HU-35 — Mantener participaciones y métodos por periodo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CP-190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Editar participaciones y métodos por periodo</w:t>
            </w:r>
            <w:r>
              <w:rPr>
                <w:rFonts w:ascii="Ubuntu" w:hAnsi="Ubuntu" w:cs="Ubuntu"/>
                <w:sz w:val="22"/>
                <w:szCs w:val="22"/>
              </w:rPr>
              <w:t xml:space="preserve"> (HU-35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UX-13. 2) Elegir Grupo Demo y 2026.07. 3) Editar los cuatro porcentajes y el método de D200. 4)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UX-13 se elige grupo y periodo y se editan % control, % consolidación, % propiedad y método por sociedad.</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CP-191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Copiar las participaciones del periodo anterior</w:t>
            </w:r>
            <w:r>
              <w:rPr>
                <w:rFonts w:ascii="Ubuntu" w:hAnsi="Ubuntu" w:cs="Ubuntu"/>
                <w:sz w:val="22"/>
                <w:szCs w:val="22"/>
              </w:rPr>
              <w:t xml:space="preserve"> (HU-35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Elegir 2026.08 sin datos. 2) Pulsar Copiar del periodo anterior.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Copiar del periodo anterior trae las participaciones del mes previo.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CP-192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Validar rango y método por celda</w:t>
            </w:r>
            <w:r>
              <w:rPr>
                <w:rFonts w:ascii="Ubuntu" w:hAnsi="Ubuntu" w:cs="Ubuntu"/>
                <w:sz w:val="22"/>
                <w:szCs w:val="22"/>
              </w:rPr>
              <w:t xml:space="preserve"> (HU-35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Escribir 150 en % control de D200. 2) Dejar sin método a D300. 3)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porcentajes deben estar entre 0 y 100 y el método es obligatorio; un error marca la celda y no guarda la fila.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CP-193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Aplicar el cambio desde el periodo elegido</w:t>
            </w:r>
            <w:r>
              <w:rPr>
                <w:rFonts w:ascii="Ubuntu" w:hAnsi="Ubuntu" w:cs="Ubuntu"/>
                <w:sz w:val="22"/>
                <w:szCs w:val="22"/>
              </w:rPr>
              <w:t xml:space="preserve"> (HU-35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Cambiar el % propiedad de D200 a 90 en 2026.07. 2) Consultar 2026.06 y 2026.07.</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cambio aplica desde el periodo elegido y no altera los anteriores (RN-14).</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CP-194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Registrar cada cambio de participación</w:t>
            </w:r>
            <w:r>
              <w:rPr>
                <w:rFonts w:ascii="Ubuntu" w:hAnsi="Ubuntu" w:cs="Ubuntu"/>
                <w:sz w:val="22"/>
                <w:szCs w:val="22"/>
              </w:rPr>
              <w:t xml:space="preserve"> (HU-35 / criterio 5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Cambiar el % de D200. 2) Consultar la auditoría de BPC del cambio.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cambio queda registrado con usuario, fecha, valor anterior y nuevo (RNF-Aud-02).</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CP-195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vacío de UX-13 Participaciones y métodos</w:t>
            </w:r>
            <w:r>
              <w:rPr>
                <w:rFonts w:ascii="Ubuntu" w:hAnsi="Ubuntu" w:cs="Ubuntu"/>
                <w:sz w:val="22"/>
                <w:szCs w:val="22"/>
              </w:rPr>
              <w:t xml:space="preserve"> (UX-13 / estado vacío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Elegir Grupo Demo y el periodo 2026.12 sin participaciones.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«Sin participaciones para este periodo: copia las del periodo anterior o ingrésalas».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CP-196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UX-13 Participaciones y métodos</w:t>
            </w:r>
            <w:r>
              <w:rPr>
                <w:rFonts w:ascii="Ubuntu" w:hAnsi="Ubuntu" w:cs="Ubuntu"/>
                <w:sz w:val="22"/>
                <w:szCs w:val="22"/>
              </w:rPr>
              <w:t xml:space="preserve"> (UX-13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Editar un porcentaje. 2) Pulsar Guardar con 5 s de retardo simulado hacia BPC.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Guardando… en la cinta.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CP-197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Rechazar una participación de −0,01 en C02</w:t>
            </w:r>
            <w:r>
              <w:rPr>
                <w:rFonts w:ascii="Ubuntu" w:hAnsi="Ubuntu" w:cs="Ubuntu"/>
                <w:sz w:val="22"/>
                <w:szCs w:val="22"/>
              </w:rPr>
              <w:t xml:space="preserve"> (HU-35 / criterio 3 · límite inferior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Escribir −0,01 en % consolidación de D200 en 2026.07. 2) Pulsar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celda se marca, se muestra «No se guardó la fila…» con el rango 0 a 100 y la fila no se guarda.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CP-198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Rechazar una participación de 100,01 en C02</w:t>
            </w:r>
            <w:r>
              <w:rPr>
                <w:rFonts w:ascii="Ubuntu" w:hAnsi="Ubuntu" w:cs="Ubuntu"/>
                <w:sz w:val="22"/>
                <w:szCs w:val="22"/>
              </w:rPr>
              <w:t xml:space="preserve"> (HU-35 / criterio 3 · sobre el límite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Escribir 100,01 en % control de D200 en 2026.07. 2) Pulsar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celda se marca, se muestra «No se guardó la fila…» con el rango 0 a 100 y la fila no se guarda.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CP-199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No alterar el periodo anterior al cambio</w:t>
            </w:r>
            <w:r>
              <w:rPr>
                <w:rFonts w:ascii="Ubuntu" w:hAnsi="Ubuntu" w:cs="Ubuntu"/>
                <w:sz w:val="22"/>
                <w:szCs w:val="22"/>
              </w:rPr>
              <w:t xml:space="preserve"> (RN-14 · periodo anterior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Cambiar el % propiedad de D200 de 80 a 90 en 2026.07. 2) Consultar C02 y consolidar 2026.06.</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2026.06 conserva 80 % y su interés minoritario no cambia.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CP-200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Aplicar el cambio en el periodo en que se registra</w:t>
            </w:r>
            <w:r>
              <w:rPr>
                <w:rFonts w:ascii="Ubuntu" w:hAnsi="Ubuntu" w:cs="Ubuntu"/>
                <w:sz w:val="22"/>
                <w:szCs w:val="22"/>
              </w:rPr>
              <w:t xml:space="preserve"> (RN-14 · periodo del cambio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Cambiar el % propiedad de D200 de 80 a 90 en 2026.07. 2) Consultar C02 y consolidar 2026.07.</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2026.07 muestra 90 % y el interés minoritario de D200 se calcula con 10 %.</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CP-201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Heredar el cambio en el periodo siguiente</w:t>
            </w:r>
            <w:r>
              <w:rPr>
                <w:rFonts w:ascii="Ubuntu" w:hAnsi="Ubuntu" w:cs="Ubuntu"/>
                <w:sz w:val="22"/>
                <w:szCs w:val="22"/>
              </w:rPr>
              <w:t xml:space="preserve"> (RN-14 · periodo posterior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Con 90 % registrado en 2026.07, elegir 2026.08. 2) Pulsar Copiar del periodo anterior y guardar. 3) Consolidar 2026.08.</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2026.08 muestra 90 % y el interés minoritario se calcula con 10 %.</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HU-36 — Validar cuadre antes de importar</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CP-203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Validar activo igual a pasivo más patrimonio</w:t>
            </w:r>
            <w:r>
              <w:rPr>
                <w:rFonts w:ascii="Ubuntu" w:hAnsi="Ubuntu" w:cs="Ubuntu"/>
                <w:sz w:val="22"/>
                <w:szCs w:val="22"/>
              </w:rPr>
              <w:t xml:space="preserve"> (HU-36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la importación de 2026.06 con D100 cuadrada y D200 descuadrada en 5.000.000. 2) Revisar el resultado de la validación.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paquete de importación y la carga no SAP comprueban que activo = pasivo + patrimonio dentro de la tolerancia definida (RN-16).</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CP-204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Validar utilidad igual a resultado del ejercicio</w:t>
            </w:r>
            <w:r>
              <w:rPr>
                <w:rFonts w:ascii="Ubuntu" w:hAnsi="Ubuntu" w:cs="Ubuntu"/>
                <w:sz w:val="22"/>
                <w:szCs w:val="22"/>
              </w:rPr>
              <w:t xml:space="preserve"> (HU-36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Alterar la utilidad del estado de resultados de D300. 2) Ejecutar la importación.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comprueba que la utilidad del estado de resultados sea igual al resultado del ejercicio del balance.</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CP-205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Validar que las cuentas con saldo estén mapeadas</w:t>
            </w:r>
            <w:r>
              <w:rPr>
                <w:rFonts w:ascii="Ubuntu" w:hAnsi="Ubuntu" w:cs="Ubuntu"/>
                <w:sz w:val="22"/>
                <w:szCs w:val="22"/>
              </w:rPr>
              <w:t xml:space="preserve"> (HU-36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Registrar saldo en una cuenta sin mapear de D100. 2) Ejecutar la importación.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Se comprueba que todas las cuentas con saldo estén mapeadas.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CP-206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Dejar en C03 la sociedad que no cumple</w:t>
            </w:r>
            <w:r>
              <w:rPr>
                <w:rFonts w:ascii="Ubuntu" w:hAnsi="Ubuntu" w:cs="Ubuntu"/>
                <w:sz w:val="22"/>
                <w:szCs w:val="22"/>
              </w:rPr>
              <w:t xml:space="preserve"> (HU-36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la importación con D200 descuadrada. 2) Consultar BPC y C03.</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Una sociedad que no cumple no se importa y queda en C03 con la diferencia.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CP-207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las sociedades rechazadas en el paso</w:t>
            </w:r>
            <w:r>
              <w:rPr>
                <w:rFonts w:ascii="Ubuntu" w:hAnsi="Ubuntu" w:cs="Ubuntu"/>
                <w:sz w:val="22"/>
                <w:szCs w:val="22"/>
              </w:rPr>
              <w:t xml:space="preserve"> (HU-36 / criterio 5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la importación con D200 descuadrada. 2) Revisar el paso en UX-09.</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UX-09 muestra el paso «Validación de cuadre» con las sociedades rechazadas.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CP-208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Importar con diferencia de balance menor que la tolerancia (1,00 − 0,01)</w:t>
            </w:r>
            <w:r>
              <w:rPr>
                <w:rFonts w:ascii="Ubuntu" w:hAnsi="Ubuntu" w:cs="Ubuntu"/>
                <w:sz w:val="22"/>
                <w:szCs w:val="22"/>
              </w:rPr>
              <w:t xml:space="preserve"> (RN-16 · bajo la tolerancia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Ajustar los datos de D100 para que activo − (pasivo + patrimonio) sea 0,99. 2) Ejecutar la importación de 2026.06. 3) Consultar C03.</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D100 se importa a BPC y C03 la muestra como importada con diferencia 0,99.</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CP-209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Importar con diferencia de balance igual a la tolerancia (1,00)</w:t>
            </w:r>
            <w:r>
              <w:rPr>
                <w:rFonts w:ascii="Ubuntu" w:hAnsi="Ubuntu" w:cs="Ubuntu"/>
                <w:sz w:val="22"/>
                <w:szCs w:val="22"/>
              </w:rPr>
              <w:t xml:space="preserve"> (RN-16 · exacto en la tolerancia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Ajustar los datos de D100 para que la diferencia sea 1,00. 2) Ejecutar la importación de 2026.06. 3) Consultar C03.</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D100 se importa a BPC: la diferencia igual a la tolerancia está dentro de ella. C03 la muestra como importada con diferencia 1,00.</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CP-210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Rechazar con diferencia de balance mayor que la tolerancia (1,00 + 0,01)</w:t>
            </w:r>
            <w:r>
              <w:rPr>
                <w:rFonts w:ascii="Ubuntu" w:hAnsi="Ubuntu" w:cs="Ubuntu"/>
                <w:sz w:val="22"/>
                <w:szCs w:val="22"/>
              </w:rPr>
              <w:t xml:space="preserve"> (RN-16 · sobre la tolerancia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Ajustar los datos de D100 para que la diferencia sea 1,01. 2) Ejecutar la importación de 2026.06. 3) Consultar BPC y C03.</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D100 no se importa a BPC y C03 la marca «No importada» con diferencia 1,01.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HU-37 — Consultar la validación de cuadre</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CP-211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Ver la validación de cuadre en C03</w:t>
            </w:r>
            <w:r>
              <w:rPr>
                <w:rFonts w:ascii="Ubuntu" w:hAnsi="Ubuntu" w:cs="Ubuntu"/>
                <w:sz w:val="22"/>
                <w:szCs w:val="22"/>
              </w:rPr>
              <w:t xml:space="preserve"> (HU-37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C03 en UX-11. 2) Elegir 2026.06 y actualizar.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UX-11, hoja C03, se ve por sociedad la diferencia de balance, la diferencia entre utilidad y resultado, las cuentas mapeadas y si se importó.</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CP-212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Marcar la sociedad no importada</w:t>
            </w:r>
            <w:r>
              <w:rPr>
                <w:rFonts w:ascii="Ubuntu" w:hAnsi="Ubuntu" w:cs="Ubuntu"/>
                <w:sz w:val="22"/>
                <w:szCs w:val="22"/>
              </w:rPr>
              <w:t xml:space="preserve"> (HU-37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la importación con D200 descuadrada. 2) Abrir C03.</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Una sociedad no importada se marca «No importada» con texto e ícono.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CP-213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C03 sin importaciones</w:t>
            </w:r>
            <w:r>
              <w:rPr>
                <w:rFonts w:ascii="Ubuntu" w:hAnsi="Ubuntu" w:cs="Ubuntu"/>
                <w:sz w:val="22"/>
                <w:szCs w:val="22"/>
              </w:rPr>
              <w:t xml:space="preserve"> (HU-37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Elegir el periodo 2026.12 sin importaciones. 2) Actualizar C03.</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Sin importaciones en el periodo se muestra «Aún no hay importaciones en el periodo elegido».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CP-214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error de conexión en C03</w:t>
            </w:r>
            <w:r>
              <w:rPr>
                <w:rFonts w:ascii="Ubuntu" w:hAnsi="Ubuntu" w:cs="Ubuntu"/>
                <w:sz w:val="22"/>
                <w:szCs w:val="22"/>
              </w:rPr>
              <w:t xml:space="preserve"> (HU-37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Desconectar EPM de BPC. 2) Actualizar C03.</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Sin conexión a BPC se muestra el error de conexión de EPM.</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HU-38 — Conciliar saldos intercompañía</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CP-215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Conciliar intercompañía por pareja</w:t>
            </w:r>
            <w:r>
              <w:rPr>
                <w:rFonts w:ascii="Ubuntu" w:hAnsi="Ubuntu" w:cs="Ubuntu"/>
                <w:sz w:val="22"/>
                <w:szCs w:val="22"/>
              </w:rPr>
              <w:t xml:space="preserve"> (HU-38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Cargar D100 cuenta por cobrar a D200 de 1.000.000 y D200 cuenta por pagar de 990.000. 2) Abrir C01 y actualizar.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UX-11, hoja C01, se ve por pareja de sociedades y cuentas lo que registra cada parte y la diferencia.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CP-216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Marcar las parejas que superan el umbral</w:t>
            </w:r>
            <w:r>
              <w:rPr>
                <w:rFonts w:ascii="Ubuntu" w:hAnsi="Ubuntu" w:cs="Ubuntu"/>
                <w:sz w:val="22"/>
                <w:szCs w:val="22"/>
              </w:rPr>
              <w:t xml:space="preserve"> (HU-38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Cargar una diferencia de 10.000 entre D100 y D200. 2) Actualizar C01.</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parejas que superan el umbral se marcan «Supera el umbral» con texto e ícono.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CP-217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solo sociedades del grupo en C01</w:t>
            </w:r>
            <w:r>
              <w:rPr>
                <w:rFonts w:ascii="Ubuntu" w:hAnsi="Ubuntu" w:cs="Ubuntu"/>
                <w:sz w:val="22"/>
                <w:szCs w:val="22"/>
              </w:rPr>
              <w:t xml:space="preserve"> (HU-38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Cargar una transacción con el tercero T9001. 2) Actualizar C01.</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Solo aparecen sociedades del grupo (RN-07).</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CP-218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Ejecutar C01 antes de consolidar</w:t>
            </w:r>
            <w:r>
              <w:rPr>
                <w:rFonts w:ascii="Ubuntu" w:hAnsi="Ubuntu" w:cs="Ubuntu"/>
                <w:sz w:val="22"/>
                <w:szCs w:val="22"/>
              </w:rPr>
              <w:t xml:space="preserve"> (HU-38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Importar 2026.07 sin consolidar. 2) Actualizar C01.</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C01 se puede ejecutar antes de la consolidación del periodo.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CP-219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No marcar una diferencia intercompañía bajo el umbral (1.000,00 − 0,01)</w:t>
            </w:r>
            <w:r>
              <w:rPr>
                <w:rFonts w:ascii="Ubuntu" w:hAnsi="Ubuntu" w:cs="Ubuntu"/>
                <w:sz w:val="22"/>
                <w:szCs w:val="22"/>
              </w:rPr>
              <w:t xml:space="preserve"> (HU-38 / criterio 2 · bajo el umbral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Cargar entre D100 y D200 una diferencia de 999,99. 2) Actualizar C01.</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pareja D100-D200 muestra la diferencia 999,99 sin la marca «Supera el umbral».</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CP-220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No marcar una diferencia igual al umbral (1.000,00)</w:t>
            </w:r>
            <w:r>
              <w:rPr>
                <w:rFonts w:ascii="Ubuntu" w:hAnsi="Ubuntu" w:cs="Ubuntu"/>
                <w:sz w:val="22"/>
                <w:szCs w:val="22"/>
              </w:rPr>
              <w:t xml:space="preserve"> (HU-38 / criterio 2 · exacto en el umbral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Cargar entre D100 y D200 una diferencia de 1.000,00. 2) Actualizar C01.</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pareja D100-D200 muestra la diferencia 1.000,00 sin la marca «Supera el umbral»: solo se marca lo que lo supera.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CP-221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Marcar una diferencia sobre el umbral (1.000,00 + 0,01)</w:t>
            </w:r>
            <w:r>
              <w:rPr>
                <w:rFonts w:ascii="Ubuntu" w:hAnsi="Ubuntu" w:cs="Ubuntu"/>
                <w:sz w:val="22"/>
                <w:szCs w:val="22"/>
              </w:rPr>
              <w:t xml:space="preserve"> (HU-38 / criterio 2 · sobre el umbral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Cargar entre D100 y D200 una diferencia de 1.000,01. 2) Actualizar C01.</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pareja D100-D200 se marca «Supera el umbral» con texto e ícono.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HU-39 — Registrar asientos de ajuste de consolidación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CP-222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Registrar un asiento con encabezado y líneas</w:t>
            </w:r>
            <w:r>
              <w:rPr>
                <w:rFonts w:ascii="Ubuntu" w:hAnsi="Ubuntu" w:cs="Ubuntu"/>
                <w:sz w:val="22"/>
                <w:szCs w:val="22"/>
              </w:rPr>
              <w:t xml:space="preserve"> (HU-39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UX-14. 2) Ingresar grupo, periodo y moneda. 3) Agregar dos líneas con sociedad, cuenta, intercompañía, débito, crédito y observación.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UX-14 el asiento tiene grupo, periodo y moneda, y líneas con sociedad, cuenta, intercompañía, débito, crédito y observación.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CP-223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Guardar solo asientos cuadrados</w:t>
            </w:r>
            <w:r>
              <w:rPr>
                <w:rFonts w:ascii="Ubuntu" w:hAnsi="Ubuntu" w:cs="Ubuntu"/>
                <w:sz w:val="22"/>
                <w:szCs w:val="22"/>
              </w:rPr>
              <w:t xml:space="preserve"> (HU-39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Ingresar débitos por 1.000.000 y créditos por 900.000. 2) Revisar Guardar asiento. 3) Igualar los créditos y revisar de nuevo.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Guardar asiento solo se habilita si los débitos son iguales a los créditos (RN-15); si no, se muestra «Descuadrado» con la diferencia.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CP-224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Rechazar líneas de sociedades bloqueadas</w:t>
            </w:r>
            <w:r>
              <w:rPr>
                <w:rFonts w:ascii="Ubuntu" w:hAnsi="Ubuntu" w:cs="Ubuntu"/>
                <w:sz w:val="22"/>
                <w:szCs w:val="22"/>
              </w:rPr>
              <w:t xml:space="preserve"> (HU-39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Bloquear D200 en 2026.06. 2) Agregar una línea de D200. 3) Guardar.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No se aceptan líneas de una sociedad bloqueada en el periodo (RN-17).</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CP-225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Listar cada asiento con número, usuario y fecha</w:t>
            </w:r>
            <w:r>
              <w:rPr>
                <w:rFonts w:ascii="Ubuntu" w:hAnsi="Ubuntu" w:cs="Ubuntu"/>
                <w:sz w:val="22"/>
                <w:szCs w:val="22"/>
              </w:rPr>
              <w:t xml:space="preserve"> (HU-39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Guardar un asiento cuadrado. 2) Revisar la lista de asientos del periodo.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asiento queda con número, usuario y fecha en la lista del periodo (RNF-Aud-02).</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CP-226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vacío de UX-14 Asientos de ajuste</w:t>
            </w:r>
            <w:r>
              <w:rPr>
                <w:rFonts w:ascii="Ubuntu" w:hAnsi="Ubuntu" w:cs="Ubuntu"/>
                <w:sz w:val="22"/>
                <w:szCs w:val="22"/>
              </w:rPr>
              <w:t xml:space="preserve"> (UX-14 / estado vacío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Crear un asiento nuevo sin líneas.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«Aún no hay líneas: usa Agregar línea».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CP-227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UX-14 Asientos de ajuste</w:t>
            </w:r>
            <w:r>
              <w:rPr>
                <w:rFonts w:ascii="Ubuntu" w:hAnsi="Ubuntu" w:cs="Ubuntu"/>
                <w:sz w:val="22"/>
                <w:szCs w:val="22"/>
              </w:rPr>
              <w:t xml:space="preserve"> (UX-14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Registrar un asiento cuadrado. 2) Pulsar Guardar asiento con 5 s de retardo simulado hacia BPC.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Guardando… en la cinta.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CP-228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Rechazar créditos menores en 0,01</w:t>
            </w:r>
            <w:r>
              <w:rPr>
                <w:rFonts w:ascii="Ubuntu" w:hAnsi="Ubuntu" w:cs="Ubuntu"/>
                <w:sz w:val="22"/>
                <w:szCs w:val="22"/>
              </w:rPr>
              <w:t xml:space="preserve"> (RN-15 · bajo el cuadre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Ingresar débitos por 1.000.000,00 y créditos por 999.999,99. 2) Revisar Guardar asiento.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Guardar asiento queda deshabilitado y se muestra «Descuadrado» con la diferencia 0,01.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CP-229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Guardar un asiento con débitos iguales a créditos</w:t>
            </w:r>
            <w:r>
              <w:rPr>
                <w:rFonts w:ascii="Ubuntu" w:hAnsi="Ubuntu" w:cs="Ubuntu"/>
                <w:sz w:val="22"/>
                <w:szCs w:val="22"/>
              </w:rPr>
              <w:t xml:space="preserve"> (RN-15 · exacto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Ingresar débitos y créditos por 1.000.000,00. 2) Pulsar Guardar asiento.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Guardar asiento está habilitado y el asiento aparece en la lista del periodo con su número.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CP-230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Rechazar créditos mayores en 0,01</w:t>
            </w:r>
            <w:r>
              <w:rPr>
                <w:rFonts w:ascii="Ubuntu" w:hAnsi="Ubuntu" w:cs="Ubuntu"/>
                <w:sz w:val="22"/>
                <w:szCs w:val="22"/>
              </w:rPr>
              <w:t xml:space="preserve"> (RN-15 · sobre el cuadre · Límite)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Ingresar débitos por 1.000.000,00 y créditos por 1.000.000,01. 2) Revisar Guardar asiento.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Guardar asiento queda deshabilitado y se muestra «Descuadrado» con la diferencia 0,01.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HU-40 — Bloquear saldos por sociedad</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CP-231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Bloquear o Desbloquear por sociedad</w:t>
            </w:r>
            <w:r>
              <w:rPr>
                <w:rFonts w:ascii="Ubuntu" w:hAnsi="Ubuntu" w:cs="Ubuntu"/>
                <w:sz w:val="22"/>
                <w:szCs w:val="22"/>
              </w:rPr>
              <w:t xml:space="preserve"> (HU-40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UX-15. 2) Revisar el botón de cada sociedad.</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UX-15 cada sociedad tiene el botón Bloquear o Desbloquear.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CP-232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Impedir cargas, asientos y reprocesos de una sociedad bloqueada</w:t>
            </w:r>
            <w:r>
              <w:rPr>
                <w:rFonts w:ascii="Ubuntu" w:hAnsi="Ubuntu" w:cs="Ubuntu"/>
                <w:sz w:val="22"/>
                <w:szCs w:val="22"/>
              </w:rPr>
              <w:t xml:space="preserve"> (HU-40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Bloquear D200 en 2026.06. 2) Ejecutar la carga, registrar un asiento y reprocesar la consolidación de D200.</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Una sociedad bloqueada no admite cargas, asientos ni reprocesos del periodo (RN-17).</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CP-233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Bloquear una sociedad sin afectar a las demás</w:t>
            </w:r>
            <w:r>
              <w:rPr>
                <w:rFonts w:ascii="Ubuntu" w:hAnsi="Ubuntu" w:cs="Ubuntu"/>
                <w:sz w:val="22"/>
                <w:szCs w:val="22"/>
              </w:rPr>
              <w:t xml:space="preserve"> (HU-40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Bloquear D200. 2) Registrar un asiento de D100 en el mismo periodo.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Bloquear una sociedad no bloquea a las demás del grupo.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CP-234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Registrar bloqueos y desbloqueos</w:t>
            </w:r>
            <w:r>
              <w:rPr>
                <w:rFonts w:ascii="Ubuntu" w:hAnsi="Ubuntu" w:cs="Ubuntu"/>
                <w:sz w:val="22"/>
                <w:szCs w:val="22"/>
              </w:rPr>
              <w:t xml:space="preserve"> (HU-40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Bloquear y desbloquear D200. 2) Consultar la auditoría de BPC.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bloqueo y desbloqueo queda registrado con usuario y fecha (RNF-Aud-02).</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HU-41 — Seguir el estado del cierre</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CP-235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matriz del cierre en orden</w:t>
            </w:r>
            <w:r>
              <w:rPr>
                <w:rFonts w:ascii="Ubuntu" w:hAnsi="Ubuntu" w:cs="Ubuntu"/>
                <w:sz w:val="22"/>
                <w:szCs w:val="22"/>
              </w:rPr>
              <w:t xml:space="preserve"> (HU-41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UX-15 en 2026.06. 2) Leer las columnas de la matriz.</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UX-15 la matriz muestra por sociedad el estado de carga, cuadre, conciliación, conversión, consolidación y reportes, en ese orden.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CP-236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Enlazar el reporte que explica un error</w:t>
            </w:r>
            <w:r>
              <w:rPr>
                <w:rFonts w:ascii="Ubuntu" w:hAnsi="Ubuntu" w:cs="Ubuntu"/>
                <w:sz w:val="22"/>
                <w:szCs w:val="22"/>
              </w:rPr>
              <w:t xml:space="preserve"> (HU-41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Descuadrar D200. 2) Abrir UX-15. 3) Pulsar el enlace del paso de cuadre.</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paso con error enlaza al reporte que explica la causa (p. ej. C03).</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CP-237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Acceder a C02 y a Asientos desde el cierre</w:t>
            </w:r>
            <w:r>
              <w:rPr>
                <w:rFonts w:ascii="Ubuntu" w:hAnsi="Ubuntu" w:cs="Ubuntu"/>
                <w:sz w:val="22"/>
                <w:szCs w:val="22"/>
              </w:rPr>
              <w:t xml:space="preserve"> (HU-41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UX-15. 2) Pulsar las hojas C02 y Asientos.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hojas dan acceso a C02 (UX-13) y a Asientos (UX-14).</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CP-238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cierre no iniciado</w:t>
            </w:r>
            <w:r>
              <w:rPr>
                <w:rFonts w:ascii="Ubuntu" w:hAnsi="Ubuntu" w:cs="Ubuntu"/>
                <w:sz w:val="22"/>
                <w:szCs w:val="22"/>
              </w:rPr>
              <w:t xml:space="preserve"> (HU-41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Elegir el periodo 2026.09 sin cargas. 2) Abrir UX-15.</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 el cierre no ha iniciado se muestra «El cierre del periodo aún no ha iniciado».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CP-239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UX-15 Estado del cierre</w:t>
            </w:r>
            <w:r>
              <w:rPr>
                <w:rFonts w:ascii="Ubuntu" w:hAnsi="Ubuntu" w:cs="Ubuntu"/>
                <w:sz w:val="22"/>
                <w:szCs w:val="22"/>
              </w:rPr>
              <w:t xml:space="preserve"> (UX-15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Simular con el proxy de red de pruebas 5 s de retardo hacia BPC. 2) Abrir UX-15.</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«Consultando el estado del cierre…».</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CP-240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error de UX-15 Estado del cierre</w:t>
            </w:r>
            <w:r>
              <w:rPr>
                <w:rFonts w:ascii="Ubuntu" w:hAnsi="Ubuntu" w:cs="Ubuntu"/>
                <w:sz w:val="22"/>
                <w:szCs w:val="22"/>
              </w:rPr>
              <w:t xml:space="preserve"> (UX-15 / estado error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Descuadrar D200 en 2026.06. 2) Ejecutar la importación. 3) Abrir UX-15.</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aviso de sociedades que no cuadran, con el paso marcado y el enlace a C03.</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r>
        <w:br w:type="page"/>
      </w:r>
    </w:p>
    <w:p>
      <w:pPr>
        <w:pStyle w:val="Heading2"/>
        <w:spacing w:before="240" w:after="120"/>
        <w:jc w:val="left"/>
      </w:pPr>
      <w:r>
        <w:rPr>
          <w:rFonts w:ascii="Ubuntu" w:hAnsi="Ubuntu" w:cs="Ubuntu"/>
          <w:b/>
          <w:bCs/>
          <w:color w:val="365F91"/>
          <w:sz w:val="28"/>
          <w:szCs w:val="28"/>
        </w:rPr>
        <w:t xml:space="preserve">5.7 E7 — Reportes EPM de consolidación</w:t>
      </w:r>
    </w:p>
    <w:p>
      <w:pPr>
        <w:spacing w:before="0" w:after="120" w:line="288" w:lineRule="auto"/>
        <w:jc w:val="both"/>
      </w:pPr>
      <w:r>
        <w:rPr>
          <w:rFonts w:ascii="Ubuntu" w:hAnsi="Ubuntu" w:cs="Ubuntu"/>
          <w:sz w:val="22"/>
          <w:szCs w:val="22"/>
        </w:rPr>
        <w:t xml:space="preserve">7 historias · 27 casos · precondición general: Consolidación del periodo 2026.06 ejecutada (E5, E6) y paquete de reportes generado. Excel con EPM add-in conectado al modelo.</w:t>
      </w:r>
    </w:p>
    <w:p>
      <w:pPr>
        <w:pStyle w:val="Heading3"/>
        <w:spacing w:before="240" w:after="120"/>
        <w:jc w:val="left"/>
      </w:pPr>
      <w:r>
        <w:rPr>
          <w:rFonts w:ascii="Ubuntu" w:hAnsi="Ubuntu" w:cs="Ubuntu"/>
          <w:b/>
          <w:bCs/>
          <w:color w:val="365F91"/>
          <w:sz w:val="24"/>
          <w:szCs w:val="24"/>
        </w:rPr>
        <w:t xml:space="preserve">HU-42 — Usar la plantilla común de reportes EPM</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CP-241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Elegir los parámetros de la plantilla</w:t>
            </w:r>
            <w:r>
              <w:rPr>
                <w:rFonts w:ascii="Ubuntu" w:hAnsi="Ubuntu" w:cs="Ubuntu"/>
                <w:sz w:val="22"/>
                <w:szCs w:val="22"/>
              </w:rPr>
              <w:t xml:space="preserve"> (HU-42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un reporte en UX-11. 2) Abrir la lista de Sociedad, Incluir filiales, Moneda y Periodo.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UX-11 los parámetros Sociedad, Incluir filiales, Moneda y Periodo están en celdas con lista.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CP-242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Cambiar entre sociedad sola y con filiales</w:t>
            </w:r>
            <w:r>
              <w:rPr>
                <w:rFonts w:ascii="Ubuntu" w:hAnsi="Ubuntu" w:cs="Ubuntu"/>
                <w:sz w:val="22"/>
                <w:szCs w:val="22"/>
              </w:rPr>
              <w:t xml:space="preserve"> (HU-42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Elegir D100 sin filiales y actualizar. 2) Elegir Incluir filiales y actualizar.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Incluir filiales cambia entre la sociedad sola y la sociedad con sus filiales, con columna Total (RN-09).</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CP-243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Limitar la moneda a local o dólares</w:t>
            </w:r>
            <w:r>
              <w:rPr>
                <w:rFonts w:ascii="Ubuntu" w:hAnsi="Ubuntu" w:cs="Ubuntu"/>
                <w:sz w:val="22"/>
                <w:szCs w:val="22"/>
              </w:rPr>
              <w:t xml:space="preserve"> (HU-42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la lista Moneda. 2) Escribir EUR en la celda.</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Moneda permite solo moneda local o dólares (RN-06).</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CP-244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sin conexión y sin datos</w:t>
            </w:r>
            <w:r>
              <w:rPr>
                <w:rFonts w:ascii="Ubuntu" w:hAnsi="Ubuntu" w:cs="Ubuntu"/>
                <w:sz w:val="22"/>
                <w:szCs w:val="22"/>
              </w:rPr>
              <w:t xml:space="preserve"> (HU-42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Desconectar EPM y actualizar. 2) Reconectar, elegir 2026.12 y actualizar.</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Sin conexión a BPC se muestra «No se pudo conectar a BPC; revisa la conexión de EPM»; sin datos, «Sin datos para la sociedad y el periodo elegidos».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CP-245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UX-11 Plantilla de reporte EPM</w:t>
            </w:r>
            <w:r>
              <w:rPr>
                <w:rFonts w:ascii="Ubuntu" w:hAnsi="Ubuntu" w:cs="Ubuntu"/>
                <w:sz w:val="22"/>
                <w:szCs w:val="22"/>
              </w:rPr>
              <w:t xml:space="preserve"> (UX-11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Simular con el proxy de red de pruebas 5 s de retardo hacia BPC. 2) Pulsar Actualizar en la cinta de EPM.</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Actualizando… en la cinta y valores en espera.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HU-43 — Calcular rubros por mapeo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CP-250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Calcular cada rubro como suma de cuentas</w:t>
            </w:r>
            <w:r>
              <w:rPr>
                <w:rFonts w:ascii="Ubuntu" w:hAnsi="Ubuntu" w:cs="Ubuntu"/>
                <w:sz w:val="22"/>
                <w:szCs w:val="22"/>
              </w:rPr>
              <w:t xml:space="preserve"> (HU-43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Actualizar R01 de D100 en 2026.06. 2) Comparar el rubro Efectivo con la suma de las cuentas mapeadas.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UX-11 cada rubro muestra la suma de las cuentas mapeadas en UX-06 (RN-10).</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CP-251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Reflejar un cambio de mapeo</w:t>
            </w:r>
            <w:r>
              <w:rPr>
                <w:rFonts w:ascii="Ubuntu" w:hAnsi="Ubuntu" w:cs="Ubuntu"/>
                <w:sz w:val="22"/>
                <w:szCs w:val="22"/>
              </w:rPr>
              <w:t xml:space="preserve"> (HU-43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Mapear la cuenta 1199 al rubro Efectivo en UX-06. 2) Regenerar la plantilla. 3) Actualizar el reporte.</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cambio en el mapeo se refleja al actualizar el reporte.</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CP-252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Ver las cuentas de un rubro</w:t>
            </w:r>
            <w:r>
              <w:rPr>
                <w:rFonts w:ascii="Ubuntu" w:hAnsi="Ubuntu" w:cs="Ubuntu"/>
                <w:sz w:val="22"/>
                <w:szCs w:val="22"/>
              </w:rPr>
              <w:t xml:space="preserve"> (HU-43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el detalle del rubro Efectivo.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detalle de un rubro permite ver las cuentas que lo forman.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HU-44 — Consultar los reportes de la ola 1</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CP-253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Entregar R01, R05 y R07 conectados a BPC</w:t>
            </w:r>
            <w:r>
              <w:rPr>
                <w:rFonts w:ascii="Ubuntu" w:hAnsi="Ubuntu" w:cs="Ubuntu"/>
                <w:sz w:val="22"/>
                <w:szCs w:val="22"/>
              </w:rPr>
              <w:t xml:space="preserve"> (HU-44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R01, R05 y R07. 2) Revisar la conexión EPM de cada uno.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R01, R05 y R07 se entregan como Excel con EPM conectados al modelo BPC (UX-11).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CP-254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Cuadrar R01 con el balance consolidado</w:t>
            </w:r>
            <w:r>
              <w:rPr>
                <w:rFonts w:ascii="Ubuntu" w:hAnsi="Ubuntu" w:cs="Ubuntu"/>
                <w:sz w:val="22"/>
                <w:szCs w:val="22"/>
              </w:rPr>
              <w:t xml:space="preserve"> (HU-44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Actualizar R01 del Grupo Demo en 2026.06. 2) Comparar cada total con el consolidado de BPC.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cifras de R01 cuadran con el balance consolidado del modelo para el periodo de prueba.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CP-255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en R05 las eliminaciones por pareja</w:t>
            </w:r>
            <w:r>
              <w:rPr>
                <w:rFonts w:ascii="Ubuntu" w:hAnsi="Ubuntu" w:cs="Ubuntu"/>
                <w:sz w:val="22"/>
                <w:szCs w:val="22"/>
              </w:rPr>
              <w:t xml:space="preserve"> (HU-44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Actualizar R05 de 2026.06. 2) Revisar las parejas D100-D200.</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R05 muestra las eliminaciones intercompañía por pareja de sociedades.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CP-256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Abrir y actualizar la ola 1 con EPM</w:t>
            </w:r>
            <w:r>
              <w:rPr>
                <w:rFonts w:ascii="Ubuntu" w:hAnsi="Ubuntu" w:cs="Ubuntu"/>
                <w:sz w:val="22"/>
                <w:szCs w:val="22"/>
              </w:rPr>
              <w:t xml:space="preserve"> (HU-44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R01, R05 y R07 en Excel con EPM add-in. 2) Actualizar cada uno.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reporte abre y actualiza con EPM add-in (RNF-Comp-02).</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 · Humo</w:t>
            </w:r>
          </w:p>
        </w:tc>
      </w:tr>
    </w:tbl>
    <w:p>
      <w:pPr>
        <w:spacing w:after="0"/>
      </w:pPr>
    </w:p>
    <w:p>
      <w:pPr>
        <w:pStyle w:val="Heading3"/>
        <w:spacing w:before="240" w:after="120"/>
        <w:jc w:val="left"/>
      </w:pPr>
      <w:r>
        <w:rPr>
          <w:rFonts w:ascii="Ubuntu" w:hAnsi="Ubuntu" w:cs="Ubuntu"/>
          <w:b/>
          <w:bCs/>
          <w:color w:val="365F91"/>
          <w:sz w:val="24"/>
          <w:szCs w:val="24"/>
        </w:rPr>
        <w:t xml:space="preserve">HU-45 — Consultar los reportes de la ola 2</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CP-257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Entregar R02, R03, R04 y R06 con la estructura común</w:t>
            </w:r>
            <w:r>
              <w:rPr>
                <w:rFonts w:ascii="Ubuntu" w:hAnsi="Ubuntu" w:cs="Ubuntu"/>
                <w:sz w:val="22"/>
                <w:szCs w:val="22"/>
              </w:rPr>
              <w:t xml:space="preserve"> (HU-45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los cuatro reportes. 2) Revisar parámetros y tabla de rubros.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R02, R03, R04 y R06 se entregan con la estructura común de UX-11.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CP-258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Separar interés minoritario y diferencia en conversión en R03</w:t>
            </w:r>
            <w:r>
              <w:rPr>
                <w:rFonts w:ascii="Ubuntu" w:hAnsi="Ubuntu" w:cs="Ubuntu"/>
                <w:sz w:val="22"/>
                <w:szCs w:val="22"/>
              </w:rPr>
              <w:t xml:space="preserve"> (HU-45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Actualizar R03 del Grupo Demo en 2026.06.</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R03 muestra por separado el interés minoritario y la diferencia en conversión.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CP-259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Reportar un rubro de flujo sin clasificar</w:t>
            </w:r>
            <w:r>
              <w:rPr>
                <w:rFonts w:ascii="Ubuntu" w:hAnsi="Ubuntu" w:cs="Ubuntu"/>
                <w:sz w:val="22"/>
                <w:szCs w:val="22"/>
              </w:rPr>
              <w:t xml:space="preserve"> (HU-45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Agregar al mapeo un rubro de flujo sin clasificación. 2) Generar los reportes. 3) Revisar R04 en UX-10.</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R04 clasifica los rubros del flujo de efectivo; un rubro sin clasificar se reporta en UX-10 como error del reporte.</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HU-46 — Consultar las notas de la ola 3 (R08 a R14)</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CP-260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Entregar R08 a R14 con la estructura común</w:t>
            </w:r>
            <w:r>
              <w:rPr>
                <w:rFonts w:ascii="Ubuntu" w:hAnsi="Ubuntu" w:cs="Ubuntu"/>
                <w:sz w:val="22"/>
                <w:szCs w:val="22"/>
              </w:rPr>
              <w:t xml:space="preserve"> (HU-46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las siete notas. 2) Revisar parámetros y tabla de rubros.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R08 a R14 se entregan con la estructura común de UX-11.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CP-261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Incluir movimientos de activos fijos y deterioros</w:t>
            </w:r>
            <w:r>
              <w:rPr>
                <w:rFonts w:ascii="Ubuntu" w:hAnsi="Ubuntu" w:cs="Ubuntu"/>
                <w:sz w:val="22"/>
                <w:szCs w:val="22"/>
              </w:rPr>
              <w:t xml:space="preserve"> (HU-46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Cargar en BW movimientos sintéticos de activos fijos y deterioros de 2026.06. 2) Actualizar R08, R10 y R11.</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R08, R10 y R11 incluyen los movimientos que vienen de activos fijos y deterioros en BW (RF-30).</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CP-262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Cuadrar las notas con R01</w:t>
            </w:r>
            <w:r>
              <w:rPr>
                <w:rFonts w:ascii="Ubuntu" w:hAnsi="Ubuntu" w:cs="Ubuntu"/>
                <w:sz w:val="22"/>
                <w:szCs w:val="22"/>
              </w:rPr>
              <w:t xml:space="preserve"> (HU-46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Actualizar R01 y R08 a R14 de 2026.06. 2) Comparar cada nota con su rubro de R01.</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Cada nota cuadra con el rubro correspondiente de R01.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HU-47 — Consultar los reportes de la ola 3 (R15 a R20)</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CP-263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Entregar R15 a R20 con la estructura común</w:t>
            </w:r>
            <w:r>
              <w:rPr>
                <w:rFonts w:ascii="Ubuntu" w:hAnsi="Ubuntu" w:cs="Ubuntu"/>
                <w:sz w:val="22"/>
                <w:szCs w:val="22"/>
              </w:rPr>
              <w:t xml:space="preserve"> (HU-47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los seis reportes. 2) Revisar parámetros y tabla de rubros.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R15 a R20 se entregan con la estructura común de UX-11.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CP-264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Resumir el grupo en dos monedas en R20</w:t>
            </w:r>
            <w:r>
              <w:rPr>
                <w:rFonts w:ascii="Ubuntu" w:hAnsi="Ubuntu" w:cs="Ubuntu"/>
                <w:sz w:val="22"/>
                <w:szCs w:val="22"/>
              </w:rPr>
              <w:t xml:space="preserve"> (HU-47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Actualizar R20 de 2026.06 en COP y en USD.</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R20 resume las cifras principales del grupo en moneda local y en dólares.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CP-265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Abrir y actualizar los 20 reportes con EPM</w:t>
            </w:r>
            <w:r>
              <w:rPr>
                <w:rFonts w:ascii="Ubuntu" w:hAnsi="Ubuntu" w:cs="Ubuntu"/>
                <w:sz w:val="22"/>
                <w:szCs w:val="22"/>
              </w:rPr>
              <w:t xml:space="preserve"> (HU-47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R01 a R20 en Excel con EPM add-in. 2) Actualizar cada uno.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20 reportes abren y actualizan con EPM add-in (RNF-Comp-02).</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HU-48 — Generar y descargar el paquete de reportes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CP-267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Listar y filtrar el catálogo</w:t>
            </w:r>
            <w:r>
              <w:rPr>
                <w:rFonts w:ascii="Ubuntu" w:hAnsi="Ubuntu" w:cs="Ubuntu"/>
                <w:sz w:val="22"/>
                <w:szCs w:val="22"/>
              </w:rPr>
              <w:t xml:space="preserve"> (HU-48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UX-10. 2) Revisar las columnas. 3) Filtrar por el módulo Presupuesto.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UX-10 el catálogo lista ID, reporte, módulo, fuente (BPC o BW), ola y estado, filtrable por módulo.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CP-268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Abrir la vista previa de C01 a C04</w:t>
            </w:r>
            <w:r>
              <w:rPr>
                <w:rFonts w:ascii="Ubuntu" w:hAnsi="Ubuntu" w:cs="Ubuntu"/>
                <w:sz w:val="22"/>
                <w:szCs w:val="22"/>
              </w:rPr>
              <w:t xml:space="preserve"> (HU-48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Pulsar los ID C01, C02, C03 y C04.</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catálogo incluye C01 a C04; el clic en el ID abre su vista previa (UX-11, UX-13 o UX-15).</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CP-269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Descargar el paquete de reportes</w:t>
            </w:r>
            <w:r>
              <w:rPr>
                <w:rFonts w:ascii="Ubuntu" w:hAnsi="Ubuntu" w:cs="Ubuntu"/>
                <w:sz w:val="22"/>
                <w:szCs w:val="22"/>
              </w:rPr>
              <w:t xml:space="preserve"> (HU-48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Elegir Consolidación y Presupuesto. 2) Pulsar Descargar reportes. 3) Abrir el .zip.</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Descargar reportes genera un .zip con los Excel de los módulos elegidos.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CP-270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causa de un reporte con error</w:t>
            </w:r>
            <w:r>
              <w:rPr>
                <w:rFonts w:ascii="Ubuntu" w:hAnsi="Ubuntu" w:cs="Ubuntu"/>
                <w:sz w:val="22"/>
                <w:szCs w:val="22"/>
              </w:rPr>
              <w:t xml:space="preserve"> (HU-48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Quitar el rubro de una plantilla del catálogo. 2) Generar. 3) Revisar el estado del reporte.</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reporte con error muestra la causa en su estado.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CP-271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vacío de UX-10 Reportes</w:t>
            </w:r>
            <w:r>
              <w:rPr>
                <w:rFonts w:ascii="Ubuntu" w:hAnsi="Ubuntu" w:cs="Ubuntu"/>
                <w:sz w:val="22"/>
                <w:szCs w:val="22"/>
              </w:rPr>
              <w:t xml:space="preserve"> (UX-10 / estado vacío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UX-10 de un cliente sin generación ejecutada.</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«Ejecuta la generación para habilitar los reportes».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CP-272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UX-10 Reportes</w:t>
            </w:r>
            <w:r>
              <w:rPr>
                <w:rFonts w:ascii="Ubuntu" w:hAnsi="Ubuntu" w:cs="Ubuntu"/>
                <w:sz w:val="22"/>
                <w:szCs w:val="22"/>
              </w:rPr>
              <w:t xml:space="preserve"> (UX-10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Elegir los 34 reportes y plantillas. 2) Pulsar Generar seleccionados. 3) Observar el catálogo durante la generación.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progreso por reporte.</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r>
        <w:br w:type="page"/>
      </w:r>
    </w:p>
    <w:p>
      <w:pPr>
        <w:pStyle w:val="Heading2"/>
        <w:spacing w:before="240" w:after="120"/>
        <w:jc w:val="left"/>
      </w:pPr>
      <w:r>
        <w:rPr>
          <w:rFonts w:ascii="Ubuntu" w:hAnsi="Ubuntu" w:cs="Ubuntu"/>
          <w:b/>
          <w:bCs/>
          <w:color w:val="365F91"/>
          <w:sz w:val="28"/>
          <w:szCs w:val="28"/>
        </w:rPr>
        <w:t xml:space="preserve">5.8 E8 — Presupuesto, activos fijos y deterioros</w:t>
      </w:r>
    </w:p>
    <w:p>
      <w:pPr>
        <w:spacing w:before="0" w:after="120" w:line="288" w:lineRule="auto"/>
        <w:jc w:val="both"/>
      </w:pPr>
      <w:r>
        <w:rPr>
          <w:rFonts w:ascii="Ubuntu" w:hAnsi="Ubuntu" w:cs="Ubuntu"/>
          <w:sz w:val="22"/>
          <w:szCs w:val="22"/>
        </w:rPr>
        <w:t xml:space="preserve">5 historias · 20 casos · precondición general: Cliente QA Demo con Presupuesto, Activos fijos y Deterioros marcados en UX-04 y la bodega generada (E3).</w:t>
      </w:r>
    </w:p>
    <w:p>
      <w:pPr>
        <w:pStyle w:val="Heading3"/>
        <w:spacing w:before="240" w:after="120"/>
        <w:jc w:val="left"/>
      </w:pPr>
      <w:r>
        <w:rPr>
          <w:rFonts w:ascii="Ubuntu" w:hAnsi="Ubuntu" w:cs="Ubuntu"/>
          <w:b/>
          <w:bCs/>
          <w:color w:val="365F91"/>
          <w:sz w:val="24"/>
          <w:szCs w:val="24"/>
        </w:rPr>
        <w:t xml:space="preserve">HU-49 — Generar el modelo de planeación de presupuesto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CP-273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Generar el modelo de presupuesto solo si está marcado</w:t>
            </w:r>
            <w:r>
              <w:rPr>
                <w:rFonts w:ascii="Ubuntu" w:hAnsi="Ubuntu" w:cs="Ubuntu"/>
                <w:sz w:val="22"/>
                <w:szCs w:val="22"/>
              </w:rPr>
              <w:t xml:space="preserve"> (HU-49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Marcar Presupuesto en UX-04. 2) Ejecutar el plan. 3) Revisar el paso y el modelo en BPC.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Solo se genera si Presupuesto está marcado en UX-04.</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CP-274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Separar el modelo de planeación del de consolidación</w:t>
            </w:r>
            <w:r>
              <w:rPr>
                <w:rFonts w:ascii="Ubuntu" w:hAnsi="Ubuntu" w:cs="Ubuntu"/>
                <w:sz w:val="22"/>
                <w:szCs w:val="22"/>
              </w:rPr>
              <w:t xml:space="preserve"> (HU-49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Guardar un valor en el modelo de planeación. 2) Consultar el modelo de consolidación.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modelo de planeación es independiente del modelo de consolidación.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CP-275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modelo de presupuesto en el plan y la ejecución</w:t>
            </w:r>
            <w:r>
              <w:rPr>
                <w:rFonts w:ascii="Ubuntu" w:hAnsi="Ubuntu" w:cs="Ubuntu"/>
                <w:sz w:val="22"/>
                <w:szCs w:val="22"/>
              </w:rPr>
              <w:t xml:space="preserve"> (HU-49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UX-08. 2) Ejecutar y abrir UX-09.</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UX-08 lista el modelo de presupuesto y UX-09 muestra el paso «Modelo de presupuesto».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CP-276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Disponer del presupuesto del ERP en el modelo</w:t>
            </w:r>
            <w:r>
              <w:rPr>
                <w:rFonts w:ascii="Ubuntu" w:hAnsi="Ubuntu" w:cs="Ubuntu"/>
                <w:sz w:val="22"/>
                <w:szCs w:val="22"/>
              </w:rPr>
              <w:t xml:space="preserve"> (HU-49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Cargar presupuesto sintético 2027 en el ERP. 2) Ejecutar el paso. 3) Consultar el modelo de planeación.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presupuesto cargado desde el ERP queda disponible en el modelo.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CP-277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No generar el modelo de presupuesto sin el módulo</w:t>
            </w:r>
            <w:r>
              <w:rPr>
                <w:rFonts w:ascii="Ubuntu" w:hAnsi="Ubuntu" w:cs="Ubuntu"/>
                <w:sz w:val="22"/>
                <w:szCs w:val="22"/>
              </w:rPr>
              <w:t xml:space="preserve"> (HU-49 / criterio 1 · excepción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Desmarcar Presupuesto en UX-04. 2) Ejecutar el plan. 3) Listar los modelos del ambiente BPC.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UX-09 no muestra el paso «Modelo de presupuesto» y en BPC solo existe el modelo de consolidación.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HU-50 — Capturar y ajustar el presupuesto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CP-278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Capturar con celdas editables y totales</w:t>
            </w:r>
            <w:r>
              <w:rPr>
                <w:rFonts w:ascii="Ubuntu" w:hAnsi="Ubuntu" w:cs="Ubuntu"/>
                <w:sz w:val="22"/>
                <w:szCs w:val="22"/>
              </w:rPr>
              <w:t xml:space="preserve"> (HU-50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UX-12. 2) Elegir D100, versión anual y 2027. 3) Ingresar valores en dos celdas.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UX-12 se eligen sociedad, versión y año; las celdas editables están en amarillo y los totales se calculan.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CP-279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Aceptar solo números</w:t>
            </w:r>
            <w:r>
              <w:rPr>
                <w:rFonts w:ascii="Ubuntu" w:hAnsi="Ubuntu" w:cs="Ubuntu"/>
                <w:sz w:val="22"/>
                <w:szCs w:val="22"/>
              </w:rPr>
              <w:t xml:space="preserve"> (HU-50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Escribir «abc» en una celda editable. 2) Pulsar Guardar datos.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Solo se aceptan números; una celda inválida se marca en rojo y no se guarda.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CP-280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Guardar en el modelo de planeación</w:t>
            </w:r>
            <w:r>
              <w:rPr>
                <w:rFonts w:ascii="Ubuntu" w:hAnsi="Ubuntu" w:cs="Ubuntu"/>
                <w:sz w:val="22"/>
                <w:szCs w:val="22"/>
              </w:rPr>
              <w:t xml:space="preserve"> (HU-50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Ingresar 1.000.000 en una celda. 2) Pulsar Guardar datos. 3) Consultar el valor en BPC.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Guardar datos escribe en el modelo de planeación de BPC (RN-08).</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CP-281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versión sin presupuesto</w:t>
            </w:r>
            <w:r>
              <w:rPr>
                <w:rFonts w:ascii="Ubuntu" w:hAnsi="Ubuntu" w:cs="Ubuntu"/>
                <w:sz w:val="22"/>
                <w:szCs w:val="22"/>
              </w:rPr>
              <w:t xml:space="preserve"> (HU-50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Elegir la versión 6+6 sin datos.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Sin presupuesto para la versión se muestra «Sin presupuesto para esta versión: ingresa los valores».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CP-282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carga de UX-12 Captura de presupuesto</w:t>
            </w:r>
            <w:r>
              <w:rPr>
                <w:rFonts w:ascii="Ubuntu" w:hAnsi="Ubuntu" w:cs="Ubuntu"/>
                <w:sz w:val="22"/>
                <w:szCs w:val="22"/>
              </w:rPr>
              <w:t xml:space="preserve"> (UX-12 / estado carga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Ingresar valores en tres celdas. 2) Pulsar Guardar datos con 5 s de retardo simulado hacia BPC.</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Guardando… en la cinta.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CP-283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el estado error de UX-12 Captura de presupuesto</w:t>
            </w:r>
            <w:r>
              <w:rPr>
                <w:rFonts w:ascii="Ubuntu" w:hAnsi="Ubuntu" w:cs="Ubuntu"/>
                <w:sz w:val="22"/>
                <w:szCs w:val="22"/>
              </w:rPr>
              <w:t xml:space="preserve"> (UX-12 / estado error · Negativo)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Ingresar valores válidos en tres celdas. 2) Quitar al usuario financiero el permiso de escritura en el modelo de planeación. 3) Pulsar Guardar datos.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«No se guardaron N celdas» con las celdas marcadas en rojo.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HU-51 — Elegir la versión del presupuesto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CP-284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Elegir la versión de una lista</w:t>
            </w:r>
            <w:r>
              <w:rPr>
                <w:rFonts w:ascii="Ubuntu" w:hAnsi="Ubuntu" w:cs="Ubuntu"/>
                <w:sz w:val="22"/>
                <w:szCs w:val="22"/>
              </w:rPr>
              <w:t xml:space="preserve"> (HU-51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la lista de versión en UX-12 y en P01.</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UX-12 y en la hoja P01 de UX-11 la versión se elige de una lista con las versiones definidas en HU-12.</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CP-285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Mantener independientes las versiones</w:t>
            </w:r>
            <w:r>
              <w:rPr>
                <w:rFonts w:ascii="Ubuntu" w:hAnsi="Ubuntu" w:cs="Ubuntu"/>
                <w:sz w:val="22"/>
                <w:szCs w:val="22"/>
              </w:rPr>
              <w:t xml:space="preserve"> (HU-51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Guardar un valor en la versión 3+9. 2) Consultar la misma celda en la versión anual.</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valores guardados en una versión no cambian las demás.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CP-286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la versión en el encabezado</w:t>
            </w:r>
            <w:r>
              <w:rPr>
                <w:rFonts w:ascii="Ubuntu" w:hAnsi="Ubuntu" w:cs="Ubuntu"/>
                <w:sz w:val="22"/>
                <w:szCs w:val="22"/>
              </w:rPr>
              <w:t xml:space="preserve"> (HU-51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Elegir 3+9. 2) Abrir P01 a P05.</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P01 a P05 muestran en el encabezado la versión elegida.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HU-52 — Consultar los reportes de presupuesto P01 a P04</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CP-287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Entregar P01 a P04 conectados al modelo de planeación</w:t>
            </w:r>
            <w:r>
              <w:rPr>
                <w:rFonts w:ascii="Ubuntu" w:hAnsi="Ubuntu" w:cs="Ubuntu"/>
                <w:sz w:val="22"/>
                <w:szCs w:val="22"/>
              </w:rPr>
              <w:t xml:space="preserve"> (HU-52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P01 a P04. 2) Revisar la conexión EPM de cada uno.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P01 a P04 se entregan como Excel con EPM conectados al modelo de planeación (RN-08).</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CP-288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presupuesto, ejecución y variación en P01</w:t>
            </w:r>
            <w:r>
              <w:rPr>
                <w:rFonts w:ascii="Ubuntu" w:hAnsi="Ubuntu" w:cs="Ubuntu"/>
                <w:sz w:val="22"/>
                <w:szCs w:val="22"/>
              </w:rPr>
              <w:t xml:space="preserve"> (HU-52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Actualizar P01 de D100 en 2027.</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UX-11, P01 muestra presupuesto, ejecución, variación y porcentaje de ejecución.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CP-289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Reflejar en P01 lo guardado en P05</w:t>
            </w:r>
            <w:r>
              <w:rPr>
                <w:rFonts w:ascii="Ubuntu" w:hAnsi="Ubuntu" w:cs="Ubuntu"/>
                <w:sz w:val="22"/>
                <w:szCs w:val="22"/>
              </w:rPr>
              <w:t xml:space="preserve"> (HU-52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Guardar un valor en P05. 2) Actualizar P01.</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valores guardados en P05 se reflejan en P01 al actualizar.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HU-53 — Consultar los reportes de activos fijos y deterioros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CP-290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Leer de BW los reportes de activos fijos y deterioros</w:t>
            </w:r>
            <w:r>
              <w:rPr>
                <w:rFonts w:ascii="Ubuntu" w:hAnsi="Ubuntu" w:cs="Ubuntu"/>
                <w:sz w:val="22"/>
                <w:szCs w:val="22"/>
              </w:rPr>
              <w:t xml:space="preserve"> (HU-53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A01 a A03 y D01 a D02. 2) Revisar la conexión de cada uno.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A01 a A03 y D01 a D02 leen su información de BW (RN-12).</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CP-291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BW como fuente en el catálogo</w:t>
            </w:r>
            <w:r>
              <w:rPr>
                <w:rFonts w:ascii="Ubuntu" w:hAnsi="Ubuntu" w:cs="Ubuntu"/>
                <w:sz w:val="22"/>
                <w:szCs w:val="22"/>
              </w:rPr>
              <w:t xml:space="preserve"> (HU-53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UX-10. 2) Revisar la fuente de A01 a D02.</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UX-10 la fuente de estos reportes se muestra como BW.</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CP-292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saldo inicial, movimientos y saldo final</w:t>
            </w:r>
            <w:r>
              <w:rPr>
                <w:rFonts w:ascii="Ubuntu" w:hAnsi="Ubuntu" w:cs="Ubuntu"/>
                <w:sz w:val="22"/>
                <w:szCs w:val="22"/>
              </w:rPr>
              <w:t xml:space="preserve"> (HU-53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Actualizar A01 y D01 de 2026.06. 2) Sumar saldo inicial y movimientos de cada clase.</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A01 y D01 muestran saldo inicial, movimientos y saldo final por clase o cuenta.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r>
        <w:br w:type="page"/>
      </w:r>
    </w:p>
    <w:p>
      <w:pPr>
        <w:pStyle w:val="Heading2"/>
        <w:spacing w:before="240" w:after="120"/>
        <w:jc w:val="left"/>
      </w:pPr>
      <w:r>
        <w:rPr>
          <w:rFonts w:ascii="Ubuntu" w:hAnsi="Ubuntu" w:cs="Ubuntu"/>
          <w:b/>
          <w:bCs/>
          <w:color w:val="365F91"/>
          <w:sz w:val="28"/>
          <w:szCs w:val="28"/>
        </w:rPr>
        <w:t xml:space="preserve">5.9 E9 — Seguridad, auditoría y compatibilidad</w:t>
      </w:r>
    </w:p>
    <w:p>
      <w:pPr>
        <w:spacing w:before="0" w:after="120" w:line="288" w:lineRule="auto"/>
        <w:jc w:val="both"/>
      </w:pPr>
      <w:r>
        <w:rPr>
          <w:rFonts w:ascii="Ubuntu" w:hAnsi="Ubuntu" w:cs="Ubuntu"/>
          <w:sz w:val="22"/>
          <w:szCs w:val="22"/>
        </w:rPr>
        <w:t xml:space="preserve">5 historias · 18 casos · precondición general: Configurador instalado en el equipo de pruebas. Sandbox de arquitectura A (BW 7.5 con BPC 10.1 modelo estándar) con el paquete Z importado y el usuario técnico de prueba con el rol Z del acelerador.</w:t>
      </w:r>
    </w:p>
    <w:p>
      <w:pPr>
        <w:pStyle w:val="Heading3"/>
        <w:spacing w:before="240" w:after="120"/>
        <w:jc w:val="left"/>
      </w:pPr>
      <w:r>
        <w:rPr>
          <w:rFonts w:ascii="Ubuntu" w:hAnsi="Ubuntu" w:cs="Ubuntu"/>
          <w:b/>
          <w:bCs/>
          <w:color w:val="365F91"/>
          <w:sz w:val="24"/>
          <w:szCs w:val="24"/>
        </w:rPr>
        <w:t xml:space="preserve">HU-54 — Consultar y descargar el registro de ejecuciones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CP-293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los campos del registro</w:t>
            </w:r>
            <w:r>
              <w:rPr>
                <w:rFonts w:ascii="Ubuntu" w:hAnsi="Ubuntu" w:cs="Ubuntu"/>
                <w:sz w:val="22"/>
                <w:szCs w:val="22"/>
              </w:rPr>
              <w:t xml:space="preserve"> (HU-54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plan. 2) Abrir el registro en UX-09.</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UX-09 el registro muestra fecha y hora, usuario, sistema, paso, objetos y resultado.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CP-294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Registrar el 100 % de las ejecuciones con 12 meses de retención</w:t>
            </w:r>
            <w:r>
              <w:rPr>
                <w:rFonts w:ascii="Ubuntu" w:hAnsi="Ubuntu" w:cs="Ubuntu"/>
                <w:sz w:val="22"/>
                <w:szCs w:val="22"/>
              </w:rPr>
              <w:t xml:space="preserve"> (HU-54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plan completo. 2) Comparar los pasos ejecutados con las entradas del registro. 3) Revisar la política de retención de la base local.</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100 % de las ejecuciones queda registrado y se conserva al menos 12 meses (RNF-Aud-01).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CP-295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Descargar el registro con los mismos campos</w:t>
            </w:r>
            <w:r>
              <w:rPr>
                <w:rFonts w:ascii="Ubuntu" w:hAnsi="Ubuntu" w:cs="Ubuntu"/>
                <w:sz w:val="22"/>
                <w:szCs w:val="22"/>
              </w:rPr>
              <w:t xml:space="preserve"> (HU-54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Pulsar Descargar registro. 2) Abrir el archivo.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Descargar registro entrega un archivo con los mismos campos.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CP-296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Excluir credenciales del registro</w:t>
            </w:r>
            <w:r>
              <w:rPr>
                <w:rFonts w:ascii="Ubuntu" w:hAnsi="Ubuntu" w:cs="Ubuntu"/>
                <w:sz w:val="22"/>
                <w:szCs w:val="22"/>
              </w:rPr>
              <w:t xml:space="preserve"> (HU-54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plan con una credencial centinela. 2) Buscar el centinela en el registro y en su descarga.</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registro no contiene credenciales (RNF-Seg-02).</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HU-55 — Aplicar los controles ASVS nivel 2 al configurador</w:t>
      </w:r>
    </w:p>
    <w:p>
      <w:pPr>
        <w:spacing w:before="0" w:after="120" w:line="288" w:lineRule="auto"/>
        <w:jc w:val="both"/>
      </w:pPr>
      <w:r>
        <w:rPr>
          <w:rFonts w:ascii="Ubuntu" w:hAnsi="Ubuntu" w:cs="Ubuntu"/>
          <w:b/>
          <w:bCs/>
          <w:sz w:val="22"/>
          <w:szCs w:val="22"/>
        </w:rPr>
        <w:t xml:space="preserve">Precondición: </w:t>
      </w:r>
      <w:r>
        <w:rPr>
          <w:rFonts w:ascii="Ubuntu" w:hAnsi="Ubuntu" w:cs="Ubuntu"/>
          <w:sz w:val="22"/>
          <w:szCs w:val="22"/>
        </w:rPr>
        <w:t xml:space="preserve">Build de release candidato del configurador instalado en el ambiente de QA, con las herramientas de verificación del pipeline.</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CP-298</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Verificar ASVS nivel 2 sin hallazgos altos</w:t>
            </w:r>
            <w:r>
              <w:rPr>
                <w:rFonts w:ascii="Ubuntu" w:hAnsi="Ubuntu" w:cs="Ubuntu"/>
                <w:sz w:val="22"/>
                <w:szCs w:val="22"/>
              </w:rPr>
              <w:t xml:space="preserve"> (HU-55 / criterio 1 · Funcional)</w:t>
            </w:r>
            <w:r>
              <w:rPr>
                <w:rFonts w:ascii="Ubuntu" w:hAnsi="Ubuntu" w:cs="Ubuntu"/>
                <w:i/>
                <w:iCs/>
                <w:sz w:val="22"/>
                <w:szCs w:val="22"/>
              </w:rPr>
              <w:t xml:space="preserve"> Manual: La verificación ASVS nivel 2 incluye controles que requieren revisión experta; la parte automatizable corre como DAST, SAST y SCA.</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la lista de verificación ASVS nivel 2 sobre el release candidato. 2) Consolidar los hallazgos por severidad.</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verificación ASVS nivel 2 termina sin hallazgos altos abiertos (RNF-Seg-01).</w:t>
            </w:r>
          </w:p>
        </w:tc>
        <w:tc>
          <w:tcPr>
            <w:tcW w:w="800" w:type="dxa"/>
            <w:shd w:val="clear" w:color="auto" w:fill="FFF3CD"/>
            <w:tcMar>
              <w:top w:w="80" w:type="dxa"/>
              <w:left w:w="120" w:type="dxa"/>
              <w:bottom w:w="80" w:type="dxa"/>
              <w:right w:w="120" w:type="dxa"/>
            </w:tcMar>
            <w:vAlign w:val="center"/>
          </w:tcPr>
          <w:p>
            <w:pPr>
              <w:spacing w:after="0"/>
              <w:jc w:val="center"/>
            </w:pPr>
            <w:r>
              <w:rPr>
                <w:rFonts w:ascii="Ubuntu" w:hAnsi="Ubuntu" w:cs="Ubuntu"/>
                <w:sz w:val="21"/>
                <w:szCs w:val="21"/>
              </w:rPr>
              <w:t xml:space="preserve">Manual</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CP-299</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Validar entradas en el servidor</w:t>
            </w:r>
            <w:r>
              <w:rPr>
                <w:rFonts w:ascii="Ubuntu" w:hAnsi="Ubuntu" w:cs="Ubuntu"/>
                <w:sz w:val="22"/>
                <w:szCs w:val="22"/>
              </w:rPr>
              <w:t xml:space="preserve"> (HU-55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Enviar directamente al configurador, sin la interfaz, formularios con valores fuera de rango y un archivo no SAP con tipo falso. 2) Revisar las respuestas y la base local.</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entradas de archivos y formularios se validan del lado del servidor.</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CP-300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Verificar que las dependencias no tienen vulnerabilidades altas</w:t>
            </w:r>
            <w:r>
              <w:rPr>
                <w:rFonts w:ascii="Ubuntu" w:hAnsi="Ubuntu" w:cs="Ubuntu"/>
                <w:sz w:val="22"/>
                <w:szCs w:val="22"/>
              </w:rPr>
              <w:t xml:space="preserve"> (HU-55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análisis SCA del pipeline sobre el release candidato.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dependencias del configurador no tienen vulnerabilidades altas conocidas.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CP-301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Verificar el tratamiento de datos de terceros</w:t>
            </w:r>
            <w:r>
              <w:rPr>
                <w:rFonts w:ascii="Ubuntu" w:hAnsi="Ubuntu" w:cs="Ubuntu"/>
                <w:sz w:val="22"/>
                <w:szCs w:val="22"/>
              </w:rPr>
              <w:t xml:space="preserve"> (HU-55 / criterio 4 · Funcional)</w:t>
            </w:r>
            <w:r>
              <w:rPr>
                <w:rFonts w:ascii="Ubuntu" w:hAnsi="Ubuntu" w:cs="Ubuntu"/>
                <w:i/>
                <w:iCs/>
                <w:sz w:val="22"/>
                <w:szCs w:val="22"/>
              </w:rPr>
              <w:t xml:space="preserve"> Manual: Revisión de cumplimiento legal (Ley 1581/2012) contra el diseño: requiere criterio experto.</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Revisar que la base local no guarda datos de terceros. 2) Revisar que los archivos no SAP se borran del equipo después de cargarlos. 3) Contrastar con la sección 9 del DAF.</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datos de terceros se tratan según la Ley 1581/2012 (DAF, sección 9).</w:t>
            </w:r>
          </w:p>
        </w:tc>
        <w:tc>
          <w:tcPr>
            <w:tcW w:w="800" w:type="dxa"/>
            <w:shd w:val="clear" w:color="auto" w:fill="FFF3CD"/>
            <w:tcMar>
              <w:top w:w="80" w:type="dxa"/>
              <w:left w:w="120" w:type="dxa"/>
              <w:bottom w:w="80" w:type="dxa"/>
              <w:right w:w="120" w:type="dxa"/>
            </w:tcMar>
            <w:vAlign w:val="center"/>
          </w:tcPr>
          <w:p>
            <w:pPr>
              <w:spacing w:after="0"/>
              <w:jc w:val="center"/>
            </w:pPr>
            <w:r>
              <w:rPr>
                <w:rFonts w:ascii="Ubuntu" w:hAnsi="Ubuntu" w:cs="Ubuntu"/>
                <w:sz w:val="21"/>
                <w:szCs w:val="21"/>
              </w:rPr>
              <w:t xml:space="preserve">Manual</w:t>
            </w:r>
          </w:p>
        </w:tc>
      </w:tr>
    </w:tbl>
    <w:p>
      <w:pPr>
        <w:spacing w:after="0"/>
      </w:pPr>
    </w:p>
    <w:p>
      <w:pPr>
        <w:pStyle w:val="Heading3"/>
        <w:spacing w:before="240" w:after="120"/>
        <w:jc w:val="left"/>
      </w:pPr>
      <w:r>
        <w:rPr>
          <w:rFonts w:ascii="Ubuntu" w:hAnsi="Ubuntu" w:cs="Ubuntu"/>
          <w:b/>
          <w:bCs/>
          <w:color w:val="365F91"/>
          <w:sz w:val="24"/>
          <w:szCs w:val="24"/>
        </w:rPr>
        <w:t xml:space="preserve">HU-56 — Verificar la accesibilidad del configurador</w:t>
      </w:r>
    </w:p>
    <w:p>
      <w:pPr>
        <w:spacing w:before="0" w:after="120" w:line="288" w:lineRule="auto"/>
        <w:jc w:val="both"/>
      </w:pPr>
      <w:r>
        <w:rPr>
          <w:rFonts w:ascii="Ubuntu" w:hAnsi="Ubuntu" w:cs="Ubuntu"/>
          <w:b/>
          <w:bCs/>
          <w:sz w:val="22"/>
          <w:szCs w:val="22"/>
        </w:rPr>
        <w:t xml:space="preserve">Precondición: </w:t>
      </w:r>
      <w:r>
        <w:rPr>
          <w:rFonts w:ascii="Ubuntu" w:hAnsi="Ubuntu" w:cs="Ubuntu"/>
          <w:sz w:val="22"/>
          <w:szCs w:val="22"/>
        </w:rPr>
        <w:t xml:space="preserve">Configurador con el Cliente QA Demo en cada paso, para recorrer UX-01 a UX-10 con datos.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CP-305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Revisar la accesibilidad automática de UX-01 a UX-10</w:t>
            </w:r>
            <w:r>
              <w:rPr>
                <w:rFonts w:ascii="Ubuntu" w:hAnsi="Ubuntu" w:cs="Ubuntu"/>
                <w:sz w:val="22"/>
                <w:szCs w:val="22"/>
              </w:rPr>
              <w:t xml:space="preserve"> (HU-56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axe-core con las reglas WCAG 2.1 A y AA sobre UX-01 a UX-10 en sus cuatro estados.</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pantallas UX-01 a UX-10 tienen 0 incumplimientos A y AA en una revisión automática (RNF-Usa-01).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CP-306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Operar el configurador con teclado y foco visible</w:t>
            </w:r>
            <w:r>
              <w:rPr>
                <w:rFonts w:ascii="Ubuntu" w:hAnsi="Ubuntu" w:cs="Ubuntu"/>
                <w:sz w:val="22"/>
                <w:szCs w:val="22"/>
              </w:rPr>
              <w:t xml:space="preserve"> (HU-56 / criterio 2 · Funcional)</w:t>
            </w:r>
            <w:r>
              <w:rPr>
                <w:rFonts w:ascii="Ubuntu" w:hAnsi="Ubuntu" w:cs="Ubuntu"/>
                <w:i/>
                <w:iCs/>
                <w:sz w:val="22"/>
                <w:szCs w:val="22"/>
              </w:rPr>
              <w:t xml:space="preserve"> Manual: Validación visual del indicador de foco; la navegación por teclado se apoya en la revisión automática de axe-core.</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Recorrer UX-01 a UX-10 solo con Tab, Shift+Tab, Enter y Espacio. 2) Revisar el indicador de foco en cada control.</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foco es visible y todos los controles se operan con teclado.</w:t>
            </w:r>
          </w:p>
        </w:tc>
        <w:tc>
          <w:tcPr>
            <w:tcW w:w="800" w:type="dxa"/>
            <w:shd w:val="clear" w:color="auto" w:fill="FFF3CD"/>
            <w:tcMar>
              <w:top w:w="80" w:type="dxa"/>
              <w:left w:w="120" w:type="dxa"/>
              <w:bottom w:w="80" w:type="dxa"/>
              <w:right w:w="120" w:type="dxa"/>
            </w:tcMar>
            <w:vAlign w:val="center"/>
          </w:tcPr>
          <w:p>
            <w:pPr>
              <w:spacing w:after="0"/>
              <w:jc w:val="center"/>
            </w:pPr>
            <w:r>
              <w:rPr>
                <w:rFonts w:ascii="Ubuntu" w:hAnsi="Ubuntu" w:cs="Ubuntu"/>
                <w:sz w:val="21"/>
                <w:szCs w:val="21"/>
              </w:rPr>
              <w:t xml:space="preserve">Manual</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CP-307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Mostrar los estados con texto e ícono</w:t>
            </w:r>
            <w:r>
              <w:rPr>
                <w:rFonts w:ascii="Ubuntu" w:hAnsi="Ubuntu" w:cs="Ubuntu"/>
                <w:sz w:val="22"/>
                <w:szCs w:val="22"/>
              </w:rPr>
              <w:t xml:space="preserve"> (HU-56 / criterio 3 · Funcional)</w:t>
            </w:r>
            <w:r>
              <w:rPr>
                <w:rFonts w:ascii="Ubuntu" w:hAnsi="Ubuntu" w:cs="Ubuntu"/>
                <w:i/>
                <w:iCs/>
                <w:sz w:val="22"/>
                <w:szCs w:val="22"/>
              </w:rPr>
              <w:t xml:space="preserve"> Manual: Validación visual del uso de color: la revisión automática no detecta si un estado depende solo del color.</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Revisar en escala de grises los estados de UX-02, UX-09 y UX-10.</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estados usan texto e ícono, no solo color.</w:t>
            </w:r>
          </w:p>
        </w:tc>
        <w:tc>
          <w:tcPr>
            <w:tcW w:w="800" w:type="dxa"/>
            <w:shd w:val="clear" w:color="auto" w:fill="FFF3CD"/>
            <w:tcMar>
              <w:top w:w="80" w:type="dxa"/>
              <w:left w:w="120" w:type="dxa"/>
              <w:bottom w:w="80" w:type="dxa"/>
              <w:right w:w="120" w:type="dxa"/>
            </w:tcMar>
            <w:vAlign w:val="center"/>
          </w:tcPr>
          <w:p>
            <w:pPr>
              <w:spacing w:after="0"/>
              <w:jc w:val="center"/>
            </w:pPr>
            <w:r>
              <w:rPr>
                <w:rFonts w:ascii="Ubuntu" w:hAnsi="Ubuntu" w:cs="Ubuntu"/>
                <w:sz w:val="21"/>
                <w:szCs w:val="21"/>
              </w:rPr>
              <w:t xml:space="preserve">Manual</w:t>
            </w:r>
          </w:p>
        </w:tc>
      </w:tr>
    </w:tbl>
    <w:p>
      <w:pPr>
        <w:spacing w:after="0"/>
      </w:pPr>
    </w:p>
    <w:p>
      <w:pPr>
        <w:pStyle w:val="Heading3"/>
        <w:spacing w:before="240" w:after="120"/>
        <w:jc w:val="left"/>
      </w:pPr>
      <w:r>
        <w:rPr>
          <w:rFonts w:ascii="Ubuntu" w:hAnsi="Ubuntu" w:cs="Ubuntu"/>
          <w:b/>
          <w:bCs/>
          <w:color w:val="365F91"/>
          <w:sz w:val="24"/>
          <w:szCs w:val="24"/>
        </w:rPr>
        <w:t xml:space="preserve">HU-57 — Rechazar la arquitectura B en la versión 1</w:t>
      </w:r>
    </w:p>
    <w:p>
      <w:pPr>
        <w:spacing w:before="0" w:after="120" w:line="288" w:lineRule="auto"/>
        <w:jc w:val="both"/>
      </w:pPr>
      <w:r>
        <w:rPr>
          <w:rFonts w:ascii="Ubuntu" w:hAnsi="Ubuntu" w:cs="Ubuntu"/>
          <w:b/>
          <w:bCs/>
          <w:sz w:val="22"/>
          <w:szCs w:val="22"/>
        </w:rPr>
        <w:t xml:space="preserve">Precondición: </w:t>
      </w:r>
      <w:r>
        <w:rPr>
          <w:rFonts w:ascii="Ubuntu" w:hAnsi="Ubuntu" w:cs="Ubuntu"/>
          <w:sz w:val="22"/>
          <w:szCs w:val="22"/>
        </w:rPr>
        <w:t xml:space="preserve">Doble de prueba del paquete Z que responde arquitectura B (ERP, BW y BPC integrados con BPC embebido) en la detección de RF-04.</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CP-310</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Avisar que la arquitectura B no está soportada</w:t>
            </w:r>
            <w:r>
              <w:rPr>
                <w:rFonts w:ascii="Ubuntu" w:hAnsi="Ubuntu" w:cs="Ubuntu"/>
                <w:sz w:val="22"/>
                <w:szCs w:val="22"/>
              </w:rPr>
              <w:t xml:space="preserve"> (HU-57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Probar las conexiones con el doble de prueba de arquitectura B. 2) Leer el aviso en UX-02.</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En la pantalla UX-02, si RF-04 detecta la arquitectura B, se muestra «Arquitectura B no soportada en la versión 1» con la explicación.</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CP-311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Bloquear el avance con arquitectura B</w:t>
            </w:r>
            <w:r>
              <w:rPr>
                <w:rFonts w:ascii="Ubuntu" w:hAnsi="Ubuntu" w:cs="Ubuntu"/>
                <w:sz w:val="22"/>
                <w:szCs w:val="22"/>
              </w:rPr>
              <w:t xml:space="preserve"> (HU-57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Revisar Continuar al diagnóstico. 2) Consultar en el registro y en el doble de prueba las llamadas de creación.</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Continuar al diagnóstico queda deshabilitado y no se crea ningún objeto en el cliente (RN-19).</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CP-312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Marcar el cliente B como No soportado</w:t>
            </w:r>
            <w:r>
              <w:rPr>
                <w:rFonts w:ascii="Ubuntu" w:hAnsi="Ubuntu" w:cs="Ubuntu"/>
                <w:sz w:val="22"/>
                <w:szCs w:val="22"/>
              </w:rPr>
              <w:t xml:space="preserve"> (HU-57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Volver a UX-01. 2) Leer el estado y el motivo del cliente.</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El cliente queda en UX-01 con estado «No soportado» y el motivo.</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CP-313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Registrar la detección de arquitectura B</w:t>
            </w:r>
            <w:r>
              <w:rPr>
                <w:rFonts w:ascii="Ubuntu" w:hAnsi="Ubuntu" w:cs="Ubuntu"/>
                <w:sz w:val="22"/>
                <w:szCs w:val="22"/>
              </w:rPr>
              <w:t xml:space="preserve"> (HU-57 / criterio 4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el registro de ejecuciones del cliente.</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detección queda en el registro de ejecuciones (RNF-Aud-01).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3"/>
        <w:spacing w:before="240" w:after="120"/>
        <w:jc w:val="left"/>
      </w:pPr>
      <w:r>
        <w:rPr>
          <w:rFonts w:ascii="Ubuntu" w:hAnsi="Ubuntu" w:cs="Ubuntu"/>
          <w:b/>
          <w:bCs/>
          <w:color w:val="365F91"/>
          <w:sz w:val="24"/>
          <w:szCs w:val="24"/>
        </w:rPr>
        <w:t xml:space="preserve">HU-58 — Certificar la variante BW/4HANA con BPC 2021</w:t>
      </w:r>
    </w:p>
    <w:p>
      <w:pPr>
        <w:spacing w:before="0" w:after="120" w:line="288" w:lineRule="auto"/>
        <w:jc w:val="both"/>
      </w:pPr>
      <w:r>
        <w:rPr>
          <w:rFonts w:ascii="Ubuntu" w:hAnsi="Ubuntu" w:cs="Ubuntu"/>
          <w:b/>
          <w:bCs/>
          <w:sz w:val="22"/>
          <w:szCs w:val="22"/>
        </w:rPr>
        <w:t xml:space="preserve">Precondición: </w:t>
      </w:r>
      <w:r>
        <w:rPr>
          <w:rFonts w:ascii="Ubuntu" w:hAnsi="Ubuntu" w:cs="Ubuntu"/>
          <w:sz w:val="22"/>
          <w:szCs w:val="22"/>
        </w:rPr>
        <w:t xml:space="preserve">Ambiente QA BW/4HANA con BPC 2021 modelo estándar (SAP CAL) encendido; configuración exportada de los clientes existentes.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2100"/>
        <w:gridCol w:w="2900"/>
        <w:gridCol w:w="2238"/>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 y origen</w:t>
            </w:r>
          </w:p>
        </w:tc>
        <w:tc>
          <w:tcPr>
            <w:tcW w:w="2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CP-315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Ejecutar todos los RF de arquitectura A en BW/4HANA</w:t>
            </w:r>
            <w:r>
              <w:rPr>
                <w:rFonts w:ascii="Ubuntu" w:hAnsi="Ubuntu" w:cs="Ubuntu"/>
                <w:sz w:val="22"/>
                <w:szCs w:val="22"/>
              </w:rPr>
              <w:t xml:space="preserve"> (HU-58 / criterio 1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la suite de regresión completa contra el ambiente QA BW/4HANA. 2) Consolidar el resultado por RF.</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Todos los RF de la arquitectura A se ejecutan completos en el ambiente BW/4HANA (RNF-Comp-05).</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CP-316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No generar InfoCubos en BW/4HANA</w:t>
            </w:r>
            <w:r>
              <w:rPr>
                <w:rFonts w:ascii="Ubuntu" w:hAnsi="Ubuntu" w:cs="Ubuntu"/>
                <w:sz w:val="22"/>
                <w:szCs w:val="22"/>
              </w:rPr>
              <w:t xml:space="preserve"> (HU-58 / criterio 2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la generación completa. 2) Listar en BW/4HANA los InfoProviders creados por tipo.</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No se genera ningún InfoCubo en esta variante.</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CP-317</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Agregar la variante sin cambiar clientes existentes</w:t>
            </w:r>
            <w:r>
              <w:rPr>
                <w:rFonts w:ascii="Ubuntu" w:hAnsi="Ubuntu" w:cs="Ubuntu"/>
                <w:sz w:val="22"/>
                <w:szCs w:val="22"/>
              </w:rPr>
              <w:t xml:space="preserve"> (HU-58 / criterio 3 · Funcional)</w:t>
            </w:r>
          </w:p>
        </w:tc>
        <w:tc>
          <w:tcPr>
            <w:tcW w:w="2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Comparar la configuración exportada de los clientes antes y después de instalar la versión con la variante.</w:t>
            </w:r>
          </w:p>
        </w:tc>
        <w:tc>
          <w:tcPr>
            <w:tcW w:w="2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Agregar la variante no cambia la configuración de clientes existentes (RNF-Comp-04).</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r>
        <w:br w:type="page"/>
      </w:r>
    </w:p>
    <w:p>
      <w:pPr>
        <w:pStyle w:val="Heading1"/>
        <w:spacing w:before="360" w:after="160"/>
        <w:jc w:val="left"/>
      </w:pPr>
      <w:r>
        <w:rPr>
          <w:rFonts w:ascii="Ubuntu" w:hAnsi="Ubuntu" w:cs="Ubuntu"/>
          <w:b/>
          <w:bCs/>
          <w:color w:val="365F91"/>
          <w:sz w:val="32"/>
          <w:szCs w:val="32"/>
        </w:rPr>
        <w:t xml:space="preserve">6. Pruebas no funcionales y de resiliencia</w:t>
      </w:r>
    </w:p>
    <w:p>
      <w:pPr>
        <w:spacing w:before="0" w:after="120" w:line="288" w:lineRule="auto"/>
        <w:jc w:val="both"/>
      </w:pPr>
      <w:r>
        <w:rPr>
          <w:rFonts w:ascii="Ubuntu" w:hAnsi="Ubuntu" w:cs="Ubuntu"/>
          <w:sz w:val="22"/>
          <w:szCs w:val="22"/>
        </w:rPr>
        <w:t xml:space="preserve">Cada RNF del DAF tiene su prueba con el umbral numérico del DAF, y cada integración tiene casos de caso feliz, timeout, error del tercero y reintento.</w:t>
      </w:r>
    </w:p>
    <w:p>
      <w:pPr>
        <w:pStyle w:val="Heading2"/>
        <w:spacing w:before="240" w:after="120"/>
        <w:jc w:val="left"/>
      </w:pPr>
      <w:r>
        <w:rPr>
          <w:rFonts w:ascii="Ubuntu" w:hAnsi="Ubuntu" w:cs="Ubuntu"/>
          <w:b/>
          <w:bCs/>
          <w:color w:val="365F91"/>
          <w:sz w:val="28"/>
          <w:szCs w:val="28"/>
        </w:rPr>
        <w:t xml:space="preserve">6.1 Carga y rendimiento</w:t>
      </w:r>
    </w:p>
    <w:p>
      <w:pPr>
        <w:spacing w:before="0" w:after="120" w:line="288" w:lineRule="auto"/>
        <w:jc w:val="both"/>
      </w:pPr>
      <w:r>
        <w:rPr>
          <w:rFonts w:ascii="Ubuntu" w:hAnsi="Ubuntu" w:cs="Ubuntu"/>
          <w:sz w:val="22"/>
          <w:szCs w:val="22"/>
        </w:rPr>
        <w:t xml:space="preserve">El único RNF de rendimiento del DAF es la frescura de los datos (RNF-Rend-01): no hay usuarios concurrentes que modelar, porque el configurador es local y los reportes se actualizan desde EPM. La prueba mide la ventana nocturna con el volumen diario. La duración máxima de la ventana es la pregunta abierta 7 del DAF; la prueba registra la duración para cerrarla.</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1100"/>
        <w:gridCol w:w="1900"/>
        <w:gridCol w:w="2338"/>
        <w:gridCol w:w="1900"/>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1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RNF</w:t>
            </w:r>
          </w:p>
        </w:tc>
        <w:tc>
          <w:tcPr>
            <w:tcW w:w="1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Prueba</w:t>
            </w:r>
          </w:p>
        </w:tc>
        <w:tc>
          <w:tcPr>
            <w:tcW w:w="23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1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Criterio de paso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CP-109</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RNF-Rend-01</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Medir la frescura de los datos con la carga delta nocturna</w:t>
            </w:r>
            <w:r>
              <w:rPr>
                <w:rFonts w:ascii="Ubuntu" w:hAnsi="Ubuntu" w:cs="Ubuntu"/>
                <w:sz w:val="22"/>
                <w:szCs w:val="22"/>
              </w:rPr>
              <w:t xml:space="preserve"> (HU-18 · Monitor de cadenas de BW (RSPC) con extracción automática)</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Generar en el ERP el volumen diario sintético del Grupo Demo (o el del cliente piloto, si ya se conoce). 2) Dejar correr la cadena delta y la importación encadenada durante 5 noches. 3) Registrar cada noche la hora de inicio y fin de la ventana y la hora de la última carga visible en R01.</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ejecución cada 24 horas en las 5 noches y antigüedad de los datos ≤ 24 horas al abrir un reporte. La duración de la ventana se registra para cerrar la pregunta abierta 7 del DAF.</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2"/>
        <w:spacing w:before="240" w:after="120"/>
        <w:jc w:val="left"/>
      </w:pPr>
      <w:r>
        <w:rPr>
          <w:rFonts w:ascii="Ubuntu" w:hAnsi="Ubuntu" w:cs="Ubuntu"/>
          <w:b/>
          <w:bCs/>
          <w:color w:val="365F91"/>
          <w:sz w:val="28"/>
          <w:szCs w:val="28"/>
        </w:rPr>
        <w:t xml:space="preserve">6.2 Seguridad</w:t>
      </w:r>
    </w:p>
    <w:p>
      <w:pPr>
        <w:spacing w:before="0" w:after="120" w:line="288" w:lineRule="auto"/>
        <w:jc w:val="both"/>
      </w:pPr>
      <w:r>
        <w:rPr>
          <w:rFonts w:ascii="Ubuntu" w:hAnsi="Ubuntu" w:cs="Ubuntu"/>
          <w:sz w:val="22"/>
          <w:szCs w:val="22"/>
        </w:rPr>
        <w:t xml:space="preserve">Nivel OWASP ASVS 2 heredado del DAF (sección 9). El configurador escucha solo en 127.0.0.1 con token de sesión (ADR-05); el DAST se ejecuta contra esa dirección en el ambiente de QA antes de cada release y antes del Go-Live.</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1100"/>
        <w:gridCol w:w="1900"/>
        <w:gridCol w:w="2338"/>
        <w:gridCol w:w="1900"/>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1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RNF</w:t>
            </w:r>
          </w:p>
        </w:tc>
        <w:tc>
          <w:tcPr>
            <w:tcW w:w="1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Prueba</w:t>
            </w:r>
          </w:p>
        </w:tc>
        <w:tc>
          <w:tcPr>
            <w:tcW w:w="23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1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Criterio de paso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CP-025</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RNF-Seg-02</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Buscar credenciales legibles después de una implementación completa</w:t>
            </w:r>
            <w:r>
              <w:rPr>
                <w:rFonts w:ascii="Ubuntu" w:hAnsi="Ubuntu" w:cs="Ubuntu"/>
                <w:sz w:val="22"/>
                <w:szCs w:val="22"/>
              </w:rPr>
              <w:t xml:space="preserve"> (HU-04 · Script de búsqueda de centinelas)</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Registrar las tres conexiones con credenciales centinela únicas. 2) Ejecutar el plan completo y descargar el registro. 3) Buscar los centinelas en el perfil del usuario, la base SQLite, los registros, los temporales y el volcado de memoria del proceso cerrado.</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0 credenciales legibles en archivos de configuración o registros; las credenciales solo están en el Administrador de credenciales de Windows.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CP-026</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RNF-Seg-03</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Verificar los permisos mínimos del usuario técnico</w:t>
            </w:r>
            <w:r>
              <w:rPr>
                <w:rFonts w:ascii="Ubuntu" w:hAnsi="Ubuntu" w:cs="Ubuntu"/>
                <w:sz w:val="22"/>
                <w:szCs w:val="22"/>
              </w:rPr>
              <w:t xml:space="preserve"> (HU-04 · xUnit con SAP NCo)</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Leer por RFC los roles y perfiles del usuario técnico. 2) Quitar uno a uno los roles Z de cada paso y ejecutar el plan.</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El usuario técnico tiene 0 perfiles SAP_ALL o SAP_NEW, y al quitar un rol Z solo falla el paso que lo necesita.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CP-302</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RNF-Seg-01</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Ejecutar DAST sobre el configurador</w:t>
            </w:r>
            <w:r>
              <w:rPr>
                <w:rFonts w:ascii="Ubuntu" w:hAnsi="Ubuntu" w:cs="Ubuntu"/>
                <w:sz w:val="22"/>
                <w:szCs w:val="22"/>
              </w:rPr>
              <w:t xml:space="preserve"> (HU-55 · OWASP ZAP en el pipeline)</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Iniciar el release candidato en el ambiente de QA. 2) Ejecutar OWASP ZAP (escaneo activo autenticado con el token de sesión) contra 127.0.0.1. 3) Clasificar los hallazgos por severidad.</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0 hallazgos altos o críticos abiertos antes de la entrega.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CP-303</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RNF-Seg-01</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Ejecutar SAST, SCA y escaneo de secretos</w:t>
            </w:r>
            <w:r>
              <w:rPr>
                <w:rFonts w:ascii="Ubuntu" w:hAnsi="Ubuntu" w:cs="Ubuntu"/>
                <w:sz w:val="22"/>
                <w:szCs w:val="22"/>
              </w:rPr>
              <w:t xml:space="preserve"> (HU-55 · Pipeline de Azure DevOps (ADR-11))</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pipeline de release del configurador y del paquete Z. 2) Revisar los reportes de SAST, SCA y secretos.</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0 hallazgos altos abiertos en SAST y SCA, y 0 secretos detectados en el código y los artefactos.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CP-304</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RNF-Seg-01</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Verificar la lista ASVS nivel 2</w:t>
            </w:r>
            <w:r>
              <w:rPr>
                <w:rFonts w:ascii="Ubuntu" w:hAnsi="Ubuntu" w:cs="Ubuntu"/>
                <w:sz w:val="22"/>
                <w:szCs w:val="22"/>
              </w:rPr>
              <w:t xml:space="preserve"> (HU-55 · Ejecución manual)</w:t>
            </w:r>
            <w:r>
              <w:rPr>
                <w:rFonts w:ascii="Ubuntu" w:hAnsi="Ubuntu" w:cs="Ubuntu"/>
                <w:i/>
                <w:iCs/>
                <w:sz w:val="22"/>
                <w:szCs w:val="22"/>
              </w:rPr>
              <w:t xml:space="preserve"> Manual: Controles ASVS que requieren revisión experta de diseño y código; lo automatizable corre en DAST, SAST y SCA.</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Recorrer los capítulos aplicables de ASVS 4.0 nivel 2 con la evidencia de diseño, código y pruebas. 2) Registrar cada control como cumple, no cumple o no aplica.</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Verificación ASVS nivel 2 sin hallazgos altos abiertos y con justificación de cada control no aplicable.</w:t>
            </w:r>
          </w:p>
        </w:tc>
        <w:tc>
          <w:tcPr>
            <w:tcW w:w="800" w:type="dxa"/>
            <w:shd w:val="clear" w:color="auto" w:fill="FFF3CD"/>
            <w:tcMar>
              <w:top w:w="80" w:type="dxa"/>
              <w:left w:w="120" w:type="dxa"/>
              <w:bottom w:w="80" w:type="dxa"/>
              <w:right w:w="120" w:type="dxa"/>
            </w:tcMar>
            <w:vAlign w:val="center"/>
          </w:tcPr>
          <w:p>
            <w:pPr>
              <w:spacing w:after="0"/>
              <w:jc w:val="center"/>
            </w:pPr>
            <w:r>
              <w:rPr>
                <w:rFonts w:ascii="Ubuntu" w:hAnsi="Ubuntu" w:cs="Ubuntu"/>
                <w:sz w:val="21"/>
                <w:szCs w:val="21"/>
              </w:rPr>
              <w:t xml:space="preserve">Manual</w:t>
            </w:r>
          </w:p>
        </w:tc>
      </w:tr>
    </w:tbl>
    <w:p>
      <w:pPr>
        <w:spacing w:after="0"/>
      </w:pPr>
    </w:p>
    <w:p>
      <w:pPr>
        <w:pStyle w:val="Heading2"/>
        <w:spacing w:before="240" w:after="120"/>
        <w:jc w:val="left"/>
      </w:pPr>
      <w:r>
        <w:rPr>
          <w:rFonts w:ascii="Ubuntu" w:hAnsi="Ubuntu" w:cs="Ubuntu"/>
          <w:b/>
          <w:bCs/>
          <w:color w:val="365F91"/>
          <w:sz w:val="28"/>
          <w:szCs w:val="28"/>
        </w:rPr>
        <w:t xml:space="preserve">6.3 Compatibilidad, accesibilidad y auditoría</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1100"/>
        <w:gridCol w:w="1900"/>
        <w:gridCol w:w="2338"/>
        <w:gridCol w:w="1900"/>
        <w:gridCol w:w="8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1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RNF</w:t>
            </w:r>
          </w:p>
        </w:tc>
        <w:tc>
          <w:tcPr>
            <w:tcW w:w="1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Prueba</w:t>
            </w:r>
          </w:p>
        </w:tc>
        <w:tc>
          <w:tcPr>
            <w:tcW w:w="23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1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Criterio de paso</w:t>
            </w:r>
          </w:p>
        </w:tc>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Tipo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CP-014</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RNF-Comp-03</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Instalar el prototipo en un equipo sin servidores</w:t>
            </w:r>
            <w:r>
              <w:rPr>
                <w:rFonts w:ascii="Ubuntu" w:hAnsi="Ubuntu" w:cs="Ubuntu"/>
                <w:sz w:val="22"/>
                <w:szCs w:val="22"/>
              </w:rPr>
              <w:t xml:space="preserve"> (HU-02 · Script de pipeline sobre VM efímera)</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Instalar el .exe firmado desde Azure Artifacts en una VM Windows limpia. 2) Iniciar el configurador y crear un cliente. 3) Listar servicios, procesos y puertos en escucha.</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El configurador funciona instalado en 1 equipo con 0 servidores adicionales; solo escucha en 127.0.0.1.</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CP-101</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RNF-Comp-05</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Certificar la variante BW/4HANA con BPC 2021</w:t>
            </w:r>
            <w:r>
              <w:rPr>
                <w:rFonts w:ascii="Ubuntu" w:hAnsi="Ubuntu" w:cs="Ubuntu"/>
                <w:sz w:val="22"/>
                <w:szCs w:val="22"/>
              </w:rPr>
              <w:t xml:space="preserve"> (HU-16 · Suite de regresión (Playwright, xUnit y EPM))</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la suite de regresión completa contra el ambiente QA BW/4HANA. 2) Listar los InfoProviders creados por tipo.</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Todos los RF de la arquitectura A se ejecutan completos en BW/4HANA con BPC 2021 modelo estándar y se generan 0 InfoCubos.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CP-202</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RNF-Aud-02</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Auditar participaciones, asientos y bloqueos en BPC</w:t>
            </w:r>
            <w:r>
              <w:rPr>
                <w:rFonts w:ascii="Ubuntu" w:hAnsi="Ubuntu" w:cs="Ubuntu"/>
                <w:sz w:val="22"/>
                <w:szCs w:val="22"/>
              </w:rPr>
              <w:t xml:space="preserve"> (HU-35 · Excel COM con EPM y lectura RFC de la auditoría)</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Hacer 10 cambios de participación, 10 asientos y 10 bloqueos o desbloqueos. 2) Consultar la auditoría estándar de BPC. 3) Revisar la configuración de retención de la auditoría.</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 de 30 cambios con usuario, fecha y hora, valor anterior y nuevo consultables en BPC, y retención configurada de al menos 12 meses.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CP-266</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RNF-Comp-02</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Abrir y actualizar los 34 reportes y plantillas con EPM add-in</w:t>
            </w:r>
            <w:r>
              <w:rPr>
                <w:rFonts w:ascii="Ubuntu" w:hAnsi="Ubuntu" w:cs="Ubuntu"/>
                <w:sz w:val="22"/>
                <w:szCs w:val="22"/>
              </w:rPr>
              <w:t xml:space="preserve"> (HU-47 · Excel COM con la API de automatización de EPM add-in)</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Descargar el paquete completo de reportes. 2) Abrir cada reporte y plantilla de las tablas 5.6.1, 5.8.1 y 5.9.1 del DAF en Excel con EPM add-in. 3) Actualizar cada uno con el periodo 2026.06.</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34 de 34 reportes y plantillas abren y actualizan datos con EPM add-in, sin errores de conexión ni de fórmula.</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CP-297</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RNF-Aud-01</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Registrar el 100 % de las ejecuciones y conservarlas 12 meses</w:t>
            </w:r>
            <w:r>
              <w:rPr>
                <w:rFonts w:ascii="Ubuntu" w:hAnsi="Ubuntu" w:cs="Ubuntu"/>
                <w:sz w:val="22"/>
                <w:szCs w:val="22"/>
              </w:rPr>
              <w:t xml:space="preserve"> (HU-54 · xUnit sobre la base local)</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plan completo con un error y un reintento. 2) Comparar los pasos ejecutados con las entradas del registro. 3) Insertar entradas sintéticas con 11 meses y 29 días, 12 meses y 12 meses y 1 día de antigüedad y ejecutar la depuración.</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100 % de las ejecuciones con registro (usuario, fecha y hora, sistema, paso, objetos y resultado). La depuración conserva las entradas de hasta 12 meses.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CP-308</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RNF-Usa-01</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Revisar WCAG 2.1 AA de forma automática</w:t>
            </w:r>
            <w:r>
              <w:rPr>
                <w:rFonts w:ascii="Ubuntu" w:hAnsi="Ubuntu" w:cs="Ubuntu"/>
                <w:sz w:val="22"/>
                <w:szCs w:val="22"/>
              </w:rPr>
              <w:t xml:space="preserve"> (HU-56 · Playwright con axe-core)</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axe-core con las reglas WCAG 2.1 A y AA sobre cada pantalla del configurador en sus cuatro estados.</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0 incumplimientos de nivel A y AA en la revisión automática de las pantallas.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CP-309</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RNF-Usa-01</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Recorrer el configurador con lector de pantalla</w:t>
            </w:r>
            <w:r>
              <w:rPr>
                <w:rFonts w:ascii="Ubuntu" w:hAnsi="Ubuntu" w:cs="Ubuntu"/>
                <w:sz w:val="22"/>
                <w:szCs w:val="22"/>
              </w:rPr>
              <w:t xml:space="preserve"> (HU-56 · Ejecución manual)</w:t>
            </w:r>
            <w:r>
              <w:rPr>
                <w:rFonts w:ascii="Ubuntu" w:hAnsi="Ubuntu" w:cs="Ubuntu"/>
                <w:i/>
                <w:iCs/>
                <w:sz w:val="22"/>
                <w:szCs w:val="22"/>
              </w:rPr>
              <w:t xml:space="preserve"> Manual: Prueba exploratoria con tecnología de asistencia: la revisión automática no evalúa la experiencia con lector de pantalla.</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Recorrer con NVDA el flujo de crear cliente, conexiones, diagnóstico y generación. 2) Registrar controles sin nombre, orden de lectura incorrecto o mensajes no anunciados.</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El flujo completo se puede ejecutar con NVDA y teclado; todos los mensajes de estado y error se anuncian.</w:t>
            </w:r>
          </w:p>
        </w:tc>
        <w:tc>
          <w:tcPr>
            <w:tcW w:w="800" w:type="dxa"/>
            <w:shd w:val="clear" w:color="auto" w:fill="FFF3CD"/>
            <w:tcMar>
              <w:top w:w="80" w:type="dxa"/>
              <w:left w:w="120" w:type="dxa"/>
              <w:bottom w:w="80" w:type="dxa"/>
              <w:right w:w="120" w:type="dxa"/>
            </w:tcMar>
            <w:vAlign w:val="center"/>
          </w:tcPr>
          <w:p>
            <w:pPr>
              <w:spacing w:after="0"/>
              <w:jc w:val="center"/>
            </w:pPr>
            <w:r>
              <w:rPr>
                <w:rFonts w:ascii="Ubuntu" w:hAnsi="Ubuntu" w:cs="Ubuntu"/>
                <w:sz w:val="21"/>
                <w:szCs w:val="21"/>
              </w:rPr>
              <w:t xml:space="preserve">Manual</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CP-314</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RNF-Comp-01</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Regresión completa en arquitectura A y rechazo de B</w:t>
            </w:r>
            <w:r>
              <w:rPr>
                <w:rFonts w:ascii="Ubuntu" w:hAnsi="Ubuntu" w:cs="Ubuntu"/>
                <w:sz w:val="22"/>
                <w:szCs w:val="22"/>
              </w:rPr>
              <w:t xml:space="preserve"> (HU-57 · Suite de regresión (Playwright, xUnit y EPM))</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la suite de regresión completa contra el sandbox BW 7.5 con BPC 10.1. 2) Ejecutar la detección con el doble de prueba de arquitectura B. 3) Consolidar el resultado por RF.</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39 RF pasan en el ambiente de arquitectura A (1 de 1). La arquitectura B se detecta, se rechaza con mensaje y no crea objetos.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CP-318</w:t>
            </w:r>
          </w:p>
        </w:tc>
        <w:tc>
          <w:tcPr>
            <w:tcW w:w="11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RNF-Comp-04</w:t>
            </w:r>
          </w:p>
        </w:tc>
        <w:tc>
          <w:tcPr>
            <w:tcW w:w="19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Agregar una variante sin tocar clientes ni variantes existentes</w:t>
            </w:r>
            <w:r>
              <w:rPr>
                <w:rFonts w:ascii="Ubuntu" w:hAnsi="Ubuntu" w:cs="Ubuntu"/>
                <w:sz w:val="22"/>
                <w:szCs w:val="22"/>
              </w:rPr>
              <w:t xml:space="preserve"> (HU-58 · xUnit sobre el catálogo de variantes)</w:t>
            </w:r>
          </w:p>
        </w:tc>
        <w:tc>
          <w:tcPr>
            <w:tcW w:w="23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Calcular el hash de la configuración de los clientes y de las variantes del catálogo. 2) Agregar al catálogo una variante de prueba. 3) Calcular de nuevo los hashes y comparar.</w:t>
            </w:r>
          </w:p>
        </w:tc>
        <w:tc>
          <w:tcPr>
            <w:tcW w:w="1900" w:type="dxa"/>
            <w:tcMar>
              <w:top w:w="80" w:type="dxa"/>
              <w:left w:w="120" w:type="dxa"/>
              <w:bottom w:w="80" w:type="dxa"/>
              <w:right w:w="120" w:type="dxa"/>
            </w:tcMar>
            <w:vAlign w:val="center"/>
          </w:tcPr>
          <w:p>
            <w:pPr>
              <w:spacing w:after="0"/>
              <w:jc w:val="both"/>
            </w:pPr>
            <w:r>
              <w:rPr>
                <w:rFonts w:ascii="Ubuntu" w:hAnsi="Ubuntu" w:cs="Ubuntu"/>
                <w:sz w:val="21"/>
                <w:szCs w:val="21"/>
              </w:rPr>
              <w:t xml:space="preserve">Agregar la variante requiere 0 cambios en la configuración de los clientes y 0 cambios en las variantes existentes.</w:t>
            </w:r>
          </w:p>
        </w:tc>
        <w:tc>
          <w:tcPr>
            <w:tcW w:w="800" w:type="dxa"/>
            <w:shd w:val="clear" w:color="auto" w:fill="D1E7DD"/>
            <w:tcMar>
              <w:top w:w="80" w:type="dxa"/>
              <w:left w:w="120" w:type="dxa"/>
              <w:bottom w:w="80" w:type="dxa"/>
              <w:right w:w="120" w:type="dxa"/>
            </w:tcMar>
            <w:vAlign w:val="center"/>
          </w:tcPr>
          <w:p>
            <w:pPr>
              <w:spacing w:after="0"/>
              <w:jc w:val="center"/>
            </w:pPr>
            <w:r>
              <w:rPr>
                <w:rFonts w:ascii="Ubuntu" w:hAnsi="Ubuntu" w:cs="Ubuntu"/>
                <w:sz w:val="21"/>
                <w:szCs w:val="21"/>
              </w:rPr>
              <w:t xml:space="preserve">Automatizado</w:t>
            </w:r>
          </w:p>
        </w:tc>
      </w:tr>
    </w:tbl>
    <w:p>
      <w:pPr>
        <w:spacing w:after="0"/>
      </w:pPr>
    </w:p>
    <w:p>
      <w:pPr>
        <w:pStyle w:val="Heading2"/>
        <w:spacing w:before="240" w:after="120"/>
        <w:jc w:val="left"/>
      </w:pPr>
      <w:r>
        <w:rPr>
          <w:rFonts w:ascii="Ubuntu" w:hAnsi="Ubuntu" w:cs="Ubuntu"/>
          <w:b/>
          <w:bCs/>
          <w:color w:val="365F91"/>
          <w:sz w:val="28"/>
          <w:szCs w:val="28"/>
        </w:rPr>
        <w:t xml:space="preserve">6.4 Resiliencia de las integraciones</w:t>
      </w:r>
    </w:p>
    <w:p>
      <w:pPr>
        <w:spacing w:before="0" w:after="120" w:line="288" w:lineRule="auto"/>
        <w:jc w:val="both"/>
      </w:pPr>
      <w:r>
        <w:rPr>
          <w:rFonts w:ascii="Ubuntu" w:hAnsi="Ubuntu" w:cs="Ubuntu"/>
          <w:sz w:val="22"/>
          <w:szCs w:val="22"/>
        </w:rPr>
        <w:t xml:space="preserve">Estrategia de errores de la arquitectura (sección 8.3): timeout de 120 s por llamada RFC; un reintento automático solo en errores de comunicación, nunca en errores de negocio; cada paso es idempotente y un paso fallido detiene el plan y se reanuda desde ese paso.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900"/>
        <w:gridCol w:w="2100"/>
        <w:gridCol w:w="2638"/>
        <w:gridCol w:w="24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CP</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INT</w:t>
            </w:r>
          </w:p>
        </w:tc>
        <w:tc>
          <w:tcPr>
            <w:tcW w:w="21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Escenario</w:t>
            </w:r>
          </w:p>
        </w:tc>
        <w:tc>
          <w:tcPr>
            <w:tcW w:w="26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Pasos</w:t>
            </w:r>
          </w:p>
        </w:tc>
        <w:tc>
          <w:tcPr>
            <w:tcW w:w="2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Resultado esperado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CP-093</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Crear un objeto en BW por RFC</w:t>
            </w:r>
            <w:r>
              <w:rPr>
                <w:rFonts w:ascii="Ubuntu" w:hAnsi="Ubuntu" w:cs="Ubuntu"/>
                <w:sz w:val="22"/>
                <w:szCs w:val="22"/>
              </w:rPr>
              <w:t xml:space="preserve"> (caso feliz · HU-15)</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Invocar Z_ACC_* de creación con la definición JSON de un InfoObject de prueba. 2) Consultar el objeto en RSA1.</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La llamada responde OK con mensajes y el objeto queda activo en BW.</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CP-094</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Agotar el tiempo de una llamada RFC a BW</w:t>
            </w:r>
            <w:r>
              <w:rPr>
                <w:rFonts w:ascii="Ubuntu" w:hAnsi="Ubuntu" w:cs="Ubuntu"/>
                <w:sz w:val="22"/>
                <w:szCs w:val="22"/>
              </w:rPr>
              <w:t xml:space="preserve"> (timeout · HU-15)</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Activar el doble de prueba del gateway con 130 s de retardo. 2) Ejecutar el paso Bodega BW. 3) Revisar el registro.</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A los 120 s la llamada se corta, se hace un solo reintento automático y el paso queda en error de comunicación con los dos intentos en el registro.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CP-095</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Recibir un error de negocio de BW</w:t>
            </w:r>
            <w:r>
              <w:rPr>
                <w:rFonts w:ascii="Ubuntu" w:hAnsi="Ubuntu" w:cs="Ubuntu"/>
                <w:sz w:val="22"/>
                <w:szCs w:val="22"/>
              </w:rPr>
              <w:t xml:space="preserve"> (error del tercero · HU-15)</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Quitar al usuario técnico la autorización de creación de InfoProviders. 2) Ejecutar el paso Bodega BW. 3) Revisar el registro.</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El paso queda en error con el mensaje de SAP, sin reintento automático, y el plan se detiene en ese paso.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CP-096</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INT-02</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Reintentar la creación en BW sin duplicar</w:t>
            </w:r>
            <w:r>
              <w:rPr>
                <w:rFonts w:ascii="Ubuntu" w:hAnsi="Ubuntu" w:cs="Ubuntu"/>
                <w:sz w:val="22"/>
                <w:szCs w:val="22"/>
              </w:rPr>
              <w:t xml:space="preserve"> (reintento · HU-15)</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Devolver la autorización. 2) Pulsar Reintentar desde este paso. 3) Contar los objetos en RSA1 y en el registro.</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objetos ya creados responden EXISTE y no se modifican; se crean solo los faltantes, sin duplicados.</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CP-110</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Extraer la delta del ERP a BW</w:t>
            </w:r>
            <w:r>
              <w:rPr>
                <w:rFonts w:ascii="Ubuntu" w:hAnsi="Ubuntu" w:cs="Ubuntu"/>
                <w:sz w:val="22"/>
                <w:szCs w:val="22"/>
              </w:rPr>
              <w:t xml:space="preserve"> (caso feliz · HU-18)</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Registrar en el ERP 10 documentos sintéticos. 2) Ejecutar la cadena delta. 3) Comparar totales por sociedad entre ERP y BW.</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BW recibe los 10 documentos y los totales por sociedad coinciden con el ERP.</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CP-111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Perder el sistema origen durante la delta</w:t>
            </w:r>
            <w:r>
              <w:rPr>
                <w:rFonts w:ascii="Ubuntu" w:hAnsi="Ubuntu" w:cs="Ubuntu"/>
                <w:sz w:val="22"/>
                <w:szCs w:val="22"/>
              </w:rPr>
              <w:t xml:space="preserve"> (timeout · HU-18)</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Iniciar la cadena delta. 2) Cortar la conexión RFC entre BW y el ERP durante la extracción. 3) Revisar la cadena en RSPC.</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La cadena queda en error con la causa de comunicación, sin petición parcial activada y sin importación a BPC.</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CP-112</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Fallar la delta por un extractor inactivo</w:t>
            </w:r>
            <w:r>
              <w:rPr>
                <w:rFonts w:ascii="Ubuntu" w:hAnsi="Ubuntu" w:cs="Ubuntu"/>
                <w:sz w:val="22"/>
                <w:szCs w:val="22"/>
              </w:rPr>
              <w:t xml:space="preserve"> (error del tercero · HU-18)</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Desactivar 0FI_GL_14 en el ERP. 2) Ejecutar la cadena delta.</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La cadena queda en error con el mensaje del extractor y no carga datos parciales.</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CP-113</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INT-01</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Repetir la delta sin duplicar datos</w:t>
            </w:r>
            <w:r>
              <w:rPr>
                <w:rFonts w:ascii="Ubuntu" w:hAnsi="Ubuntu" w:cs="Ubuntu"/>
                <w:sz w:val="22"/>
                <w:szCs w:val="22"/>
              </w:rPr>
              <w:t xml:space="preserve"> (reintento · HU-18)</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Restablecer la conexión o el extractor. 2) Volver a ejecutar la cadena delta. 3) Comparar totales entre ERP y BW.</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La repetición carga los documentos pendientes una sola vez y los totales coinciden con el ERP.</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CP-142</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Cargar a BW un archivo no SAP válido</w:t>
            </w:r>
            <w:r>
              <w:rPr>
                <w:rFonts w:ascii="Ubuntu" w:hAnsi="Ubuntu" w:cs="Ubuntu"/>
                <w:sz w:val="22"/>
                <w:szCs w:val="22"/>
              </w:rPr>
              <w:t xml:space="preserve"> (caso feliz · HU-25)</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Subir y confirmar D400_2026_06_valido.csv. 2) Consultar en BW los registros de D400.</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BW contiene todas las filas del archivo con importes iguales y D400 queda marcada como cargada.</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CP-143</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Interrumpir la carga de un archivo no SAP</w:t>
            </w:r>
            <w:r>
              <w:rPr>
                <w:rFonts w:ascii="Ubuntu" w:hAnsi="Ubuntu" w:cs="Ubuntu"/>
                <w:sz w:val="22"/>
                <w:szCs w:val="22"/>
              </w:rPr>
              <w:t xml:space="preserve"> (timeout · HU-25)</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Subir D400_volumen.csv. 2) Cerrar el configurador durante la confirmación. 3) Reabrir y consultar BW.</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No quedan datos parciales de D400 en BW y la sociedad no figura como cargada.</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CP-144</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Rechazar un archivo no SAP con formato inválido</w:t>
            </w:r>
            <w:r>
              <w:rPr>
                <w:rFonts w:ascii="Ubuntu" w:hAnsi="Ubuntu" w:cs="Ubuntu"/>
                <w:sz w:val="22"/>
                <w:szCs w:val="22"/>
              </w:rPr>
              <w:t xml:space="preserve"> (error del tercero · HU-25)</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Subir un archivo con columnas faltantes y codificación distinta. 2) Revisar UX-07.</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El archivo se rechaza con la lista de errores por fila y columna y Confirmar carga queda deshabilitado.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CP-145</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INT-04</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Cargar de nuevo el archivo corregido</w:t>
            </w:r>
            <w:r>
              <w:rPr>
                <w:rFonts w:ascii="Ubuntu" w:hAnsi="Ubuntu" w:cs="Ubuntu"/>
                <w:sz w:val="22"/>
                <w:szCs w:val="22"/>
              </w:rPr>
              <w:t xml:space="preserve"> (reintento · HU-25)</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Subir y confirmar la versión corregida del archivo de D400 para 2026.06. 2) Consultar en BW los registros de D400.</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La nueva carga reemplaza la anterior del periodo y BW no duplica importes.</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CP-150</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Crear dimensiones y miembros en BPC por RFC</w:t>
            </w:r>
            <w:r>
              <w:rPr>
                <w:rFonts w:ascii="Ubuntu" w:hAnsi="Ubuntu" w:cs="Ubuntu"/>
                <w:sz w:val="22"/>
                <w:szCs w:val="22"/>
              </w:rPr>
              <w:t xml:space="preserve"> (caso feliz · HU-26)</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el paso Modelo BPC. 2) Consultar dimensiones y miembros en BPC.</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llamadas Z_ACC_BPC_* responden OK y BPC muestra las dimensiones y miembros esperados.</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CP-151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Agotar el tiempo de una llamada RFC a BPC</w:t>
            </w:r>
            <w:r>
              <w:rPr>
                <w:rFonts w:ascii="Ubuntu" w:hAnsi="Ubuntu" w:cs="Ubuntu"/>
                <w:sz w:val="22"/>
                <w:szCs w:val="22"/>
              </w:rPr>
              <w:t xml:space="preserve"> (timeout · HU-26)</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Activar el doble de prueba del gateway con 130 s de retardo en Z_ACC_BPC_*. 2) Ejecutar el paso Modelo BPC. 3) Revisar el registro.</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A los 120 s la llamada se corta, se hace un solo reintento automático y el paso queda en error de comunicación con los dos intentos en el registro.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CP-152</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Recibir un error de negocio de BPC</w:t>
            </w:r>
            <w:r>
              <w:rPr>
                <w:rFonts w:ascii="Ubuntu" w:hAnsi="Ubuntu" w:cs="Ubuntu"/>
                <w:sz w:val="22"/>
                <w:szCs w:val="22"/>
              </w:rPr>
              <w:t xml:space="preserve"> (error del tercero · HU-26)</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Quitar al usuario técnico el permiso de escritura en el ambiente BPC. 2) Ejecutar el paso Modelo BPC.</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El paso queda en error con el mensaje de BPC, sin reintento automático, y el respaldo UJBR previo queda disponible.</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CP-153</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INT-03</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Reintentar la configuración de BPC sin duplicar</w:t>
            </w:r>
            <w:r>
              <w:rPr>
                <w:rFonts w:ascii="Ubuntu" w:hAnsi="Ubuntu" w:cs="Ubuntu"/>
                <w:sz w:val="22"/>
                <w:szCs w:val="22"/>
              </w:rPr>
              <w:t xml:space="preserve"> (reintento · HU-26)</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Devolver el permiso. 2) Pulsar Reintentar desde este paso. 3) Contar dimensiones y miembros en BPC.</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Lo ya creado responde EXISTE; BPC queda con una sola copia de cada dimensión y miembro.</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CP-158</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Importar de BW a BPC al final de la delta</w:t>
            </w:r>
            <w:r>
              <w:rPr>
                <w:rFonts w:ascii="Ubuntu" w:hAnsi="Ubuntu" w:cs="Ubuntu"/>
                <w:sz w:val="22"/>
                <w:szCs w:val="22"/>
              </w:rPr>
              <w:t xml:space="preserve"> (caso feliz · HU-27)</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Ejecutar la delta nocturna con la importación encadenada. 2) Comparar totales por sociedad entre BW y BPC.</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Las sociedades que cuadran quedan en BPC con totales iguales a BW.</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CP-159</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Fallar la importación por tiempo agotado</w:t>
            </w:r>
            <w:r>
              <w:rPr>
                <w:rFonts w:ascii="Ubuntu" w:hAnsi="Ubuntu" w:cs="Ubuntu"/>
                <w:sz w:val="22"/>
                <w:szCs w:val="22"/>
              </w:rPr>
              <w:t xml:space="preserve"> (timeout · HU-27)</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Activar en BPC un bloqueo del modelo durante la ejecución del paquete. 2) Ejecutar la importación. 3) Revisar la cadena y el paso.</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El paquete de Data Manager termina en error, la cadena lo muestra en rojo y el periodo no queda con datos parciales de la sociedad.</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CP-160</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Rechazar por cuadre en la importación</w:t>
            </w:r>
            <w:r>
              <w:rPr>
                <w:rFonts w:ascii="Ubuntu" w:hAnsi="Ubuntu" w:cs="Ubuntu"/>
                <w:sz w:val="22"/>
                <w:szCs w:val="22"/>
              </w:rPr>
              <w:t xml:space="preserve"> (error del tercero · HU-27)</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Descuadrar D200. 2) Ejecutar la importación.</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D200 no se importa (error de negocio, sin reintento automático) y queda en C03 con la diferencia.</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CP-161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INT-05</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Repetir la importación de una sociedad y periodo</w:t>
            </w:r>
            <w:r>
              <w:rPr>
                <w:rFonts w:ascii="Ubuntu" w:hAnsi="Ubuntu" w:cs="Ubuntu"/>
                <w:sz w:val="22"/>
                <w:szCs w:val="22"/>
              </w:rPr>
              <w:t xml:space="preserve"> (reintento · HU-27)</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Corregir el cuadre de D200. 2) Ejecutar de nuevo el paquete para D200 y 2026.06. 3) Comparar totales entre BW y BPC.</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D200 queda en BPC con totales iguales a BW y sin importes duplicados.</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CP-246</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Actualizar un reporte EPM desde BPC</w:t>
            </w:r>
            <w:r>
              <w:rPr>
                <w:rFonts w:ascii="Ubuntu" w:hAnsi="Ubuntu" w:cs="Ubuntu"/>
                <w:sz w:val="22"/>
                <w:szCs w:val="22"/>
              </w:rPr>
              <w:t xml:space="preserve"> (caso feliz · HU-42)</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Abrir R01 con la conexión con nombre. 2) Actualizar 2026.06.</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R01 muestra los datos del modelo y los totales coinciden con BPC.</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CP-247</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Perder la conexión de EPM durante la actualización</w:t>
            </w:r>
            <w:r>
              <w:rPr>
                <w:rFonts w:ascii="Ubuntu" w:hAnsi="Ubuntu" w:cs="Ubuntu"/>
                <w:sz w:val="22"/>
                <w:szCs w:val="22"/>
              </w:rPr>
              <w:t xml:space="preserve"> (timeout · HU-42)</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Iniciar la actualización de R01. 2) Cortar la red hacia BPC durante la actualización.</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Se muestra «No se pudo conectar a BPC; revisa la conexión de EPM» y el reporte no queda con valores a medias.</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CP-248</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Actualizar sin permiso en BPC</w:t>
            </w:r>
            <w:r>
              <w:rPr>
                <w:rFonts w:ascii="Ubuntu" w:hAnsi="Ubuntu" w:cs="Ubuntu"/>
                <w:sz w:val="22"/>
                <w:szCs w:val="22"/>
              </w:rPr>
              <w:t xml:space="preserve"> (error del tercero · HU-42)</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Iniciar sesión en EPM con un usuario sin acceso al modelo. 2) Actualizar R01.</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EPM muestra el error de autorización de BPC y el reporte no muestra datos.</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CP-249</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INT-06</w:t>
            </w:r>
          </w:p>
        </w:tc>
        <w:tc>
          <w:tcPr>
            <w:tcW w:w="2100" w:type="dxa"/>
            <w:tcMar>
              <w:top w:w="80" w:type="dxa"/>
              <w:left w:w="120" w:type="dxa"/>
              <w:bottom w:w="80" w:type="dxa"/>
              <w:right w:w="120" w:type="dxa"/>
            </w:tcMar>
            <w:vAlign w:val="center"/>
          </w:tcPr>
          <w:p>
            <w:pPr>
              <w:spacing w:after="0"/>
              <w:jc w:val="both"/>
            </w:pPr>
            <w:r>
              <w:rPr>
                <w:rFonts w:ascii="Ubuntu" w:hAnsi="Ubuntu" w:cs="Ubuntu"/>
                <w:b/>
                <w:bCs/>
                <w:sz w:val="22"/>
                <w:szCs w:val="22"/>
              </w:rPr>
              <w:t xml:space="preserve">Actualizar de nuevo al recuperar la conexión</w:t>
            </w:r>
            <w:r>
              <w:rPr>
                <w:rFonts w:ascii="Ubuntu" w:hAnsi="Ubuntu" w:cs="Ubuntu"/>
                <w:sz w:val="22"/>
                <w:szCs w:val="22"/>
              </w:rPr>
              <w:t xml:space="preserve"> (reintento · HU-42)</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Restablecer la red o el permiso. 2) Pulsar Actualizar.</w:t>
            </w:r>
          </w:p>
        </w:tc>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R01 se actualiza con los datos del modelo sin reabrir el archivo.</w:t>
            </w:r>
          </w:p>
        </w:tc>
      </w:tr>
    </w:tbl>
    <w:p>
      <w:pPr>
        <w:spacing w:after="0"/>
      </w:pPr>
    </w:p>
    <w:p>
      <w:r>
        <w:br w:type="page"/>
      </w:r>
    </w:p>
    <w:p>
      <w:pPr>
        <w:pStyle w:val="Heading1"/>
        <w:spacing w:before="360" w:after="160"/>
        <w:jc w:val="left"/>
      </w:pPr>
      <w:r>
        <w:rPr>
          <w:rFonts w:ascii="Ubuntu" w:hAnsi="Ubuntu" w:cs="Ubuntu"/>
          <w:b/>
          <w:bCs/>
          <w:color w:val="365F91"/>
          <w:sz w:val="32"/>
          <w:szCs w:val="32"/>
        </w:rPr>
        <w:t xml:space="preserve">7. Matriz de trazabilidad CP ↔ HU ↔ RF</w:t>
      </w:r>
    </w:p>
    <w:p>
      <w:pPr>
        <w:spacing w:before="0" w:after="120" w:line="288" w:lineRule="auto"/>
        <w:jc w:val="both"/>
      </w:pPr>
      <w:r>
        <w:rPr>
          <w:rFonts w:ascii="Ubuntu" w:hAnsi="Ubuntu" w:cs="Ubuntu"/>
          <w:sz w:val="22"/>
          <w:szCs w:val="22"/>
        </w:rPr>
        <w:t xml:space="preserve">Gate F7: 100 % de las historias con casos y cada criterio de aceptación cubierto.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800"/>
        <w:gridCol w:w="900"/>
        <w:gridCol w:w="3138"/>
        <w:gridCol w:w="1800"/>
        <w:gridCol w:w="2200"/>
      </w:tblGrid>
      <w:tr>
        <w:trPr>
          <w:tblHeader/>
        </w:trPr>
        <w:tc>
          <w:tcPr>
            <w:tcW w:w="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HU</w:t>
            </w:r>
          </w:p>
        </w:tc>
        <w:tc>
          <w:tcPr>
            <w:tcW w:w="9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Criterios</w:t>
            </w:r>
          </w:p>
        </w:tc>
        <w:tc>
          <w:tcPr>
            <w:tcW w:w="31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Casos funcionales (criterio → CP)</w:t>
            </w:r>
          </w:p>
        </w:tc>
        <w:tc>
          <w:tcPr>
            <w:tcW w:w="1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Otros casos</w:t>
            </w:r>
          </w:p>
        </w:tc>
        <w:tc>
          <w:tcPr>
            <w:tcW w:w="22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RF / RNF / INT de origen</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HU-01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5</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1→001, 2→002, 3→003, 4→004, 5→005</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INT-02, INT-03, RNF-Seg-03</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HU-02</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6</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1→006, 2→007, 3→008, 4→009, 5→010, 6→011</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012, 013, 014</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RF-01, RNF-Comp-03</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HU-03</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1→015, 2→016, 3→017, 4→018</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019, 020</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RF-01</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HU-04</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1→021, 2→022, 3→023, 4→024</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025, 026</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RNF-Seg-02, RNF-Seg-03</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HU-05</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1→027, 2→028, 3→029</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030</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RF-02</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HU-06</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1→031, 2→032, 3→033, 4→034</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RF-04, RNF-Comp-04, RNF-Comp-05</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HU-07</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1→035, 2→036, 3→037, 4→038</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039, 040, 041</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RF-03</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HU-08</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1→042, 2→043, 3→044, 4→045</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046, 047, 048</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RF-05</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HU-09</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5</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1→049, 2→050, 3→051, 4→052, 5→053</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054, 055, 056</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RF-06, RF-13</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HU-10</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1→057, 2→058, 3→059, 4→060</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061, 062, 063, 064</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RF-31</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HU-11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5</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1→065, 2→066, 3→067, 4→068, 5→069</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070, 071</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RF-07</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HU-12</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1→072, 2→073, 3→074, 4→075</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076</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RF-39</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HU-13</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1→077, 2→078, 3→079, 4→080</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081, 082</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RF-08, RF-16, RF-18</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HU-14</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1→083, 2→084, 3→085, 4→086</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087, 088</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RF-08, RNF-Aud-01</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HU-15</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1→089, 2→090, 3→091, 4→092</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093, 094, 095, 096</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RF-08, INT-01</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HU-16</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1→097, 2→098, 3→099, 4→100</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101</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RF-08, RNF-Comp-05</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HU-17</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1→102, 2→103, 3→104</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RF-09</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HU-18</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1→105, 2→106, 3→107, 4→108</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109, 110, 111, 112, 113</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RF-10, RNF-Rend-01</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HU-19</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1→114, 2→115, 3→116</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117</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RF-24</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HU-20</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1→118, 2→119, 3→120</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121</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RF-25</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HU-21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1→122, 2→123, 3→124</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RF-11</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HU-22</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1→125, 2→126, 3→127</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RF-12</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HU-23</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1→128, 2→129, 3→130, 4→131</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RF-13</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HU-24</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1→132, 2→133, 3→134</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RF-14</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HU-25</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5</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1→135, 2→136, 3→137, 4→138, 5→139</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140, 141, 142, 143, 144, 145</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RF-15, INT-04</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HU-26</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1→146, 2→147, 3→148, 4→149</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150, 151, 152, 153</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RF-16</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HU-27</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1→154, 2→155, 3→156, 4→157</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158, 159, 160, 161</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RF-17, INT-05</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HU-28</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1→162, 2→163, 3→164, 4→165</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RF-18</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HU-29</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1→166, 2→167, 3→168, 4→169</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RF-19</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HU-30</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1→170, 2→171, 3→172, 4→173</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RF-26</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HU-31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1→174, 2→175, 3→176</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RF-33</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HU-32</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1→177, 2→178, 3→179, 4→180</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RF-31</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HU-33</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5</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1→181, 2→182, 3→183, 4→184, 5→185</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RF-32</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HU-34</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1→186, 2→187, 3→188, 4→189</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RF-19</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HU-35</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5</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1→190, 2→191, 3→192, 4→193, 5→194</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195, 196, 197, 198, 199, 200, 201, 202</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RF-31, RNF-Aud-02</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HU-36</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5</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1→203, 2→204, 3→205, 4→206, 5→207</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208, 209, 210</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RF-36</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HU-37</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1→211, 2→212, 3→213, 4→214</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RF-36</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HU-38</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1→215, 2→216, 3→217, 4→218</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219, 220, 221</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RF-34</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HU-39</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1→222, 2→223, 3→224, 4→225</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226, 227, 228, 229, 230</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RF-35, RNF-Aud-02</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HU-40</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1→231, 2→232, 3→233, 4→234</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RF-37, RNF-Aud-02</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HU-41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1→235, 2→236, 3→237, 4→238</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239, 240</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RF-38</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HU-42</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1→241, 2→242, 3→243, 4→244</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245, 246, 247, 248, 249</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RF-20, RF-21, INT-06</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HU-43</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1→250, 2→251, 3→252</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RF-22</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HU-44</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1→253, 2→254, 3→255, 4→256</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RF-20, RNF-Comp-02</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HU-45</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1→257, 2→258, 3→259</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RF-20</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HU-46</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1→260, 2→261, 3→262</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RF-20, RF-30</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HU-47</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1→263, 2→264, 3→265</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266</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RF-20, RNF-Comp-02</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HU-48</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1→267, 2→268, 3→269, 4→270</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271, 272</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RF-20, RF-27, RF-29, RF-34</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HU-49</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1→273, 2→274, 3→275, 4→276</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277</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RF-23</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HU-50</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1→278, 2→279, 3→280, 4→281</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282, 283</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RF-28</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HU-51</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1→284, 2→285, 3→286</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RF-39</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HU-52</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1→287, 2→288, 3→289</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RF-27</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HU-53</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1→290, 2→291, 3→292</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RF-29</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HU-54</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1→293, 2→294, 3→295, 4→296</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297</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RNF-Aud-01</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HU-55</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1→298, 2→299, 3→300, 4→301</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302, 303, 304</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RNF-Seg-01</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HU-56</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1→305, 2→306, 3→307</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308, 309</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RNF-Usa-01</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HU-57</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4</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1→310, 2→311, 3→312, 4→313</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314</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RF-04, RNF-Comp-01</w:t>
            </w:r>
          </w:p>
        </w:tc>
      </w:tr>
      <w:tr>
        <w:tc>
          <w:tcPr>
            <w:tcW w:w="800" w:type="dxa"/>
            <w:tcMar>
              <w:top w:w="80" w:type="dxa"/>
              <w:left w:w="120" w:type="dxa"/>
              <w:bottom w:w="80" w:type="dxa"/>
              <w:right w:w="120" w:type="dxa"/>
            </w:tcMar>
            <w:vAlign w:val="center"/>
          </w:tcPr>
          <w:p>
            <w:pPr>
              <w:spacing w:after="0"/>
              <w:jc w:val="both"/>
            </w:pPr>
            <w:r>
              <w:rPr>
                <w:rFonts w:ascii="Ubuntu" w:hAnsi="Ubuntu" w:cs="Ubuntu"/>
                <w:b/>
                <w:bCs/>
                <w:sz w:val="21"/>
                <w:szCs w:val="21"/>
              </w:rPr>
              <w:t xml:space="preserve">HU-58</w:t>
            </w:r>
          </w:p>
        </w:tc>
        <w:tc>
          <w:tcPr>
            <w:tcW w:w="900" w:type="dxa"/>
            <w:tcMar>
              <w:top w:w="80" w:type="dxa"/>
              <w:left w:w="120" w:type="dxa"/>
              <w:bottom w:w="80" w:type="dxa"/>
              <w:right w:w="120" w:type="dxa"/>
            </w:tcMar>
            <w:vAlign w:val="center"/>
          </w:tcPr>
          <w:p>
            <w:pPr>
              <w:spacing w:after="0"/>
              <w:jc w:val="both"/>
            </w:pPr>
            <w:r>
              <w:rPr>
                <w:rFonts w:ascii="Ubuntu" w:hAnsi="Ubuntu" w:cs="Ubuntu"/>
                <w:sz w:val="21"/>
                <w:szCs w:val="21"/>
              </w:rPr>
              <w:t xml:space="preserve">3</w:t>
            </w:r>
          </w:p>
        </w:tc>
        <w:tc>
          <w:tcPr>
            <w:tcW w:w="3138" w:type="dxa"/>
            <w:tcMar>
              <w:top w:w="80" w:type="dxa"/>
              <w:left w:w="120" w:type="dxa"/>
              <w:bottom w:w="80" w:type="dxa"/>
              <w:right w:w="120" w:type="dxa"/>
            </w:tcMar>
            <w:vAlign w:val="center"/>
          </w:tcPr>
          <w:p>
            <w:pPr>
              <w:spacing w:after="0"/>
              <w:jc w:val="both"/>
            </w:pPr>
            <w:r>
              <w:rPr>
                <w:rFonts w:ascii="Ubuntu" w:hAnsi="Ubuntu" w:cs="Ubuntu"/>
                <w:sz w:val="21"/>
                <w:szCs w:val="21"/>
              </w:rPr>
              <w:t xml:space="preserve">1→315, 2→316, 3→317</w:t>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318</w:t>
            </w:r>
          </w:p>
        </w:tc>
        <w:tc>
          <w:tcPr>
            <w:tcW w:w="22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RNF-Comp-05, RNF-Comp-04</w:t>
            </w:r>
          </w:p>
        </w:tc>
      </w:tr>
    </w:tbl>
    <w:p>
      <w:pPr>
        <w:spacing w:after="0"/>
      </w:pPr>
    </w:p>
    <w:p>
      <w:pPr>
        <w:pStyle w:val="Heading2"/>
        <w:spacing w:before="240" w:after="120"/>
        <w:jc w:val="left"/>
      </w:pPr>
      <w:r>
        <w:rPr>
          <w:rFonts w:ascii="Ubuntu" w:hAnsi="Ubuntu" w:cs="Ubuntu"/>
          <w:b/>
          <w:bCs/>
          <w:color w:val="365F91"/>
          <w:sz w:val="28"/>
          <w:szCs w:val="28"/>
        </w:rPr>
        <w:t xml:space="preserve">7.1 Estados de pantalla</w:t>
      </w:r>
    </w:p>
    <w:p>
      <w:pPr>
        <w:spacing w:before="0" w:after="120" w:line="288" w:lineRule="auto"/>
        <w:jc w:val="both"/>
      </w:pPr>
      <w:r>
        <w:rPr>
          <w:rFonts w:ascii="Ubuntu" w:hAnsi="Ubuntu" w:cs="Ubuntu"/>
          <w:sz w:val="22"/>
          <w:szCs w:val="22"/>
        </w:rPr>
        <w:t xml:space="preserve">Cada estado vacío, carga y error de las pantallas tiene un caso. Cuando un criterio de aceptación ya lo verifica, se cita ese caso.</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3238"/>
        <w:gridCol w:w="1866"/>
        <w:gridCol w:w="1867"/>
        <w:gridCol w:w="1867"/>
      </w:tblGrid>
      <w:tr>
        <w:trPr>
          <w:tblHeader/>
        </w:trPr>
        <w:tc>
          <w:tcPr>
            <w:tcW w:w="3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Pantalla</w:t>
            </w:r>
          </w:p>
        </w:tc>
        <w:tc>
          <w:tcPr>
            <w:tcW w:w="1866"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Vacío</w:t>
            </w:r>
          </w:p>
        </w:tc>
        <w:tc>
          <w:tcPr>
            <w:tcW w:w="1867"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Carga</w:t>
            </w:r>
          </w:p>
        </w:tc>
        <w:tc>
          <w:tcPr>
            <w:tcW w:w="1867"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Error</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UX-01 Clientes</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CP-009</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CP-012</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CP-013</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UX-02 Conexiones</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CP-019</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CP-020</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CP-016</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UX-03 Diagnóstico e inventario</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CP-040</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CP-041</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CP-038</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UX-04 Módulos</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CP-046</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CP-047</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CP-048</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UX-05 Sociedades del grupo</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CP-054</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CP-055</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CP-056</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UX-06 Mapeo de cuentas</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CP-070</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CP-071</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CP-069</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UX-07 Carga de sociedades no SAP</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CP-140</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CP-141</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CP-136</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UX-08 Plan de generación</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CP-080</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CP-081</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CP-082</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UX-09 Ejecución y registro</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CP-087</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CP-088</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CP-084</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UX-10 Reportes</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CP-271</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CP-272</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CP-270</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UX-11 Plantilla de reporte EPM</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CP-244</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CP-245</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CP-244</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UX-12 Captura de presupuesto</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CP-281</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CP-282</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CP-283</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UX-13 Participaciones y métodos</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CP-195</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CP-196</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CP-192</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UX-14 Asientos de ajuste</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CP-226</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CP-227</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CP-223</w:t>
            </w:r>
          </w:p>
        </w:tc>
      </w:tr>
      <w:tr>
        <w:tc>
          <w:tcPr>
            <w:tcW w:w="3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UX-15 Estado del cierre</w:t>
            </w:r>
          </w:p>
        </w:tc>
        <w:tc>
          <w:tcPr>
            <w:tcW w:w="1866" w:type="dxa"/>
            <w:tcMar>
              <w:top w:w="80" w:type="dxa"/>
              <w:left w:w="120" w:type="dxa"/>
              <w:bottom w:w="80" w:type="dxa"/>
              <w:right w:w="120" w:type="dxa"/>
            </w:tcMar>
            <w:vAlign w:val="center"/>
          </w:tcPr>
          <w:p>
            <w:pPr>
              <w:spacing w:after="0"/>
              <w:jc w:val="both"/>
            </w:pPr>
            <w:r>
              <w:rPr>
                <w:rFonts w:ascii="Ubuntu" w:hAnsi="Ubuntu" w:cs="Ubuntu"/>
                <w:sz w:val="21"/>
                <w:szCs w:val="21"/>
              </w:rPr>
              <w:t xml:space="preserve">CP-238</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CP-239</w:t>
            </w:r>
          </w:p>
        </w:tc>
        <w:tc>
          <w:tcPr>
            <w:tcW w:w="1867" w:type="dxa"/>
            <w:tcMar>
              <w:top w:w="80" w:type="dxa"/>
              <w:left w:w="120" w:type="dxa"/>
              <w:bottom w:w="80" w:type="dxa"/>
              <w:right w:w="120" w:type="dxa"/>
            </w:tcMar>
            <w:vAlign w:val="center"/>
          </w:tcPr>
          <w:p>
            <w:pPr>
              <w:spacing w:after="0"/>
              <w:jc w:val="both"/>
            </w:pPr>
            <w:r>
              <w:rPr>
                <w:rFonts w:ascii="Ubuntu" w:hAnsi="Ubuntu" w:cs="Ubuntu"/>
                <w:sz w:val="21"/>
                <w:szCs w:val="21"/>
              </w:rPr>
              <w:t xml:space="preserve">CP-240</w:t>
            </w:r>
          </w:p>
        </w:tc>
      </w:tr>
    </w:tbl>
    <w:p>
      <w:pPr>
        <w:spacing w:after="0"/>
      </w:pPr>
    </w:p>
    <w:p>
      <w:pPr>
        <w:pStyle w:val="Heading2"/>
        <w:spacing w:before="240" w:after="120"/>
        <w:jc w:val="left"/>
      </w:pPr>
      <w:r>
        <w:rPr>
          <w:rFonts w:ascii="Ubuntu" w:hAnsi="Ubuntu" w:cs="Ubuntu"/>
          <w:b/>
          <w:bCs/>
          <w:color w:val="365F91"/>
          <w:sz w:val="28"/>
          <w:szCs w:val="28"/>
        </w:rPr>
        <w:t xml:space="preserve">7.2 RNF, integraciones y reglas con umbral</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1300"/>
        <w:gridCol w:w="5238"/>
        <w:gridCol w:w="2300"/>
      </w:tblGrid>
      <w:tr>
        <w:trPr>
          <w:tblHeader/>
        </w:trPr>
        <w:tc>
          <w:tcPr>
            <w:tcW w:w="13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Elemento</w:t>
            </w:r>
          </w:p>
        </w:tc>
        <w:tc>
          <w:tcPr>
            <w:tcW w:w="52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Métrica o estrategia</w:t>
            </w:r>
          </w:p>
        </w:tc>
        <w:tc>
          <w:tcPr>
            <w:tcW w:w="23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Casos</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RNF-Comp-01</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Todos los RF se ejecutan completos en un ambiente de prueba de la arquitectura A (1 de 1); la arquitectura B se detecta y se rechaza con mensaje.</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CP-314</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RNF-Comp-02</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34 de 34 reportes y plantillas (tablas 5.6.1, 5.8.1 y 5.9.1) abren y actualizan datos con EPM add-in.</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CP-266</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RNF-Comp-03</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Prototipo instalado en 1 equipo con 0 servidores adicionales.</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CP-014</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RNF-Comp-04</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Agregar una versión requiere 0 cambios en la configuración de los clientes y 0 cambios en las variantes existentes.</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CP-318</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RNF-Comp-05</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Todos los RF de la arquitectura A se ejecutan completos en un ambiente BW/4HANA con BPC 2021 modelo estándar; 0 InfoCubos generados en esa variante.</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CP-101</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RNF-Rend-01</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1 ejecución cada 24 horas; antigüedad de los datos ≤ 24 horas al abrir un reporte. Duración máxima de la ventana: pregunta abierta 7.</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CP-109</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RNF-Seg-01</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Verificación ASVS nivel 2 sin hallazgos altos abiertos antes de la entrega.</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CP-302, CP-303, CP-304</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RNF-Seg-02</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0 credenciales legibles en archivos de configuración o registros.</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CP-025</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RNF-Seg-03</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Rol técnico documentado; 0 permisos de administración total (SAP_ALL).</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CP-026</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RNF-Aud-01</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100 % de las ejecuciones con registro; retención mínima de 12 meses.</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CP-297</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RNF-Aud-02</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100 % de los cambios con registro consultable en BPC; retención mínima de 12 meses.</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CP-202</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RNF-Usa-01</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0 incumplimientos de nivel A y AA en una revisión automática de las pantallas.</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CP-308, CP-309</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INT-01</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ERP → SAP BW · Extractores estándar SAP (0FI_GL_14 en ECC; extractores estándar de activos fijos y de deterioros)</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CP-110, CP-111, CP-112, CP-113</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INT-02</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BW · RFC con paquete Z (confirmado por CM; se valida con prueba técnica)</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CP-093, CP-094, CP-095, CP-096</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INT-03</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BPC · RFC con paquete Z (confirmado por CM; se valida con prueba técnica)</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CP-150, CP-151, CP-152, CP-153</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INT-04</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Fuentes no SAP → SAP BW · Archivo (formato por definir)</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CP-142, CP-143, CP-144, CP-145</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INT-05</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BW → SAP BPC · Importación desde InfoProvider (modelo estándar)</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CP-158, CP-159, CP-160, CP-161</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INT-06</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SAP BPC → Excel (EPM add-in) · Conexión EPM add-in</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CP-246, CP-247, CP-248, CP-249</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RN-14</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Los porcentajes y el método se registran por periodo; un cambio aplica desde el periodo en que se registra y no altera los periodos anteriores.</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CP-199, CP-200, CP-201</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RN-15</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asiento de ajuste solo se guarda si la suma de sus débitos es igual a la suma de sus créditos.</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CP-228, CP-229, CP-230</w:t>
            </w:r>
          </w:p>
        </w:tc>
      </w:tr>
      <w:tr>
        <w:tc>
          <w:tcPr>
            <w:tcW w:w="1300" w:type="dxa"/>
            <w:tcMar>
              <w:top w:w="80" w:type="dxa"/>
              <w:left w:w="120" w:type="dxa"/>
              <w:bottom w:w="80" w:type="dxa"/>
              <w:right w:w="120" w:type="dxa"/>
            </w:tcMar>
            <w:vAlign w:val="center"/>
          </w:tcPr>
          <w:p>
            <w:pPr>
              <w:spacing w:after="0"/>
              <w:jc w:val="both"/>
            </w:pPr>
            <w:r>
              <w:rPr>
                <w:rFonts w:ascii="Ubuntu" w:hAnsi="Ubuntu" w:cs="Ubuntu"/>
                <w:sz w:val="21"/>
                <w:szCs w:val="21"/>
              </w:rPr>
              <w:t xml:space="preserve">RN-16</w:t>
            </w:r>
          </w:p>
        </w:tc>
        <w:tc>
          <w:tcPr>
            <w:tcW w:w="52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Una sociedad solo se importa a BPC si en el periodo el activo es igual al pasivo más el patrimonio, la utilidad del estado de resultados es igual al resultado del ejercicio del balance y todas sus cuentas con saldo están mapeadas; la tolerancia de redondeo se define en la pregunta abierta 14.</w:t>
            </w:r>
          </w:p>
        </w:tc>
        <w:tc>
          <w:tcPr>
            <w:tcW w:w="2300" w:type="dxa"/>
            <w:tcMar>
              <w:top w:w="80" w:type="dxa"/>
              <w:left w:w="120" w:type="dxa"/>
              <w:bottom w:w="80" w:type="dxa"/>
              <w:right w:w="120" w:type="dxa"/>
            </w:tcMar>
            <w:vAlign w:val="center"/>
          </w:tcPr>
          <w:p>
            <w:pPr>
              <w:spacing w:after="0"/>
              <w:jc w:val="both"/>
            </w:pPr>
            <w:r>
              <w:rPr>
                <w:rFonts w:ascii="Ubuntu" w:hAnsi="Ubuntu" w:cs="Ubuntu"/>
                <w:sz w:val="21"/>
                <w:szCs w:val="21"/>
              </w:rPr>
              <w:t xml:space="preserve">CP-208, CP-209, CP-210</w:t>
            </w:r>
          </w:p>
        </w:tc>
      </w:tr>
    </w:tbl>
    <w:p>
      <w:pPr>
        <w:spacing w:after="0"/>
      </w:pPr>
    </w:p>
    <w:p>
      <w:pPr>
        <w:pStyle w:val="Heading1"/>
        <w:spacing w:before="360" w:after="160"/>
        <w:jc w:val="left"/>
      </w:pPr>
      <w:r>
        <w:rPr>
          <w:rFonts w:ascii="Ubuntu" w:hAnsi="Ubuntu" w:cs="Ubuntu"/>
          <w:b/>
          <w:bCs/>
          <w:color w:val="365F91"/>
          <w:sz w:val="32"/>
          <w:szCs w:val="32"/>
        </w:rPr>
        <w:t xml:space="preserve">8. Gestión de defectos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1500"/>
        <w:gridCol w:w="7338"/>
      </w:tblGrid>
      <w:tr>
        <w:trPr>
          <w:tblHeader/>
        </w:trPr>
        <w:tc>
          <w:tcPr>
            <w:tcW w:w="15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Severidad</w:t>
            </w:r>
          </w:p>
        </w:tc>
        <w:tc>
          <w:tcPr>
            <w:tcW w:w="73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Definición</w:t>
            </w:r>
          </w:p>
        </w:tc>
      </w:tr>
      <w:tr>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Crítica</w:t>
            </w:r>
          </w:p>
        </w:tc>
        <w:tc>
          <w:tcPr>
            <w:tcW w:w="7338" w:type="dxa"/>
            <w:tcMar>
              <w:top w:w="80" w:type="dxa"/>
              <w:left w:w="120" w:type="dxa"/>
              <w:bottom w:w="80" w:type="dxa"/>
              <w:right w:w="120" w:type="dxa"/>
            </w:tcMar>
            <w:vAlign w:val="center"/>
          </w:tcPr>
          <w:p>
            <w:pPr>
              <w:spacing w:after="0"/>
              <w:jc w:val="both"/>
            </w:pPr>
            <w:r>
              <w:rPr>
                <w:rFonts w:ascii="Ubuntu" w:hAnsi="Ubuntu" w:cs="Ubuntu"/>
                <w:sz w:val="21"/>
                <w:szCs w:val="21"/>
              </w:rPr>
              <w:t xml:space="preserve">Crea, modifica o borra objetos o datos en el SAP del cliente de forma no esperada, expone credenciales o datos, o deja cifras consolidadas incorrectas sin aviso.</w:t>
            </w:r>
          </w:p>
        </w:tc>
      </w:tr>
      <w:tr>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Alta</w:t>
            </w:r>
          </w:p>
        </w:tc>
        <w:tc>
          <w:tcPr>
            <w:tcW w:w="7338" w:type="dxa"/>
            <w:tcMar>
              <w:top w:w="80" w:type="dxa"/>
              <w:left w:w="120" w:type="dxa"/>
              <w:bottom w:w="80" w:type="dxa"/>
              <w:right w:w="120" w:type="dxa"/>
            </w:tcMar>
            <w:vAlign w:val="center"/>
          </w:tcPr>
          <w:p>
            <w:pPr>
              <w:spacing w:after="0"/>
              <w:jc w:val="both"/>
            </w:pPr>
            <w:r>
              <w:rPr>
                <w:rFonts w:ascii="Ubuntu" w:hAnsi="Ubuntu" w:cs="Ubuntu"/>
                <w:sz w:val="21"/>
                <w:szCs w:val="21"/>
              </w:rPr>
              <w:t xml:space="preserve">Un paso del plan, una regla de consolidación o un reporte no funciona y no hay alternativa.</w:t>
            </w:r>
          </w:p>
        </w:tc>
      </w:tr>
      <w:tr>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Media</w:t>
            </w:r>
          </w:p>
        </w:tc>
        <w:tc>
          <w:tcPr>
            <w:tcW w:w="7338" w:type="dxa"/>
            <w:tcMar>
              <w:top w:w="80" w:type="dxa"/>
              <w:left w:w="120" w:type="dxa"/>
              <w:bottom w:w="80" w:type="dxa"/>
              <w:right w:w="120" w:type="dxa"/>
            </w:tcMar>
            <w:vAlign w:val="center"/>
          </w:tcPr>
          <w:p>
            <w:pPr>
              <w:spacing w:after="0"/>
              <w:jc w:val="both"/>
            </w:pPr>
            <w:r>
              <w:rPr>
                <w:rFonts w:ascii="Ubuntu" w:hAnsi="Ubuntu" w:cs="Ubuntu"/>
                <w:sz w:val="21"/>
                <w:szCs w:val="21"/>
              </w:rPr>
              <w:t xml:space="preserve">La función falla con una alternativa disponible, o un mensaje o estado no corresponde al diseño.</w:t>
            </w:r>
          </w:p>
        </w:tc>
      </w:tr>
      <w:tr>
        <w:tc>
          <w:tcPr>
            <w:tcW w:w="1500" w:type="dxa"/>
            <w:tcMar>
              <w:top w:w="80" w:type="dxa"/>
              <w:left w:w="120" w:type="dxa"/>
              <w:bottom w:w="80" w:type="dxa"/>
              <w:right w:w="120" w:type="dxa"/>
            </w:tcMar>
            <w:vAlign w:val="center"/>
          </w:tcPr>
          <w:p>
            <w:pPr>
              <w:spacing w:after="0"/>
              <w:jc w:val="both"/>
            </w:pPr>
            <w:r>
              <w:rPr>
                <w:rFonts w:ascii="Ubuntu" w:hAnsi="Ubuntu" w:cs="Ubuntu"/>
                <w:sz w:val="21"/>
                <w:szCs w:val="21"/>
              </w:rPr>
              <w:t xml:space="preserve">Baja</w:t>
            </w:r>
          </w:p>
        </w:tc>
        <w:tc>
          <w:tcPr>
            <w:tcW w:w="73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Defecto cosmético o de redacción que no afecta el uso.</w:t>
            </w:r>
          </w:p>
        </w:tc>
      </w:tr>
    </w:tbl>
    <w:p>
      <w:pPr>
        <w:spacing w:after="0"/>
      </w:pP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Flujo: reporte en Azure DevOps como Bug vinculado al caso y a la historia → triage diario → corrección → reprueba del caso y de la suite de humo.</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Rechazo de la entrega a UAT: 1 defecto crítico o 3 altos abiertos.</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Cada bug lleva pasos, evidencia (captura o registro de ejecuciones) y el ambiente donde ocurrió.</w:t>
      </w:r>
    </w:p>
    <w:p>
      <w:pPr>
        <w:pStyle w:val="Heading1"/>
        <w:spacing w:before="360" w:after="160"/>
        <w:jc w:val="left"/>
      </w:pPr>
      <w:r>
        <w:rPr>
          <w:rFonts w:ascii="Ubuntu" w:hAnsi="Ubuntu" w:cs="Ubuntu"/>
          <w:b/>
          <w:bCs/>
          <w:color w:val="365F91"/>
          <w:sz w:val="32"/>
          <w:szCs w:val="32"/>
        </w:rPr>
        <w:t xml:space="preserve">9. Métricas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2600"/>
        <w:gridCol w:w="3638"/>
        <w:gridCol w:w="2600"/>
      </w:tblGrid>
      <w:tr>
        <w:trPr>
          <w:tblHeader/>
        </w:trPr>
        <w:tc>
          <w:tcPr>
            <w:tcW w:w="26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Métrica</w:t>
            </w:r>
          </w:p>
        </w:tc>
        <w:tc>
          <w:tcPr>
            <w:tcW w:w="36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Cálculo</w:t>
            </w:r>
          </w:p>
        </w:tc>
        <w:tc>
          <w:tcPr>
            <w:tcW w:w="26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Uso</w:t>
            </w:r>
          </w:p>
        </w:tc>
      </w:tr>
      <w:tr>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Defect escape rate</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Defectos hallados en UAT o en producción ÷ total de defectos</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Eficacia de QA por release</w:t>
            </w:r>
          </w:p>
        </w:tc>
      </w:tr>
      <w:tr>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 casos automatizados</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Casos automatizados ÷ total (línea base 96.2 %)</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Mantener por encima de 70 %</w:t>
            </w:r>
          </w:p>
        </w:tc>
      </w:tr>
      <w:tr>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 aprobación en primera ejecución</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Casos aprobados al primer intento ÷ casos ejecutados</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Calidad de lo que llega a QA</w:t>
            </w:r>
          </w:p>
        </w:tc>
      </w:tr>
      <w:tr>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Densidad de defectos por épica</w:t>
            </w:r>
          </w:p>
        </w:tc>
        <w:tc>
          <w:tcPr>
            <w:tcW w:w="3638" w:type="dxa"/>
            <w:tcMar>
              <w:top w:w="80" w:type="dxa"/>
              <w:left w:w="120" w:type="dxa"/>
              <w:bottom w:w="80" w:type="dxa"/>
              <w:right w:w="120" w:type="dxa"/>
            </w:tcMar>
            <w:vAlign w:val="center"/>
          </w:tcPr>
          <w:p>
            <w:pPr>
              <w:spacing w:after="0"/>
              <w:jc w:val="both"/>
            </w:pPr>
            <w:r>
              <w:rPr>
                <w:rFonts w:ascii="Ubuntu" w:hAnsi="Ubuntu" w:cs="Ubuntu"/>
                <w:sz w:val="21"/>
                <w:szCs w:val="21"/>
              </w:rPr>
              <w:t xml:space="preserve">Defectos ÷ story points de la épica</w:t>
            </w:r>
          </w:p>
        </w:tc>
        <w:tc>
          <w:tcPr>
            <w:tcW w:w="2600" w:type="dxa"/>
            <w:tcMar>
              <w:top w:w="80" w:type="dxa"/>
              <w:left w:w="120" w:type="dxa"/>
              <w:bottom w:w="80" w:type="dxa"/>
              <w:right w:w="120" w:type="dxa"/>
            </w:tcMar>
            <w:vAlign w:val="center"/>
          </w:tcPr>
          <w:p>
            <w:pPr>
              <w:spacing w:after="0"/>
              <w:jc w:val="both"/>
            </w:pPr>
            <w:r>
              <w:rPr>
                <w:rFonts w:ascii="Ubuntu" w:hAnsi="Ubuntu" w:cs="Ubuntu"/>
                <w:sz w:val="21"/>
                <w:szCs w:val="21"/>
              </w:rPr>
              <w:t xml:space="preserve">Dónde reforzar revisión y pruebas unitarias</w:t>
            </w:r>
          </w:p>
        </w:tc>
      </w:tr>
    </w:tbl>
    <w:p>
      <w:pPr>
        <w:spacing w:after="0"/>
      </w:pPr>
    </w:p>
    <w:p>
      <w:pPr>
        <w:pStyle w:val="Heading1"/>
        <w:spacing w:before="360" w:after="160"/>
        <w:jc w:val="left"/>
      </w:pPr>
      <w:r>
        <w:rPr>
          <w:rFonts w:ascii="Ubuntu" w:hAnsi="Ubuntu" w:cs="Ubuntu"/>
          <w:b/>
          <w:bCs/>
          <w:color w:val="365F91"/>
          <w:sz w:val="32"/>
          <w:szCs w:val="32"/>
        </w:rPr>
        <w:t xml:space="preserve">10. Ciclos y cronograma</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Ciclo por sprint: los casos de las historias terminadas en el sprint, más la suite de humo.</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Regresión completa por release, en los puntos de demostración del backlog: fin de E2, fin de E4, consolidación con la ola 1 (HU-44) y cierre mensual completo.</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Certificación BW/4HANA (HU-58 y RNF-Comp-05) en una ventana del ambiente QA encendido bajo demanda.</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Frescura de la carga delta, DAST, SAST, SCA y verificación ASVS antes de entregar a UAT.</w:t>
      </w:r>
    </w:p>
    <w:p>
      <w:pPr>
        <w:pStyle w:val="ListParagraph"/>
        <w:numPr>
          <w:ilvl w:val="0"/>
          <w:numId w:val="1"/>
        </w:numPr>
        <w:spacing w:before="0" w:after="80" w:line="288" w:lineRule="auto"/>
        <w:ind w:left="720" w:hanging="360"/>
        <w:contextualSpacing/>
        <w:jc w:val="both"/>
        <w:rPr>
          <w:color w:val="000000"/>
          <w:sz w:val="22"/>
        </w:rPr>
      </w:pPr>
      <w:r>
        <w:rPr>
          <w:rFonts w:ascii="Ubuntu" w:hAnsi="Ubuntu" w:cs="Ubuntu"/>
          <w:sz w:val="22"/>
          <w:szCs w:val="22"/>
        </w:rPr>
        <w:t xml:space="preserve">La fecha de cada ciclo la fija el cronograma de sprints.</w:t>
      </w:r>
    </w:p>
    <w:p>
      <w:pPr>
        <w:pStyle w:val="Heading1"/>
        <w:spacing w:before="360" w:after="160"/>
        <w:jc w:val="left"/>
      </w:pPr>
      <w:r>
        <w:rPr>
          <w:rFonts w:ascii="Ubuntu" w:hAnsi="Ubuntu" w:cs="Ubuntu"/>
          <w:b/>
          <w:bCs/>
          <w:color w:val="365F91"/>
          <w:sz w:val="32"/>
          <w:szCs w:val="32"/>
        </w:rPr>
        <w:t xml:space="preserve">11. Aprobación interna</w:t>
      </w:r>
    </w:p>
    <w:p>
      <w:pPr>
        <w:spacing w:before="0" w:after="120" w:line="288" w:lineRule="auto"/>
        <w:jc w:val="both"/>
      </w:pPr>
      <w:r>
        <w:rPr>
          <w:rFonts w:ascii="Ubuntu" w:hAnsi="Ubuntu" w:cs="Ubuntu"/>
          <w:sz w:val="22"/>
          <w:szCs w:val="22"/>
        </w:rPr>
        <w:t xml:space="preserve">Este plan lo aprueban internamente QA, como autor, y el líder técnico de CM Consulting. No requiere firma del cliente.</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2400"/>
        <w:gridCol w:w="2638"/>
        <w:gridCol w:w="1800"/>
        <w:gridCol w:w="2000"/>
      </w:tblGrid>
      <w:tr>
        <w:trPr>
          <w:tblHeader/>
        </w:trPr>
        <w:tc>
          <w:tcPr>
            <w:tcW w:w="24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Rol</w:t>
            </w:r>
          </w:p>
        </w:tc>
        <w:tc>
          <w:tcPr>
            <w:tcW w:w="2638"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Nombre</w:t>
            </w:r>
          </w:p>
        </w:tc>
        <w:tc>
          <w:tcPr>
            <w:tcW w:w="18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Fecha</w:t>
            </w:r>
          </w:p>
        </w:tc>
        <w:tc>
          <w:tcPr>
            <w:tcW w:w="2000" w:type="dxa"/>
            <w:shd w:val="clear" w:color="auto" w:fill="144E8C"/>
            <w:tcMar>
              <w:top w:w="80" w:type="dxa"/>
              <w:left w:w="120" w:type="dxa"/>
              <w:bottom w:w="80" w:type="dxa"/>
              <w:right w:w="120" w:type="dxa"/>
            </w:tcMar>
            <w:vAlign w:val="center"/>
          </w:tcPr>
          <w:p>
            <w:pPr>
              <w:spacing w:after="0"/>
              <w:jc w:val="center"/>
            </w:pPr>
            <w:r>
              <w:rPr>
                <w:rFonts w:ascii="Ubuntu" w:hAnsi="Ubuntu" w:cs="Ubuntu"/>
                <w:b/>
                <w:bCs/>
                <w:color w:val="FFFFFF"/>
                <w:sz w:val="21"/>
                <w:szCs w:val="21"/>
              </w:rPr>
              <w:t xml:space="preserve">Aprobación</w:t>
            </w:r>
          </w:p>
        </w:tc>
      </w:tr>
      <w:tr>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QA (autor)</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
            </w:r>
          </w:p>
        </w:tc>
      </w:tr>
      <w:tr>
        <w:tc>
          <w:tcPr>
            <w:tcW w:w="2400" w:type="dxa"/>
            <w:tcMar>
              <w:top w:w="80" w:type="dxa"/>
              <w:left w:w="120" w:type="dxa"/>
              <w:bottom w:w="80" w:type="dxa"/>
              <w:right w:w="120" w:type="dxa"/>
            </w:tcMar>
            <w:vAlign w:val="center"/>
          </w:tcPr>
          <w:p>
            <w:pPr>
              <w:spacing w:after="0"/>
              <w:jc w:val="both"/>
            </w:pPr>
            <w:r>
              <w:rPr>
                <w:rFonts w:ascii="Ubuntu" w:hAnsi="Ubuntu" w:cs="Ubuntu"/>
                <w:sz w:val="21"/>
                <w:szCs w:val="21"/>
              </w:rPr>
              <w:t xml:space="preserve">Líder técnico CM</w:t>
            </w:r>
          </w:p>
        </w:tc>
        <w:tc>
          <w:tcPr>
            <w:tcW w:w="2638" w:type="dxa"/>
            <w:tcMar>
              <w:top w:w="80" w:type="dxa"/>
              <w:left w:w="120" w:type="dxa"/>
              <w:bottom w:w="80" w:type="dxa"/>
              <w:right w:w="120" w:type="dxa"/>
            </w:tcMar>
            <w:vAlign w:val="center"/>
          </w:tcPr>
          <w:p>
            <w:pPr>
              <w:spacing w:after="0"/>
              <w:jc w:val="both"/>
            </w:pPr>
            <w:r>
              <w:rPr>
                <w:rFonts w:ascii="Ubuntu" w:hAnsi="Ubuntu" w:cs="Ubuntu"/>
                <w:sz w:val="21"/>
                <w:szCs w:val="21"/>
              </w:rPr>
              <w:t xml:space="preserve"/>
            </w:r>
          </w:p>
        </w:tc>
        <w:tc>
          <w:tcPr>
            <w:tcW w:w="1800" w:type="dxa"/>
            <w:tcMar>
              <w:top w:w="80" w:type="dxa"/>
              <w:left w:w="120" w:type="dxa"/>
              <w:bottom w:w="80" w:type="dxa"/>
              <w:right w:w="120" w:type="dxa"/>
            </w:tcMar>
            <w:vAlign w:val="center"/>
          </w:tcPr>
          <w:p>
            <w:pPr>
              <w:spacing w:after="0"/>
              <w:jc w:val="both"/>
            </w:pPr>
            <w:r>
              <w:rPr>
                <w:rFonts w:ascii="Ubuntu" w:hAnsi="Ubuntu" w:cs="Ubuntu"/>
                <w:sz w:val="21"/>
                <w:szCs w:val="21"/>
              </w:rPr>
              <w:t xml:space="preserve"/>
            </w:r>
          </w:p>
        </w:tc>
        <w:tc>
          <w:tcPr>
            <w:tcW w:w="2000" w:type="dxa"/>
            <w:tcMar>
              <w:top w:w="80" w:type="dxa"/>
              <w:left w:w="120" w:type="dxa"/>
              <w:bottom w:w="80" w:type="dxa"/>
              <w:right w:w="120" w:type="dxa"/>
            </w:tcMar>
            <w:vAlign w:val="center"/>
          </w:tcPr>
          <w:p>
            <w:pPr>
              <w:spacing w:after="0"/>
              <w:jc w:val="both"/>
            </w:pPr>
            <w:r>
              <w:rPr>
                <w:rFonts w:ascii="Ubuntu" w:hAnsi="Ubuntu" w:cs="Ubuntu"/>
                <w:sz w:val="21"/>
                <w:szCs w:val="21"/>
              </w:rPr>
              <w:t xml:space="preserve"/>
            </w:r>
          </w:p>
        </w:tc>
      </w:tr>
    </w:tbl>
    <w:p>
      <w:pPr>
        <w:spacing w:after="0"/>
      </w:pPr>
    </w:p>
    <w:p>
      <w:pPr>
        <w:spacing w:before="0" w:after="120" w:line="288" w:lineRule="auto"/>
        <w:jc w:val="both"/>
      </w:pPr>
      <w:r>
        <w:rPr>
          <w:rFonts w:ascii="Ubuntu" w:hAnsi="Ubuntu" w:cs="Ubuntu"/>
          <w:sz w:val="22"/>
          <w:szCs w:val="22"/>
        </w:rPr>
        <w:t xml:space="preserve">El guion de UAT del cliente se genera en la fase F9 a partir de los casos de prioridad Alta de este plan.</w:t>
      </w:r>
    </w:p>
    <w:sectPr w:rsidR="00710EEC" w:rsidRPr="00A95390" w:rsidSect="009B462A">
      <w:headerReference w:type="even" r:id="rId12"/>
      <w:headerReference w:type="default" r:id="rId13"/>
      <w:footerReference w:type="default" r:id="rId14"/>
      <w:headerReference w:type="first" r:id="rId15"/>
      <w:footerReference w:type="first" r:id="rId16"/>
      <w:type w:val="continuous"/>
      <w:pgSz w:w="12240" w:h="15840"/>
      <w:pgMar w:top="2268" w:right="1701" w:bottom="1701"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2EEAB" w14:textId="77777777" w:rsidR="007306DA" w:rsidRDefault="007306DA" w:rsidP="00926CDD">
      <w:r>
        <w:separator/>
      </w:r>
    </w:p>
    <w:p w14:paraId="04BB047F" w14:textId="77777777" w:rsidR="007306DA" w:rsidRDefault="007306DA" w:rsidP="00926CDD"/>
    <w:p w14:paraId="15A81EAE" w14:textId="77777777" w:rsidR="007306DA" w:rsidRDefault="007306DA"/>
  </w:endnote>
  <w:endnote w:type="continuationSeparator" w:id="0">
    <w:p w14:paraId="3F025CDB" w14:textId="77777777" w:rsidR="007306DA" w:rsidRDefault="007306DA" w:rsidP="00926CDD">
      <w:r>
        <w:continuationSeparator/>
      </w:r>
    </w:p>
    <w:p w14:paraId="58B103EA" w14:textId="77777777" w:rsidR="007306DA" w:rsidRDefault="007306DA" w:rsidP="00926CDD"/>
    <w:p w14:paraId="19F0175B" w14:textId="77777777" w:rsidR="007306DA" w:rsidRDefault="007306DA"/>
  </w:endnote>
  <w:endnote w:type="continuationNotice" w:id="1">
    <w:p w14:paraId="237AEBE0" w14:textId="77777777" w:rsidR="007306DA" w:rsidRDefault="007306DA" w:rsidP="00926CDD"/>
    <w:p w14:paraId="3DB7B708" w14:textId="77777777" w:rsidR="007306DA" w:rsidRDefault="007306DA" w:rsidP="00926CDD"/>
    <w:p w14:paraId="4BF592C2" w14:textId="77777777" w:rsidR="007306DA" w:rsidRDefault="007306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1670" w14:textId="61FC0D77" w:rsidR="006F3393" w:rsidRDefault="00E65E56">
    <w:pPr>
      <w:pStyle w:val="Footer"/>
      <w:jc w:val="center"/>
    </w:pPr>
    <w:r w:rsidRPr="00B76DA9">
      <w:rPr>
        <w:noProof/>
      </w:rPr>
      <mc:AlternateContent>
        <mc:Choice Requires="wps">
          <w:drawing>
            <wp:anchor distT="0" distB="0" distL="114300" distR="114300" simplePos="0" relativeHeight="251658250" behindDoc="1" locked="0" layoutInCell="1" allowOverlap="1" wp14:anchorId="38C08485" wp14:editId="68FFA6A2">
              <wp:simplePos x="0" y="0"/>
              <wp:positionH relativeFrom="column">
                <wp:posOffset>-1471295</wp:posOffset>
              </wp:positionH>
              <wp:positionV relativeFrom="paragraph">
                <wp:posOffset>104008</wp:posOffset>
              </wp:positionV>
              <wp:extent cx="8593200" cy="1068705"/>
              <wp:effectExtent l="0" t="0" r="0" b="0"/>
              <wp:wrapNone/>
              <wp:docPr id="36" name="Flowchart: Manual Input 36"/>
              <wp:cNvGraphicFramePr/>
              <a:graphic xmlns:a="http://schemas.openxmlformats.org/drawingml/2006/main">
                <a:graphicData uri="http://schemas.microsoft.com/office/word/2010/wordprocessingShape">
                  <wps:wsp>
                    <wps:cNvSpPr/>
                    <wps:spPr>
                      <a:xfrm>
                        <a:off x="0" y="0"/>
                        <a:ext cx="8593200" cy="1068705"/>
                      </a:xfrm>
                      <a:prstGeom prst="flowChartManualInput">
                        <a:avLst/>
                      </a:prstGeom>
                      <a:solidFill>
                        <a:srgbClr val="144E8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DA7E8EA" id="_x0000_t118" coordsize="21600,21600" o:spt="118" path="m,4292l21600,r,21600l,21600xe">
              <v:stroke joinstyle="miter"/>
              <v:path gradientshapeok="t" o:connecttype="custom" o:connectlocs="10800,2146;0,10800;10800,21600;21600,10800" textboxrect="0,4291,21600,21600"/>
            </v:shapetype>
            <v:shape id="Flowchart: Manual Input 36" o:spid="_x0000_s1026" type="#_x0000_t118" style="position:absolute;margin-left:-115.85pt;margin-top:8.2pt;width:676.65pt;height:84.15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0EKpwIAAKYFAAAOAAAAZHJzL2Uyb0RvYy54bWysVN1P2zAQf5+0/8Hy+0haKJSIFFVlnZAY VIOJZ9exm0iO7dnu1/763dlJYAztYVoeHJ/v7nffd3V9aBXZCecbo0s6OskpEZqbqtGbkn5/Wn6a UuID0xVTRouSHoWn17OPH672thBjUxtVCUcARPtib0tah2CLLPO8Fi3zJ8YKDUxpXMsCkG6TVY7t Ab1V2TjPz7O9cZV1hgvv4fUmMeks4kspeHiQ0otAVEnBtxBPF881ntnsihUbx2zd8M4N9g9etKzR YHSAumGBka1r/oBqG+6MNzKccNNmRsqGixgDRDPK30TzWDMrYiyQHG+HNPn/B8vvdytHmqqkp+eU aNZCjZbK7HnNXCjIV6a3TJFbbbeBgASka299AVqPduU6ysMVYz9I1+IfoiKHmOLjkGJxCITD43Ry eQp1o4QDb5SfTy/yCaJmL+rW+fBFmJbgpaQSvFmgN8mX6EpMNdvd+ZBUexW07o1qqmWjVCTcZr1Q juwY1H90dvZ5uuis/SamNAprg2oJEV8yDDUFF2/hqATKKf1NSMgZhDOOnsRuFYMdxrnQYZRYNatE Mj/J4eutY3+jRow8AiKyBPsDdgfQSyaQHjt52cmjqojNPijnf3MsKQ8a0bLRYVBuG23cewAKouos J/k+SSk1mKW1qY7QUc6kUfOWLxuo4x3zYcUczBbUHvZFeIADS1tS090oqY37+d47ykPLA5eSPcxq Sf2PLXOCEnWrYRguobI43JE4m1yMgXCvOevXHL1tFwbbATaT5fGK8kH1V+lM+wxrZY5WgcU0B9sl 5cH1xCKkHQKLiYv5PIrBQFsW7vSj5QiOWcW+fDo8M2e7Zg4wB/emn2tWvOnhJIua2sy3wcgmNvhL Xrt8wzKIjdMtLtw2r+ko9bJeZ78AAAD//wMAUEsDBBQABgAIAAAAIQBMpxmW4AAAAAwBAAAPAAAA ZHJzL2Rvd25yZXYueG1sTI/BTsMwDIbvSLxDZCRuW9putFVpOiGkcQIhBkgcs8a01RqnarItvD3e CW62/k+/P9ebaEdxwtkPjhSkywQEUuvMQJ2Cj/ftogThgyajR0eo4Ac9bJrrq1pXxp3pDU+70Aku IV9pBX0IUyWlb3u02i/dhMTZt5utDrzOnTSzPnO5HWWWJLm0eiC+0OsJH3tsD7ujVXD3OngsV5+9 +Xp2sTi8ZNv4ZJW6vYkP9yACxvAHw0Wf1aFhp707kvFiVLDIVmnBLCf5GsSFSLM0B7HnqVwXIJta /n+i+QUAAP//AwBQSwECLQAUAAYACAAAACEAtoM4kv4AAADhAQAAEwAAAAAAAAAAAAAAAAAAAAAA W0NvbnRlbnRfVHlwZXNdLnhtbFBLAQItABQABgAIAAAAIQA4/SH/1gAAAJQBAAALAAAAAAAAAAAA AAAAAC8BAABfcmVscy8ucmVsc1BLAQItABQABgAIAAAAIQCZ+0EKpwIAAKYFAAAOAAAAAAAAAAAA AAAAAC4CAABkcnMvZTJvRG9jLnhtbFBLAQItABQABgAIAAAAIQBMpxmW4AAAAAwBAAAPAAAAAAAA AAAAAAAAAAEFAABkcnMvZG93bnJldi54bWxQSwUGAAAAAAQABADzAAAADgYAAAAA " fillcolor="#144e8c" stroked="f" strokeweight="2pt"/>
          </w:pict>
        </mc:Fallback>
      </mc:AlternateContent>
    </w:r>
  </w:p>
  <w:sdt>
    <w:sdtPr>
      <w:id w:val="2128191080"/>
      <w:docPartObj>
        <w:docPartGallery w:val="Page Numbers (Bottom of Page)"/>
        <w:docPartUnique/>
      </w:docPartObj>
    </w:sdtPr>
    <w:sdtEndPr>
      <w:rPr>
        <w:noProof/>
      </w:rPr>
    </w:sdtEndPr>
    <w:sdtContent>
      <w:p w14:paraId="578E8609" w14:textId="77777777" w:rsidR="006F3393" w:rsidRDefault="006F3393" w:rsidP="008367FC">
        <w:pPr>
          <w:pStyle w:val="Footer"/>
          <w:jc w:val="center"/>
        </w:pPr>
      </w:p>
      <w:p w14:paraId="56C0AD2D" w14:textId="7C0EE1DE" w:rsidR="006F3393" w:rsidRDefault="006F3393" w:rsidP="008367FC">
        <w:pPr>
          <w:pStyle w:val="Footer"/>
          <w:jc w:val="center"/>
          <w:rPr>
            <w:noProof/>
          </w:rPr>
        </w:pPr>
        <w:r w:rsidRPr="00B76DA9">
          <w:rPr>
            <w:noProof/>
          </w:rPr>
          <w:drawing>
            <wp:anchor distT="0" distB="0" distL="114300" distR="114300" simplePos="0" relativeHeight="251658251" behindDoc="0" locked="0" layoutInCell="1" allowOverlap="1" wp14:anchorId="7E449359" wp14:editId="32A88492">
              <wp:simplePos x="0" y="0"/>
              <wp:positionH relativeFrom="column">
                <wp:posOffset>-885825</wp:posOffset>
              </wp:positionH>
              <wp:positionV relativeFrom="paragraph">
                <wp:posOffset>100198</wp:posOffset>
              </wp:positionV>
              <wp:extent cx="2375599" cy="577660"/>
              <wp:effectExtent l="0" t="0" r="571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rotWithShape="1">
                      <a:blip r:embed="rId1">
                        <a:extLst>
                          <a:ext uri="{28A0092B-C50C-407E-A947-70E740481C1C}">
                            <a14:useLocalDpi xmlns:a14="http://schemas.microsoft.com/office/drawing/2010/main" val="0"/>
                          </a:ext>
                        </a:extLst>
                      </a:blip>
                      <a:srcRect l="19827" t="42609" r="20024" b="42753"/>
                      <a:stretch/>
                    </pic:blipFill>
                    <pic:spPr bwMode="auto">
                      <a:xfrm>
                        <a:off x="0" y="0"/>
                        <a:ext cx="2375599" cy="57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6DA9">
          <w:rPr>
            <w:noProof/>
          </w:rPr>
          <mc:AlternateContent>
            <mc:Choice Requires="wps">
              <w:drawing>
                <wp:anchor distT="0" distB="0" distL="114300" distR="114300" simplePos="0" relativeHeight="251658252" behindDoc="0" locked="0" layoutInCell="1" allowOverlap="1" wp14:anchorId="4F14143C" wp14:editId="50592C0B">
                  <wp:simplePos x="0" y="0"/>
                  <wp:positionH relativeFrom="column">
                    <wp:posOffset>4308475</wp:posOffset>
                  </wp:positionH>
                  <wp:positionV relativeFrom="paragraph">
                    <wp:posOffset>28575</wp:posOffset>
                  </wp:positionV>
                  <wp:extent cx="2087880" cy="275590"/>
                  <wp:effectExtent l="0" t="0" r="7620" b="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275590"/>
                          </a:xfrm>
                          <a:prstGeom prst="rect">
                            <a:avLst/>
                          </a:prstGeom>
                          <a:solidFill>
                            <a:srgbClr val="144E8C"/>
                          </a:solidFill>
                          <a:ln w="9525">
                            <a:noFill/>
                            <a:miter lim="800000"/>
                            <a:headEnd/>
                            <a:tailEnd/>
                          </a:ln>
                        </wps:spPr>
                        <wps:txbx>
                          <w:txbxContent>
                            <w:p w14:paraId="18CF7825" w14:textId="30BA33CF" w:rsidR="006F3393" w:rsidRPr="002766E0" w:rsidRDefault="006F3393" w:rsidP="008367FC">
                              <w:pPr>
                                <w:jc w:val="right"/>
                                <w:rPr>
                                  <w:color w:val="FDB813"/>
                                  <w:lang w:val="en-US"/>
                                </w:rPr>
                              </w:pPr>
                              <w:hyperlink r:id="rId2" w:history="1">
                                <w:r w:rsidRPr="002766E0">
                                  <w:rPr>
                                    <w:rStyle w:val="BodyText3Char"/>
                                    <w:rFonts w:eastAsiaTheme="minorEastAsia"/>
                                    <w:color w:val="FDB813"/>
                                  </w:rPr>
                                  <w:t>www.cmconsulting.com.co</w:t>
                                </w:r>
                              </w:hyperlink>
                            </w:p>
                          </w:txbxContent>
                        </wps:txbx>
                        <wps:bodyPr rot="0" vert="horz" wrap="square" lIns="91440" tIns="45720" rIns="91440" bIns="45720" anchor="t" anchorCtr="0">
                          <a:spAutoFit/>
                        </wps:bodyPr>
                      </wps:wsp>
                    </a:graphicData>
                  </a:graphic>
                </wp:anchor>
              </w:drawing>
            </mc:Choice>
            <mc:Fallback>
              <w:pict>
                <v:shapetype w14:anchorId="4F14143C" id="_x0000_t202" coordsize="21600,21600" o:spt="202" path="m,l,21600r21600,l21600,xe">
                  <v:stroke joinstyle="miter"/>
                  <v:path gradientshapeok="t" o:connecttype="rect"/>
                </v:shapetype>
                <v:shape id="_x0000_s1028" type="#_x0000_t202" style="position:absolute;left:0;text-align:left;margin-left:339.25pt;margin-top:2.25pt;width:164.4pt;height:21.7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c7I+EwIAAP0DAAAOAAAAZHJzL2Uyb0RvYy54bWysU9tu2zAMfR+wfxD0vtgxksUxohRd2gwD ugvQ7QNkWY6FyaImKbG7rx8lp2nQvQ3zg0Ca5BF5eLS5GXtNTtJ5BYbR+SynRBoBjTIHRn98378r KfGBm4ZrMJLRJ+npzfbtm81gK1lAB7qRjiCI8dVgGe1CsFWWedHJnvsZWGkw2ILreUDXHbLG8QHR e50Vef4+G8A11oGQ3uPfuylItwm/baUIX9vWy0A0o9hbSKdLZx3PbLvh1cFx2ylxboP/Qxc9VwYv vUDd8cDJ0am/oHolHHhow0xAn0HbKiHTDDjNPH81zWPHrUyzIDneXmjy/w9WfDk92m+OhPEDjLjA NIS3DyB+emJg13FzkLfOwdBJ3uDF80hZNlhfnUsj1b7yEaQePkODS+bHAAlobF0fWcE5CaLjAp4u pMsxEIE/i7xclSWGBMaK1XK5TlvJePVcbZ0PHyX0JBqMOlxqQuenBx9iN7x6TomXedCq2Sutk+MO 9U47cuIogPlicV/u0gCv0rQhA6PrZbFMyAZifdJGrwIKVKue0TKP3ySZyMa9aVJK4EpPNnaizZme yMjETRjrkaiG0UWsjWzV0DwhXw4mPeL7QaMD95uSAbXIqP915E5Soj8Z5HyNjUfxJmexXBXouOtI fR3hRiAUo4GSydyFJPhEh73F3exVou2lk3PLqLHE5vk9RBFf+ynr5dVu/wAAAP//AwBQSwMEFAAG AAgAAAAhAFG3ic/gAAAADgEAAA8AAABkcnMvZG93bnJldi54bWxMT81OwzAMviPxDpGRuLGEv3Z0 TSfEhAQblwUeIGtCW9EkVZK26dvjneBiy/7s76fcJtOTSfvQOcvhdsWAaFs71dmGw9fn680aSIjS Ktk7qzksOsC2urwoZaHcbI96ErEhSGJDITm0MQ4FpaFutZFh5QZtEft23siIo2+o8nJGctPTO8Yy amRnUaGVg35pdf0jRsNhpkcvxl3y08fh8LaITLyn/cL59VXabbA8b4BEneLfB5wzoH+o0NjJjVYF 0nPI8vUjnnJ4wHbGGcvvgZxwkT8BrUr6P0b1CwAA//8DAFBLAQItABQABgAIAAAAIQC2gziS/gAA AOEBAAATAAAAAAAAAAAAAAAAAAAAAABbQ29udGVudF9UeXBlc10ueG1sUEsBAi0AFAAGAAgAAAAh ADj9If/WAAAAlAEAAAsAAAAAAAAAAAAAAAAALwEAAF9yZWxzLy5yZWxzUEsBAi0AFAAGAAgAAAAh AGlzsj4TAgAA/QMAAA4AAAAAAAAAAAAAAAAALgIAAGRycy9lMm9Eb2MueG1sUEsBAi0AFAAGAAgA AAAhAFG3ic/gAAAADgEAAA8AAAAAAAAAAAAAAAAAbQQAAGRycy9kb3ducmV2LnhtbFBLBQYAAAAA BAAEAPMAAAB6BQAAAAA= " fillcolor="#144e8c" stroked="f">
                  <v:textbox style="mso-fit-shape-to-text:t">
                    <w:txbxContent>
                      <w:p w14:paraId="18CF7825" w14:textId="30BA33CF" w:rsidR="006F3393" w:rsidRPr="002766E0" w:rsidRDefault="006F3393" w:rsidP="008367FC">
                        <w:pPr>
                          <w:jc w:val="right"/>
                          <w:rPr>
                            <w:color w:val="FDB813"/>
                            <w:lang w:val="en-US"/>
                          </w:rPr>
                        </w:pPr>
                        <w:hyperlink r:id="rId3" w:history="1">
                          <w:r w:rsidRPr="002766E0">
                            <w:rPr>
                              <w:rStyle w:val="BodyText3Char"/>
                              <w:rFonts w:eastAsiaTheme="minorEastAsia"/>
                              <w:color w:val="FDB813"/>
                            </w:rPr>
                            <w:t>www.cmconsulting.com.co</w:t>
                          </w:r>
                        </w:hyperlink>
                      </w:p>
                    </w:txbxContent>
                  </v:textbox>
                </v:shape>
              </w:pict>
            </mc:Fallback>
          </mc:AlternateContent>
        </w:r>
        <w:r w:rsidRPr="00B76DA9">
          <w:rPr>
            <w:noProof/>
          </w:rPr>
          <mc:AlternateContent>
            <mc:Choice Requires="wps">
              <w:drawing>
                <wp:anchor distT="0" distB="0" distL="114300" distR="114300" simplePos="0" relativeHeight="251658253" behindDoc="0" locked="0" layoutInCell="1" allowOverlap="1" wp14:anchorId="07FB9191" wp14:editId="590C2CE9">
                  <wp:simplePos x="0" y="0"/>
                  <wp:positionH relativeFrom="column">
                    <wp:posOffset>3912870</wp:posOffset>
                  </wp:positionH>
                  <wp:positionV relativeFrom="paragraph">
                    <wp:posOffset>256540</wp:posOffset>
                  </wp:positionV>
                  <wp:extent cx="2482850" cy="275590"/>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0" cy="275590"/>
                          </a:xfrm>
                          <a:prstGeom prst="rect">
                            <a:avLst/>
                          </a:prstGeom>
                          <a:solidFill>
                            <a:srgbClr val="144E8C"/>
                          </a:solidFill>
                          <a:ln w="9525">
                            <a:noFill/>
                            <a:miter lim="800000"/>
                            <a:headEnd/>
                            <a:tailEnd/>
                          </a:ln>
                        </wps:spPr>
                        <wps:txbx>
                          <w:txbxContent>
                            <w:p w14:paraId="6A40E5E7" w14:textId="77777777" w:rsidR="006F3393" w:rsidRPr="00716805" w:rsidRDefault="006F3393" w:rsidP="008367FC">
                              <w:pPr>
                                <w:jc w:val="right"/>
                                <w:rPr>
                                  <w:color w:val="FDB813"/>
                                  <w:lang w:val="en-US"/>
                                </w:rPr>
                              </w:pPr>
                              <w:hyperlink r:id="rId4" w:history="1">
                                <w:r w:rsidRPr="00716805">
                                  <w:rPr>
                                    <w:rStyle w:val="BodyText3Char"/>
                                    <w:rFonts w:eastAsiaTheme="minorEastAsia"/>
                                    <w:color w:val="FDB813"/>
                                  </w:rPr>
                                  <w:t>contactos@cmconsulting.com.co</w:t>
                                </w:r>
                              </w:hyperlink>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7FB9191" id="_x0000_s1035" type="#_x0000_t202" style="position:absolute;left:0;text-align:left;margin-left:308.1pt;margin-top:20.2pt;width:195.5pt;height:21.7pt;z-index:2516582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dzqMFAIAAP4DAAAOAAAAZHJzL2Uyb0RvYy54bWysU9tu2zAMfR+wfxD0vjjx4jUx4hRd2gwD ugvQ7QMUWY6FyaJGKbG7ry8lp2nQvQ3zgyCa5CF5eLS6HjrDjgq9Blvx2WTKmbISam33Ff/5Y/tu wZkPwtbCgFUVf1SeX6/fvln1rlQ5tGBqhYxArC97V/E2BFdmmZet6oSfgFOWnA1gJwKZuM9qFD2h dybLp9MPWQ9YOwSpvKe/t6OTrxN+0ygZvjWNV4GZilNvIZ2Yzl08s/VKlHsUrtXy1Ib4hy46oS0V PUPdiiDYAfVfUJ2WCB6aMJHQZdA0Wqo0A00zm76a5qEVTqVZiBzvzjT5/wcrvx4f3HdkYfgIAy0w DeHdPchfnlnYtMLu1Q0i9K0SNRWeRcqy3vnylBqp9qWPILv+C9S0ZHEIkICGBrvICs3JCJ0W8Hgm XQ2BSfqZzxf5oiCXJF9+VRTLtJVMlM/ZDn34pKBj8VJxpKUmdHG89yF2I8rnkFjMg9H1VhuTDNzv NgbZUZAAZvP53WKTBngVZizrK74s8iIhW4j5SRudDiRQo7uKL6bxGyUT2bizdQoJQpvxTp0Ye6In MjJyE4bdwHRN9d/H5EjXDupHIgxhFCQ9ILq0gH8460mMFfe/DwIVZ+azJdKX1HlUbzLmxVVOBl56 dpceYSVBVTxwNl43ISk+8eFuaDlbnXh76eTUM4ks0Xl6EFHFl3aKenm26ycAAAD//wMAUEsDBBQA BgAIAAAAIQAbe10Q4gAAAA8BAAAPAAAAZHJzL2Rvd25yZXYueG1sTE/LTsMwELwj8Q/WInGjdksV ojROhaiQgPZSwwe48ZJExHZkO4nz97gnuKy0O7PzKPdR92RC5ztrOKxXDAia2qrONBy+Pl8fciA+ SKNkbw1yWNDDvrq9KWWh7GzOOInQkCRifCE5tCEMBaW+blFLv7IDmoR9W6dlSKtrqHJyTuK6pxvG MqplZ5JDKwd8abH+EaPmMNOzE+Mhuul0PL4tIhPv8WPh/P4uHnZpPO+ABIzh7wOuHVJ+qFKwix2N 8qTnkK2zTaJy2LItkCuBsad0uXDIH3OgVUn/96h+AQAA//8DAFBLAQItABQABgAIAAAAIQC2gziS /gAAAOEBAAATAAAAAAAAAAAAAAAAAAAAAABbQ29udGVudF9UeXBlc10ueG1sUEsBAi0AFAAGAAgA AAAhADj9If/WAAAAlAEAAAsAAAAAAAAAAAAAAAAALwEAAF9yZWxzLy5yZWxzUEsBAi0AFAAGAAgA AAAhAJ53OowUAgAA/gMAAA4AAAAAAAAAAAAAAAAALgIAAGRycy9lMm9Eb2MueG1sUEsBAi0AFAAG AAgAAAAhABt7XRDiAAAADwEAAA8AAAAAAAAAAAAAAAAAbgQAAGRycy9kb3ducmV2LnhtbFBLBQYA AAAABAAEAPMAAAB9BQAAAAA= " fillcolor="#144e8c" stroked="f">
                  <v:textbox style="mso-fit-shape-to-text:t">
                    <w:txbxContent>
                      <w:p w14:paraId="6A40E5E7" w14:textId="77777777" w:rsidR="006F3393" w:rsidRPr="00716805" w:rsidRDefault="006F3393" w:rsidP="008367FC">
                        <w:pPr>
                          <w:jc w:val="right"/>
                          <w:rPr>
                            <w:color w:val="FDB813"/>
                            <w:lang w:val="en-US"/>
                          </w:rPr>
                        </w:pPr>
                        <w:hyperlink r:id="rId5" w:history="1">
                          <w:r w:rsidRPr="00716805">
                            <w:rPr>
                              <w:rStyle w:val="BodyText3Char"/>
                              <w:rFonts w:eastAsiaTheme="minorEastAsia"/>
                              <w:color w:val="FDB813"/>
                            </w:rPr>
                            <w:t>contactos@cmconsulting.com.co</w:t>
                          </w:r>
                        </w:hyperlink>
                      </w:p>
                    </w:txbxContent>
                  </v:textbox>
                </v:shape>
              </w:pict>
            </mc:Fallback>
          </mc:AlternateContent>
        </w:r>
        <w:r w:rsidRPr="00B76DA9">
          <w:rPr>
            <w:color w:val="FDB813"/>
          </w:rPr>
          <w:fldChar w:fldCharType="begin"/>
        </w:r>
        <w:r w:rsidRPr="00B76DA9">
          <w:rPr>
            <w:color w:val="FDB813"/>
          </w:rPr>
          <w:instrText xml:space="preserve"> PAGE   \* MERGEFORMAT </w:instrText>
        </w:r>
        <w:r w:rsidRPr="00B76DA9">
          <w:rPr>
            <w:color w:val="FDB813"/>
          </w:rPr>
          <w:fldChar w:fldCharType="separate"/>
        </w:r>
        <w:r>
          <w:rPr>
            <w:color w:val="FDB813"/>
          </w:rPr>
          <w:t>2</w:t>
        </w:r>
        <w:r w:rsidRPr="00B76DA9">
          <w:rPr>
            <w:noProof/>
            <w:color w:val="FDB813"/>
          </w:rPr>
          <w:fldChar w:fldCharType="end"/>
        </w:r>
      </w:p>
    </w:sdtContent>
  </w:sdt>
  <w:p w14:paraId="6E850D6A" w14:textId="3F563CB7" w:rsidR="006F3393" w:rsidRPr="000161F8" w:rsidRDefault="006F3393" w:rsidP="00926CDD">
    <w:pPr>
      <w:pStyle w:val="Footer"/>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6B9CD" w14:textId="49C80BB5" w:rsidR="006F3393" w:rsidRDefault="00E65E56" w:rsidP="00926CDD">
    <w:pPr>
      <w:pStyle w:val="Footer"/>
    </w:pPr>
    <w:r>
      <w:rPr>
        <w:noProof/>
      </w:rPr>
      <mc:AlternateContent>
        <mc:Choice Requires="wps">
          <w:drawing>
            <wp:anchor distT="0" distB="0" distL="114300" distR="114300" simplePos="0" relativeHeight="251658244" behindDoc="0" locked="0" layoutInCell="1" allowOverlap="1" wp14:anchorId="7D9E979B" wp14:editId="4C68EE98">
              <wp:simplePos x="0" y="0"/>
              <wp:positionH relativeFrom="column">
                <wp:posOffset>-1078230</wp:posOffset>
              </wp:positionH>
              <wp:positionV relativeFrom="paragraph">
                <wp:posOffset>-290830</wp:posOffset>
              </wp:positionV>
              <wp:extent cx="7812000" cy="1068705"/>
              <wp:effectExtent l="0" t="0" r="0" b="0"/>
              <wp:wrapNone/>
              <wp:docPr id="19" name="Flowchart: Manual Input 19"/>
              <wp:cNvGraphicFramePr/>
              <a:graphic xmlns:a="http://schemas.openxmlformats.org/drawingml/2006/main">
                <a:graphicData uri="http://schemas.microsoft.com/office/word/2010/wordprocessingShape">
                  <wps:wsp>
                    <wps:cNvSpPr/>
                    <wps:spPr>
                      <a:xfrm>
                        <a:off x="0" y="0"/>
                        <a:ext cx="7812000" cy="1068705"/>
                      </a:xfrm>
                      <a:prstGeom prst="flowChartManualInput">
                        <a:avLst/>
                      </a:prstGeom>
                      <a:solidFill>
                        <a:srgbClr val="144E8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597FAD3" id="_x0000_t118" coordsize="21600,21600" o:spt="118" path="m,4292l21600,r,21600l,21600xe">
              <v:stroke joinstyle="miter"/>
              <v:path gradientshapeok="t" o:connecttype="custom" o:connectlocs="10800,2146;0,10800;10800,21600;21600,10800" textboxrect="0,4291,21600,21600"/>
            </v:shapetype>
            <v:shape id="Flowchart: Manual Input 19" o:spid="_x0000_s1026" type="#_x0000_t118" style="position:absolute;margin-left:-84.9pt;margin-top:-22.9pt;width:615.1pt;height:84.15pt;z-index:25165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5BJ1pAIAAKYFAAAOAAAAZHJzL2Uyb0RvYy54bWysVF9P2zAQf5+072D5fSStWigRKarKOiEx QMDEs+vYTSTH59lu0+7T72yngQHaw7SX5M5397v/d3G5bxXZCesa0CUdneSUCM2havSmpD+eVl9m lDjPdMUUaFHSg3D0cv7500VnCjGGGlQlLEEQ7YrOlLT23hRZ5ngtWuZOwAiNQgm2ZR5Zu8kqyzpE b1U2zvPTrANbGQtcOIevV0lI5xFfSsH9nZROeKJKirH5+LXxuw7fbH7Bio1lpm54Hwb7hyha1mh0 OkBdMc/I1jbvoNqGW3Ag/QmHNgMpGy5iDpjNKH+TzWPNjIi5YHGcGcrk/h8sv93dW9JU2LtzSjRr sUcrBR2vmfUF+c70lilyrc3WE9TAcnXGFWj1aO5tzzkkQ+57advwx6zIPpb4MJRY7D3h+Hg2G2Hb sBMcZaP8dHaWTwNq9mJurPPfBLQkECWVGM0yRJNiiaHEUrPdjfPJ9GgSvDtQTbVqlIqM3ayXypId w/6PJpOvs2Xv7Q81pYOyhmCWEMNLFlJNyUXKH5QIeko/CIk1w3TGMZI4rWLwwzgX2o+SqGaVSO6n mHccOMx1sIiZR8CALNH/gN0DhE14j52i7PWDqYjDPhjnfwssGQ8W0TNoPxi3jQb7EYDCrHrPSf9Y pFSaUKU1VAecKAtp1Zzhqwb7eMOcv2cWdwt7j/fC3+EntLak0FOU1GB/ffQe9HHkUUpJh7taUvdz y6ygRF1rXIZz7GxY7shMpmdjZOxryfq1RG/bJYRxwMtkeCSDvldHUlpon/GsLIJXFDHN0XdJubdH ZunTDcHDxMViEdVwoQ3zN/rR8AAeqhrm8mn/zKzph9njHtzCca9Z8WaGk26w1LDYepBNHPCXuvb1 xmMQB6c/XOHavOaj1st5nf8GAAD//wMAUEsDBBQABgAIAAAAIQDIIpt24AAAAA0BAAAPAAAAZHJz L2Rvd25yZXYueG1sTI/BTsMwDIbvSLxDZCRuW7KyllGaTghpnECIARLHrDFNtcapmmwrb493gttn +dfvz9V68r044hi7QBoWcwUCqQm2o1bDx/tmtgIRkyFr+kCo4QcjrOvLi8qUNpzoDY/b1AouoVga DS6loZQyNg69ifMwIPHuO4zeJB7HVtrRnLjc9zJTqpDedMQXnBnw0WGz3x68hvy1i7i6+XT26zlM t/uXbDM9ea2vr6aHexAJp/QXhrM+q0PNTrtwIBtFr2G2KO7YPTEtc4ZzRBVqCWLHlGU5yLqS/7+o fwEAAP//AwBQSwECLQAUAAYACAAAACEAtoM4kv4AAADhAQAAEwAAAAAAAAAAAAAAAAAAAAAAW0Nv bnRlbnRfVHlwZXNdLnhtbFBLAQItABQABgAIAAAAIQA4/SH/1gAAAJQBAAALAAAAAAAAAAAAAAAA AC8BAABfcmVscy8ucmVsc1BLAQItABQABgAIAAAAIQCo5BJ1pAIAAKYFAAAOAAAAAAAAAAAAAAAA AC4CAABkcnMvZTJvRG9jLnhtbFBLAQItABQABgAIAAAAIQDIIpt24AAAAA0BAAAPAAAAAAAAAAAA AAAAAP4EAABkcnMvZG93bnJldi54bWxQSwUGAAAAAAQABADzAAAACwYAAAAA " fillcolor="#144e8c" stroked="f" strokeweight="2pt"/>
          </w:pict>
        </mc:Fallback>
      </mc:AlternateContent>
    </w:r>
    <w:r w:rsidR="006F3393">
      <w:rPr>
        <w:noProof/>
      </w:rPr>
      <mc:AlternateContent>
        <mc:Choice Requires="wps">
          <w:drawing>
            <wp:anchor distT="0" distB="0" distL="114300" distR="114300" simplePos="0" relativeHeight="251658247" behindDoc="0" locked="0" layoutInCell="1" allowOverlap="1" wp14:anchorId="09BBEC2D" wp14:editId="1A760662">
              <wp:simplePos x="0" y="0"/>
              <wp:positionH relativeFrom="column">
                <wp:posOffset>3911600</wp:posOffset>
              </wp:positionH>
              <wp:positionV relativeFrom="paragraph">
                <wp:posOffset>254000</wp:posOffset>
              </wp:positionV>
              <wp:extent cx="2482850" cy="27559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0" cy="275590"/>
                      </a:xfrm>
                      <a:prstGeom prst="rect">
                        <a:avLst/>
                      </a:prstGeom>
                      <a:solidFill>
                        <a:srgbClr val="144E8C"/>
                      </a:solidFill>
                      <a:ln w="9525">
                        <a:noFill/>
                        <a:miter lim="800000"/>
                        <a:headEnd/>
                        <a:tailEnd/>
                      </a:ln>
                    </wps:spPr>
                    <wps:txbx>
                      <w:txbxContent>
                        <w:p w14:paraId="32D96AF7" w14:textId="70BE677E" w:rsidR="006F3393" w:rsidRPr="00716805" w:rsidRDefault="006F3393" w:rsidP="002766E0">
                          <w:pPr>
                            <w:jc w:val="right"/>
                            <w:rPr>
                              <w:color w:val="FDB813"/>
                              <w:lang w:val="en-US"/>
                            </w:rPr>
                          </w:pPr>
                          <w:hyperlink r:id="rId1" w:history="1">
                            <w:r w:rsidRPr="00716805">
                              <w:rPr>
                                <w:rStyle w:val="Hyperlink"/>
                                <w:color w:val="FDB813"/>
                                <w:u w:val="none"/>
                              </w:rPr>
                              <w:t>contactos@cmconsulting.com.co</w:t>
                            </w:r>
                          </w:hyperlink>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09BBEC2D" id="_x0000_t202" coordsize="21600,21600" o:spt="202" path="m,l,21600r21600,l21600,xe">
              <v:stroke joinstyle="miter"/>
              <v:path gradientshapeok="t" o:connecttype="rect"/>
            </v:shapetype>
            <v:shape id="_x0000_s1036" type="#_x0000_t202" style="position:absolute;left:0;text-align:left;margin-left:308pt;margin-top:20pt;width:195.5pt;height:21.7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eqAiEgIAAP4DAAAOAAAAZHJzL2Uyb0RvYy54bWysU9tu2zAMfR+wfxD0vjgxkjUx4hRd2gwD ugvQ7QNkWY6FyaJGKbGzrx8lp2nQvQ3zgyCa5CF5eLS+HTrDjgq9Blvy2WTKmbISam33Jf/xffdu yZkPwtbCgFUlPynPbzdv36x7V6gcWjC1QkYg1he9K3kbgiuyzMtWdcJPwClLzgawE4FM3Gc1ip7Q O5Pl0+n7rAesHYJU3tPf+9HJNwm/aZQMX5vGq8BMyam3kE5MZxXPbLMWxR6Fa7U8tyH+oYtOaEtF L1D3Igh2QP0XVKclgocmTCR0GTSNlirNQNPMpq+meWqFU2kWIse7C03+/8HKL8cn9w1ZGD7AQAtM Q3j3CPKnZxa2rbB7dYcIfatETYVnkbKsd744p0aqfeEjSNV/hpqWLA4BEtDQYBdZoTkZodMCThfS 1RCYpJ/5fJkvF+SS5MtvFotV2komiudshz58VNCxeCk50lITujg++hC7EcVzSCzmweh6p41JBu6r rUF2FCSA2Xz+sNymAV6FGcv6kq8W+SIhW4j5SRudDiRQo7uSL6fxGyUT2XiwdQoJQpvxTp0Ye6Yn MjJyE4ZqYLqO9WNypKuC+kSEIYyCpAdElxbwN2c9ibHk/tdBoOLMfLJE+oo6j+pNxnxxk5OB157q 2iOsJKiSB87G6zYkxSc+3B0tZ6cTby+dnHsmkSU6zw8iqvjaTlEvz3bzBwAA//8DAFBLAwQUAAYA CAAAACEAmF2C3+EAAAAPAQAADwAAAGRycy9kb3ducmV2LnhtbEyPy07DMBBF90j8gzVI7KhdqEKV xqkQFRJQNjV8gBubJCIeR7bz+numK9jMQzNz555iP7uOjTbE1qOE9UoAs1h502It4evz5W4LLCaN RncerYTFRtiX11eFzo2f8GRHlWpGIhhzLaFJqc85j1VjnY4r31uk2bcPTidqQ81N0BOJu47fC5Fx p1ukD43u7XNjqx81OAkTPwU1HOYwfhyPr4vK1Nv8vkh5ezMfdhSedsCSndPfBVwYyD+UZOzsBzSR dRKydUZAScJGUL4sCPFI1VnC9mEDvCz4f47yFwAA//8DAFBLAQItABQABgAIAAAAIQC2gziS/gAA AOEBAAATAAAAAAAAAAAAAAAAAAAAAABbQ29udGVudF9UeXBlc10ueG1sUEsBAi0AFAAGAAgAAAAh ADj9If/WAAAAlAEAAAsAAAAAAAAAAAAAAAAALwEAAF9yZWxzLy5yZWxzUEsBAi0AFAAGAAgAAAAh AGN6oCISAgAA/gMAAA4AAAAAAAAAAAAAAAAALgIAAGRycy9lMm9Eb2MueG1sUEsBAi0AFAAGAAgA AAAhAJhdgt/hAAAADwEAAA8AAAAAAAAAAAAAAAAAbAQAAGRycy9kb3ducmV2LnhtbFBLBQYAAAAA BAAEAPMAAAB6BQAAAAA= " fillcolor="#144e8c" stroked="f">
              <v:textbox style="mso-fit-shape-to-text:t">
                <w:txbxContent>
                  <w:p w14:paraId="32D96AF7" w14:textId="70BE677E" w:rsidR="006F3393" w:rsidRPr="00716805" w:rsidRDefault="006F3393" w:rsidP="002766E0">
                    <w:pPr>
                      <w:jc w:val="right"/>
                      <w:rPr>
                        <w:color w:val="FDB813"/>
                        <w:lang w:val="en-US"/>
                      </w:rPr>
                    </w:pPr>
                    <w:hyperlink r:id="rId2" w:history="1">
                      <w:r w:rsidRPr="00716805">
                        <w:rPr>
                          <w:rStyle w:val="Hyperlink"/>
                          <w:color w:val="FDB813"/>
                          <w:u w:val="none"/>
                        </w:rPr>
                        <w:t>contactos@cmconsulting.com.co</w:t>
                      </w:r>
                    </w:hyperlink>
                  </w:p>
                </w:txbxContent>
              </v:textbox>
            </v:shape>
          </w:pict>
        </mc:Fallback>
      </mc:AlternateContent>
    </w:r>
    <w:r w:rsidR="006F3393">
      <w:rPr>
        <w:noProof/>
      </w:rPr>
      <mc:AlternateContent>
        <mc:Choice Requires="wps">
          <w:drawing>
            <wp:anchor distT="0" distB="0" distL="114300" distR="114300" simplePos="0" relativeHeight="251658246" behindDoc="0" locked="0" layoutInCell="1" allowOverlap="1" wp14:anchorId="4DD02048" wp14:editId="29CAF45A">
              <wp:simplePos x="0" y="0"/>
              <wp:positionH relativeFrom="column">
                <wp:posOffset>4307205</wp:posOffset>
              </wp:positionH>
              <wp:positionV relativeFrom="paragraph">
                <wp:posOffset>26035</wp:posOffset>
              </wp:positionV>
              <wp:extent cx="2087880" cy="275590"/>
              <wp:effectExtent l="0" t="0" r="762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275590"/>
                      </a:xfrm>
                      <a:prstGeom prst="rect">
                        <a:avLst/>
                      </a:prstGeom>
                      <a:solidFill>
                        <a:srgbClr val="144E8C"/>
                      </a:solidFill>
                      <a:ln w="9525">
                        <a:noFill/>
                        <a:miter lim="800000"/>
                        <a:headEnd/>
                        <a:tailEnd/>
                      </a:ln>
                    </wps:spPr>
                    <wps:txbx>
                      <w:txbxContent>
                        <w:p w14:paraId="2E9CCA10" w14:textId="39AE4C50" w:rsidR="006F3393" w:rsidRPr="002766E0" w:rsidRDefault="006F3393" w:rsidP="006424FD">
                          <w:pPr>
                            <w:jc w:val="right"/>
                            <w:rPr>
                              <w:color w:val="FDB813"/>
                              <w:lang w:val="en-US"/>
                            </w:rPr>
                          </w:pPr>
                          <w:hyperlink r:id="rId3" w:history="1">
                            <w:r w:rsidRPr="002766E0">
                              <w:rPr>
                                <w:rStyle w:val="Hyperlink"/>
                                <w:color w:val="FDB813"/>
                                <w:u w:val="none"/>
                              </w:rPr>
                              <w:t>www.cmconsulting.com.co</w:t>
                            </w:r>
                          </w:hyperlink>
                        </w:p>
                      </w:txbxContent>
                    </wps:txbx>
                    <wps:bodyPr rot="0" vert="horz" wrap="square" lIns="91440" tIns="45720" rIns="91440" bIns="45720" anchor="t" anchorCtr="0">
                      <a:spAutoFit/>
                    </wps:bodyPr>
                  </wps:wsp>
                </a:graphicData>
              </a:graphic>
            </wp:anchor>
          </w:drawing>
        </mc:Choice>
        <mc:Fallback>
          <w:pict>
            <v:shapetype w14:anchorId="4DD02048" id="_x0000_t202" coordsize="21600,21600" o:spt="202" path="m,l,21600r21600,l21600,xe">
              <v:stroke joinstyle="miter"/>
              <v:path gradientshapeok="t" o:connecttype="rect"/>
            </v:shapetype>
            <v:shape id="_x0000_s1031" type="#_x0000_t202" style="position:absolute;left:0;text-align:left;margin-left:339.15pt;margin-top:2.05pt;width:164.4pt;height:21.7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rXD/EwIAAP0DAAAOAAAAZHJzL2Uyb0RvYy54bWysU9tu2zAMfR+wfxD0vtgxksUxohRd2gwD ugvQ7QNkWY6FyaImKbG7rx8lp2nQvQ3zg0Ca5BF5eLS5GXtNTtJ5BYbR+SynRBoBjTIHRn98378r KfGBm4ZrMJLRJ+npzfbtm81gK1lAB7qRjiCI8dVgGe1CsFWWedHJnvsZWGkw2ILreUDXHbLG8QHR e50Vef4+G8A11oGQ3uPfuylItwm/baUIX9vWy0A0o9hbSKdLZx3PbLvh1cFx2ylxboP/Qxc9VwYv vUDd8cDJ0am/oHolHHhow0xAn0HbKiHTDDjNPH81zWPHrUyzIDneXmjy/w9WfDk92m+OhPEDjLjA NIS3DyB+emJg13FzkLfOwdBJ3uDF80hZNlhfnUsj1b7yEaQePkODS+bHAAlobF0fWcE5CaLjAp4u pMsxEIE/i7xclSWGBMaK1XK5TlvJePVcbZ0PHyX0JBqMOlxqQuenBx9iN7x6TomXedCq2Sutk+MO 9U47cuIogPlicV/u0gCv0rQhA6PrZbFMyAZifdJGrwIKVKue0TKP3ySZyMa9aVJK4EpPNnaizZme yMjETRjrkaiG0VWsjWzV0DwhXw4mPeL7QaMD95uSAbXIqP915E5Soj8Z5HyNjUfxJmexXBXouOtI fR3hRiAUo4GSydyFJPhEh73F3exVou2lk3PLqLHE5vk9RBFf+ynr5dVu/wAAAP//AwBQSwMEFAAG AAgAAAAhAEdW+2DhAAAADgEAAA8AAABkcnMvZG93bnJldi54bWxMT81OwzAMviPxDpGRuLFk/LRT 13RCTEjAuCzwAFkT2oomqZK0Td8e7zQulu3P/n7KXTI9mbQPnbMc1isGRNvaqc42HL6/Xu82QEKU VsneWc1h0QF21fVVKQvlZnvUk4gNQRIbCsmhjXEoKA11q40MKzdoi9iP80ZGHH1DlZczkpue3jOW USM7iwqtHPRLq+tfMRoOMz16Me6Tnz4Ph7dFZOI9fSyc396k/RbL8xZI1ClePuCcAf1DhcZObrQq kJ5Dlm8e8JTD4xrIGWcsx+6Ei/wJaFXS/zGqPwAAAP//AwBQSwECLQAUAAYACAAAACEAtoM4kv4A AADhAQAAEwAAAAAAAAAAAAAAAAAAAAAAW0NvbnRlbnRfVHlwZXNdLnhtbFBLAQItABQABgAIAAAA IQA4/SH/1gAAAJQBAAALAAAAAAAAAAAAAAAAAC8BAABfcmVscy8ucmVsc1BLAQItABQABgAIAAAA IQBerXD/EwIAAP0DAAAOAAAAAAAAAAAAAAAAAC4CAABkcnMvZTJvRG9jLnhtbFBLAQItABQABgAI AAAAIQBHVvtg4QAAAA4BAAAPAAAAAAAAAAAAAAAAAG0EAABkcnMvZG93bnJldi54bWxQSwUGAAAA AAQABADzAAAAewUAAAAA " fillcolor="#144e8c" stroked="f">
              <v:textbox style="mso-fit-shape-to-text:t">
                <w:txbxContent>
                  <w:p w14:paraId="2E9CCA10" w14:textId="39AE4C50" w:rsidR="006F3393" w:rsidRPr="002766E0" w:rsidRDefault="006F3393" w:rsidP="006424FD">
                    <w:pPr>
                      <w:jc w:val="right"/>
                      <w:rPr>
                        <w:color w:val="FDB813"/>
                        <w:lang w:val="en-US"/>
                      </w:rPr>
                    </w:pPr>
                    <w:hyperlink r:id="rId4" w:history="1">
                      <w:r w:rsidRPr="002766E0">
                        <w:rPr>
                          <w:rStyle w:val="Hyperlink"/>
                          <w:color w:val="FDB813"/>
                          <w:u w:val="none"/>
                        </w:rPr>
                        <w:t>www.cmconsulting.com.co</w:t>
                      </w:r>
                    </w:hyperlink>
                  </w:p>
                </w:txbxContent>
              </v:textbox>
            </v:shape>
          </w:pict>
        </mc:Fallback>
      </mc:AlternateContent>
    </w:r>
    <w:r w:rsidR="006F3393">
      <w:rPr>
        <w:noProof/>
      </w:rPr>
      <w:drawing>
        <wp:anchor distT="0" distB="0" distL="114300" distR="114300" simplePos="0" relativeHeight="251658245" behindDoc="0" locked="0" layoutInCell="1" allowOverlap="1" wp14:anchorId="4FDAA92F" wp14:editId="0EF0F8D4">
          <wp:simplePos x="0" y="0"/>
          <wp:positionH relativeFrom="column">
            <wp:posOffset>-775335</wp:posOffset>
          </wp:positionH>
          <wp:positionV relativeFrom="paragraph">
            <wp:posOffset>82378</wp:posOffset>
          </wp:positionV>
          <wp:extent cx="2159635" cy="525145"/>
          <wp:effectExtent l="0" t="0" r="0" b="825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rotWithShape="1">
                  <a:blip r:embed="rId5">
                    <a:extLst>
                      <a:ext uri="{28A0092B-C50C-407E-A947-70E740481C1C}">
                        <a14:useLocalDpi xmlns:a14="http://schemas.microsoft.com/office/drawing/2010/main" val="0"/>
                      </a:ext>
                    </a:extLst>
                  </a:blip>
                  <a:srcRect l="19827" t="42609" r="20024" b="42753"/>
                  <a:stretch/>
                </pic:blipFill>
                <pic:spPr bwMode="auto">
                  <a:xfrm>
                    <a:off x="0" y="0"/>
                    <a:ext cx="2159635" cy="525145"/>
                  </a:xfrm>
                  <a:prstGeom prst="rect">
                    <a:avLst/>
                  </a:prstGeom>
                  <a:ln>
                    <a:noFill/>
                  </a:ln>
                  <a:extLst>
                    <a:ext uri="{53640926-AAD7-44D8-BBD7-CCE9431645EC}">
                      <a14:shadowObscured xmlns:a14="http://schemas.microsoft.com/office/drawing/2010/main"/>
                    </a:ext>
                  </a:extLst>
                </pic:spPr>
              </pic:pic>
            </a:graphicData>
          </a:graphic>
        </wp:anchor>
      </w:drawing>
    </w:r>
  </w:p>
  <w:p w14:paraId="0FB13A36" w14:textId="2376324A" w:rsidR="006F3393" w:rsidRDefault="006F3393" w:rsidP="00926C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BBA52" w14:textId="77777777" w:rsidR="007306DA" w:rsidRDefault="007306DA" w:rsidP="00926CDD">
      <w:r>
        <w:separator/>
      </w:r>
    </w:p>
    <w:p w14:paraId="63C788BF" w14:textId="77777777" w:rsidR="007306DA" w:rsidRDefault="007306DA" w:rsidP="00926CDD"/>
    <w:p w14:paraId="78D5E0A0" w14:textId="77777777" w:rsidR="007306DA" w:rsidRDefault="007306DA"/>
  </w:footnote>
  <w:footnote w:type="continuationSeparator" w:id="0">
    <w:p w14:paraId="0CF74AF6" w14:textId="77777777" w:rsidR="007306DA" w:rsidRDefault="007306DA" w:rsidP="00926CDD">
      <w:r>
        <w:continuationSeparator/>
      </w:r>
    </w:p>
    <w:p w14:paraId="060386C7" w14:textId="77777777" w:rsidR="007306DA" w:rsidRDefault="007306DA" w:rsidP="00926CDD"/>
    <w:p w14:paraId="505637BD" w14:textId="77777777" w:rsidR="007306DA" w:rsidRDefault="007306DA"/>
  </w:footnote>
  <w:footnote w:type="continuationNotice" w:id="1">
    <w:p w14:paraId="5B4A8FC1" w14:textId="77777777" w:rsidR="007306DA" w:rsidRDefault="007306DA" w:rsidP="00926CDD"/>
    <w:p w14:paraId="5679C132" w14:textId="77777777" w:rsidR="007306DA" w:rsidRDefault="007306DA" w:rsidP="00926CDD"/>
    <w:p w14:paraId="17F56C17" w14:textId="77777777" w:rsidR="007306DA" w:rsidRDefault="007306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6D29" w14:textId="5D621E38" w:rsidR="006F3393" w:rsidRDefault="007306DA" w:rsidP="00926CDD">
    <w:pPr>
      <w:pStyle w:val="Header"/>
    </w:pPr>
    <w:r>
      <w:rPr>
        <w:noProof/>
        <w:lang w:eastAsia="en-US"/>
      </w:rPr>
      <w:pict w14:anchorId="55CF67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left:0;text-align:left;margin-left:0;margin-top:0;width:524.6pt;height:98.35pt;rotation:315;z-index:-251658224;mso-wrap-edited:f;mso-width-percent:0;mso-height-percent:0;mso-position-horizontal:center;mso-position-horizontal-relative:margin;mso-position-vertical:center;mso-position-vertical-relative:margin;mso-width-percent:0;mso-height-percent:0" o:allowincell="f" fillcolor="#d8d8d8 [2732]" stroked="f">
          <v:fill opacity=".5"/>
          <v:textpath style="font-family:&quot;Calibri&quot;;font-size:1pt" string="OFERTA COMERCIAL"/>
          <w10:wrap anchorx="margin" anchory="margin"/>
        </v:shape>
      </w:pict>
    </w:r>
    <w:r>
      <w:rPr>
        <w:noProof/>
        <w:lang w:eastAsia="en-US"/>
      </w:rPr>
      <w:pict w14:anchorId="42F6B084">
        <v:shape id="_x0000_s1025" type="#_x0000_t136" alt="" style="position:absolute;left:0;text-align:left;margin-left:0;margin-top:0;width:524.6pt;height:98.35pt;rotation:315;z-index:-251658225;mso-wrap-edited:f;mso-width-percent:0;mso-height-percent:0;mso-position-horizontal:center;mso-position-horizontal-relative:margin;mso-position-vertical:center;mso-position-vertical-relative:margin;mso-width-percent:0;mso-height-percent:0" o:allowincell="f" fillcolor="#d8d8d8 [2732]" stroked="f">
          <v:fill opacity=".5"/>
          <v:textpath style="font-family:&quot;Calibri&quot;;font-size:1pt" string="OFERTA COMERC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97DD" w14:textId="6D0EF04D" w:rsidR="006F3393" w:rsidRDefault="004713B3" w:rsidP="00926CDD">
    <w:pPr>
      <w:pStyle w:val="Header"/>
      <w:rPr>
        <w:sz w:val="20"/>
      </w:rPr>
    </w:pPr>
    <w:r w:rsidRPr="004713B3">
      <w:rPr>
        <w:noProof/>
        <w:sz w:val="20"/>
      </w:rPr>
      <w:drawing>
        <wp:anchor distT="0" distB="0" distL="114300" distR="114300" simplePos="0" relativeHeight="251658278" behindDoc="0" locked="0" layoutInCell="1" allowOverlap="1" wp14:anchorId="16557476" wp14:editId="752C7F9E">
          <wp:simplePos x="0" y="0"/>
          <wp:positionH relativeFrom="column">
            <wp:posOffset>2089785</wp:posOffset>
          </wp:positionH>
          <wp:positionV relativeFrom="paragraph">
            <wp:posOffset>-257810</wp:posOffset>
          </wp:positionV>
          <wp:extent cx="1439545" cy="880745"/>
          <wp:effectExtent l="0" t="0" r="8255" b="0"/>
          <wp:wrapNone/>
          <wp:docPr id="31" name="Picture 31" descr="A white rectangular sign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rectangular sign with text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39545" cy="880745"/>
                  </a:xfrm>
                  <a:prstGeom prst="rect">
                    <a:avLst/>
                  </a:prstGeom>
                </pic:spPr>
              </pic:pic>
            </a:graphicData>
          </a:graphic>
        </wp:anchor>
      </w:drawing>
    </w:r>
    <w:r w:rsidRPr="004713B3">
      <w:rPr>
        <w:noProof/>
        <w:sz w:val="20"/>
      </w:rPr>
      <w:drawing>
        <wp:anchor distT="0" distB="0" distL="114300" distR="114300" simplePos="0" relativeHeight="251658277" behindDoc="0" locked="0" layoutInCell="1" allowOverlap="1" wp14:anchorId="449A69E1" wp14:editId="005C6F75">
          <wp:simplePos x="0" y="0"/>
          <wp:positionH relativeFrom="column">
            <wp:posOffset>3560445</wp:posOffset>
          </wp:positionH>
          <wp:positionV relativeFrom="paragraph">
            <wp:posOffset>-252730</wp:posOffset>
          </wp:positionV>
          <wp:extent cx="1439545" cy="880110"/>
          <wp:effectExtent l="0" t="0" r="825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39545" cy="880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713B3">
      <w:rPr>
        <w:noProof/>
        <w:sz w:val="20"/>
      </w:rPr>
      <w:drawing>
        <wp:anchor distT="0" distB="0" distL="114300" distR="114300" simplePos="0" relativeHeight="251658276" behindDoc="0" locked="0" layoutInCell="1" allowOverlap="1" wp14:anchorId="4B6AABD9" wp14:editId="5F955EA3">
          <wp:simplePos x="0" y="0"/>
          <wp:positionH relativeFrom="column">
            <wp:posOffset>5043442</wp:posOffset>
          </wp:positionH>
          <wp:positionV relativeFrom="paragraph">
            <wp:posOffset>-251188</wp:posOffset>
          </wp:positionV>
          <wp:extent cx="1439545" cy="880110"/>
          <wp:effectExtent l="0" t="0" r="825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439545" cy="880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4C75" w:rsidRPr="00B24C75">
      <w:rPr>
        <w:noProof/>
        <w:sz w:val="20"/>
      </w:rPr>
      <w:drawing>
        <wp:anchor distT="0" distB="0" distL="114300" distR="114300" simplePos="0" relativeHeight="251658272" behindDoc="0" locked="0" layoutInCell="1" allowOverlap="1" wp14:anchorId="38C168FE" wp14:editId="776B3132">
          <wp:simplePos x="0" y="0"/>
          <wp:positionH relativeFrom="column">
            <wp:posOffset>-909683</wp:posOffset>
          </wp:positionH>
          <wp:positionV relativeFrom="paragraph">
            <wp:posOffset>-130447</wp:posOffset>
          </wp:positionV>
          <wp:extent cx="2159635" cy="53911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horizontal.jpg"/>
                  <pic:cNvPicPr/>
                </pic:nvPicPr>
                <pic:blipFill rotWithShape="1">
                  <a:blip r:embed="rId4">
                    <a:extLst>
                      <a:ext uri="{28A0092B-C50C-407E-A947-70E740481C1C}">
                        <a14:useLocalDpi xmlns:a14="http://schemas.microsoft.com/office/drawing/2010/main" val="0"/>
                      </a:ext>
                    </a:extLst>
                  </a:blip>
                  <a:srcRect l="19388" t="42275" r="19368" b="42403"/>
                  <a:stretch/>
                </pic:blipFill>
                <pic:spPr bwMode="auto">
                  <a:xfrm>
                    <a:off x="0" y="0"/>
                    <a:ext cx="2159635" cy="539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3393" w:rsidRPr="000161F8">
      <w:rPr>
        <w:noProof/>
      </w:rPr>
      <mc:AlternateContent>
        <mc:Choice Requires="wps">
          <w:drawing>
            <wp:anchor distT="0" distB="0" distL="114300" distR="114300" simplePos="0" relativeHeight="251658249" behindDoc="0" locked="0" layoutInCell="1" allowOverlap="1" wp14:anchorId="41574DE3" wp14:editId="664B327D">
              <wp:simplePos x="0" y="0"/>
              <wp:positionH relativeFrom="column">
                <wp:posOffset>626745</wp:posOffset>
              </wp:positionH>
              <wp:positionV relativeFrom="paragraph">
                <wp:posOffset>-737870</wp:posOffset>
              </wp:positionV>
              <wp:extent cx="2531745" cy="274955"/>
              <wp:effectExtent l="0" t="0" r="1905" b="127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1745" cy="274955"/>
                      </a:xfrm>
                      <a:prstGeom prst="rect">
                        <a:avLst/>
                      </a:prstGeom>
                      <a:solidFill>
                        <a:srgbClr val="144E8C"/>
                      </a:solidFill>
                      <a:ln w="9525">
                        <a:noFill/>
                        <a:miter lim="800000"/>
                        <a:headEnd/>
                        <a:tailEnd/>
                      </a:ln>
                    </wps:spPr>
                    <wps:txbx>
                      <w:txbxContent>
                        <w:p w14:paraId="7E29312D" w14:textId="77777777" w:rsidR="006F3393" w:rsidRPr="00716805" w:rsidRDefault="006F3393" w:rsidP="000161F8">
                          <w:pPr>
                            <w:jc w:val="right"/>
                            <w:rPr>
                              <w:color w:val="FDB813"/>
                              <w:lang w:val="en-US"/>
                            </w:rPr>
                          </w:pPr>
                          <w:hyperlink r:id="rId5" w:history="1">
                            <w:r w:rsidRPr="00716805">
                              <w:rPr>
                                <w:rStyle w:val="BodyText3Char"/>
                                <w:rFonts w:eastAsiaTheme="minorEastAsia"/>
                                <w:color w:val="FDB813"/>
                              </w:rPr>
                              <w:t>contactos@cmconsulting.com.co</w:t>
                            </w:r>
                          </w:hyperlink>
                        </w:p>
                      </w:txbxContent>
                    </wps:txbx>
                    <wps:bodyPr rot="0" vert="horz" wrap="square" lIns="91440" tIns="45720" rIns="91440" bIns="45720" anchor="t" anchorCtr="0">
                      <a:spAutoFit/>
                    </wps:bodyPr>
                  </wps:wsp>
                </a:graphicData>
              </a:graphic>
            </wp:anchor>
          </w:drawing>
        </mc:Choice>
        <mc:Fallback>
          <w:pict>
            <v:shapetype w14:anchorId="41574DE3" id="_x0000_t202" coordsize="21600,21600" o:spt="202" path="m,l,21600r21600,l21600,xe">
              <v:stroke joinstyle="miter"/>
              <v:path gradientshapeok="t" o:connecttype="rect"/>
            </v:shapetype>
            <v:shape id="_x0000_s1032" type="#_x0000_t202" style="position:absolute;left:0;text-align:left;margin-left:49.35pt;margin-top:-58.1pt;width:199.35pt;height:21.6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3RjQFAIAAP4DAAAOAAAAZHJzL2Uyb0RvYy54bWysU9tu2zAMfR+wfxD0vtjx4iUx4hRd2gwD ugvQ7QNkWY6FyaImKbGzry8lu2m2vQ3zgyCa5CF5eLS5GTpFTsI6Cbqk81lKidAcaqkPJf3+bf9m RYnzTNdMgRYlPQtHb7avX216U4gMWlC1sARBtCt6U9LWe1MkieOt6JibgREanQ3Yjnk07SGpLesR vVNJlqbvkh5sbSxw4Rz+vRuddBvxm0Zw/6VpnPBElRR78/G08azCmWw3rDhYZlrJpzbYP3TRMamx 6AXqjnlGjlb+BdVJbsFB42ccugSaRnIRZ8Bp5ukf0zy2zIg4C5LjzIUm9/9g+efTo/lqiR/ew4AL jEM48wD8hyMadi3TB3FrLfStYDUWngfKkt64YkoNVLvCBZCq/wQ1LpkdPUSgobFdYAXnJIiOCzhf SBeDJxx/Zvnb+XKRU8LRly0X6zyPJVjxnG2s8x8EdCRcSmpxqRGdnR6cD92w4jkkFHOgZL2XSkXD HqqdsuTEUADzxeJ+tZvQfwtTmvQlXedZHpE1hPyojU56FKiSXUlXafhGyQQ27nUdQzyTarxjJ0pP 9ARGRm78UA1E1lg/Jge6KqjPSJiFUZD4gPDSgv1FSY9iLKn7eWRWUKI+aiR9jZ0H9UZjkS8zNOy1 p7r2MM0RqqSekvG681HxkQ9zi8vZy8jbSydTzyiySOf0IIKKr+0Y9fJst08AAAD//wMAUEsDBBQA BgAIAAAAIQC22MzW4wAAABABAAAPAAAAZHJzL2Rvd25yZXYueG1sTE/LTsMwELwj8Q/WInFrnURV 0qRxKkSFBJRLDR/gxiaJiO3Idl5/z3Kil5V2Z3Ye5XHRPZmU8501DOJtBESZ2srONAy+Pl82eyA+ CCNFb41isCoPx+r+rhSFtLO5qImHhqCI8YVg0IYwFJT6ulVa+K0dlEHs2zotAq6uodKJGcV1T5Mo SqkWnUGHVgzquVX1Dx81g5leHB9Pi5s+zufXlaf8bXlfGXt8WE4HHE8HIEEt4f8D/jpgfqgw2NWO RnrSM8j3GTIZbOI4TYAgY5dnOyBXPGVJDrQq6W2R6hcAAP//AwBQSwECLQAUAAYACAAAACEAtoM4 kv4AAADhAQAAEwAAAAAAAAAAAAAAAAAAAAAAW0NvbnRlbnRfVHlwZXNdLnhtbFBLAQItABQABgAI AAAAIQA4/SH/1gAAAJQBAAALAAAAAAAAAAAAAAAAAC8BAABfcmVscy8ucmVsc1BLAQItABQABgAI AAAAIQBE3RjQFAIAAP4DAAAOAAAAAAAAAAAAAAAAAC4CAABkcnMvZTJvRG9jLnhtbFBLAQItABQA BgAIAAAAIQC22MzW4wAAABABAAAPAAAAAAAAAAAAAAAAAG4EAABkcnMvZG93bnJldi54bWxQSwUG AAAAAAQABADzAAAAfgUAAAAA " fillcolor="#144e8c" stroked="f">
              <v:textbox style="mso-fit-shape-to-text:t">
                <w:txbxContent>
                  <w:p w14:paraId="7E29312D" w14:textId="77777777" w:rsidR="006F3393" w:rsidRPr="00716805" w:rsidRDefault="006F3393" w:rsidP="000161F8">
                    <w:pPr>
                      <w:jc w:val="right"/>
                      <w:rPr>
                        <w:color w:val="FDB813"/>
                        <w:lang w:val="en-US"/>
                      </w:rPr>
                    </w:pPr>
                    <w:hyperlink r:id="rId6" w:history="1">
                      <w:r w:rsidRPr="00716805">
                        <w:rPr>
                          <w:rStyle w:val="BodyText3Char"/>
                          <w:rFonts w:eastAsiaTheme="minorEastAsia"/>
                          <w:color w:val="FDB813"/>
                        </w:rPr>
                        <w:t>contactos@cmconsulting.com.co</w:t>
                      </w:r>
                    </w:hyperlink>
                  </w:p>
                </w:txbxContent>
              </v:textbox>
            </v:shape>
          </w:pict>
        </mc:Fallback>
      </mc:AlternateContent>
    </w:r>
    <w:r w:rsidR="006F3393" w:rsidRPr="000161F8">
      <w:rPr>
        <w:noProof/>
      </w:rPr>
      <mc:AlternateContent>
        <mc:Choice Requires="wps">
          <w:drawing>
            <wp:anchor distT="0" distB="0" distL="114300" distR="114300" simplePos="0" relativeHeight="251658248" behindDoc="0" locked="0" layoutInCell="1" allowOverlap="1" wp14:anchorId="7CA6FF58" wp14:editId="76FD2BCB">
              <wp:simplePos x="0" y="0"/>
              <wp:positionH relativeFrom="column">
                <wp:posOffset>1071245</wp:posOffset>
              </wp:positionH>
              <wp:positionV relativeFrom="paragraph">
                <wp:posOffset>-965200</wp:posOffset>
              </wp:positionV>
              <wp:extent cx="2087245" cy="274955"/>
              <wp:effectExtent l="0" t="0" r="8255" b="127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245" cy="274955"/>
                      </a:xfrm>
                      <a:prstGeom prst="rect">
                        <a:avLst/>
                      </a:prstGeom>
                      <a:solidFill>
                        <a:srgbClr val="144E8C"/>
                      </a:solidFill>
                      <a:ln w="9525">
                        <a:noFill/>
                        <a:miter lim="800000"/>
                        <a:headEnd/>
                        <a:tailEnd/>
                      </a:ln>
                    </wps:spPr>
                    <wps:txbx>
                      <w:txbxContent>
                        <w:p w14:paraId="159DDF65" w14:textId="4665C3BD" w:rsidR="006F3393" w:rsidRPr="002766E0" w:rsidRDefault="006F3393" w:rsidP="000161F8">
                          <w:pPr>
                            <w:jc w:val="right"/>
                            <w:rPr>
                              <w:color w:val="FDB813"/>
                              <w:lang w:val="en-US"/>
                            </w:rPr>
                          </w:pPr>
                          <w:hyperlink r:id="rId7" w:history="1">
                            <w:r w:rsidRPr="002766E0">
                              <w:rPr>
                                <w:rStyle w:val="BodyText3Char"/>
                                <w:rFonts w:eastAsiaTheme="minorEastAsia"/>
                                <w:color w:val="FDB813"/>
                              </w:rPr>
                              <w:t>www.cmconsulting.com.co</w:t>
                            </w:r>
                          </w:hyperlink>
                        </w:p>
                      </w:txbxContent>
                    </wps:txbx>
                    <wps:bodyPr rot="0" vert="horz" wrap="square" lIns="91440" tIns="45720" rIns="91440" bIns="45720" anchor="t" anchorCtr="0">
                      <a:spAutoFit/>
                    </wps:bodyPr>
                  </wps:wsp>
                </a:graphicData>
              </a:graphic>
            </wp:anchor>
          </w:drawing>
        </mc:Choice>
        <mc:Fallback>
          <w:pict>
            <v:shapetype w14:anchorId="7CA6FF58" id="_x0000_t202" coordsize="21600,21600" o:spt="202" path="m,l,21600r21600,l21600,xe">
              <v:stroke joinstyle="miter"/>
              <v:path gradientshapeok="t" o:connecttype="rect"/>
            </v:shapetype>
            <v:shape id="_x0000_s1027" type="#_x0000_t202" style="position:absolute;left:0;text-align:left;margin-left:84.35pt;margin-top:-76pt;width:164.35pt;height:21.6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Yb75FAIAAP0DAAAOAAAAZHJzL2Uyb0RvYy54bWysU9tu2zAMfR+wfxD0vtjx4iUx4hRd2gwD ugvQ7QNkWY6FyaImKbGzry8lu2m2vQ3zgyCa5CF5eLS5GTpFTsI6Cbqk81lKidAcaqkPJf3+bf9m RYnzTNdMgRYlPQtHb7avX216U4gMWlC1sARBtCt6U9LWe1MkieOt6JibgREanQ3Yjnk07SGpLesR vVNJlqbvkh5sbSxw4Rz+vRuddBvxm0Zw/6VpnPBElRR78/G08azCmWw3rDhYZlrJpzbYP3TRMamx 6AXqjnlGjlb+BdVJbsFB42ccugSaRnIRZ8Bp5ukf0zy2zIg4C5LjzIUm9/9g+efTo/lqiR/ew4AL jEM48wD8hyMadi3TB3FrLfStYDUWngfKkt64YkoNVLvCBZCq/wQ1LpkdPUSgobFdYAXnJIiOCzhf SBeDJxx/ZulqmS1ySjj6suVineexBCues411/oOAjoRLSS0uNaKz04PzoRtWPIeEYg6UrPdSqWjY Q7VTlpwYCmC+WNyvdhP6b2FKk76k6zzLI7KGkB+10UmPAlWyK+kqDd8omcDGva5jiGdSjXfsROmJ nsDIyI0fqoHIuqRvQ25gq4L6jHxZGPWI7wcvLdhflPSoxZK6n0dmBSXqo0bO19h4EG80FvkyQ8Ne e6prD9McoUrqKRmvOx8FH+kwt7ibvYy0vXQytYwai2xO7yGI+NqOUS+vdvsEAAD//wMAUEsDBBQA BgAIAAAAIQDbhnN95AAAABIBAAAPAAAAZHJzL2Rvd25yZXYueG1sTE9BTsMwELwj8Qdrkbi1TquS ljROhaiQgHKp4QFusiQRsR3ZTuL8nu0JLivNzuzsTH6IumMjOt9aI2C1TIChKW3VmlrA1+fLYgfM B2Uq1VmDAmb0cChub3KVVXYyZxxlqBmZGJ8pAU0Ifca5LxvUyi9tj4a4b+u0CgRdzSunJjLXHV8n Scq1ag19aFSPzw2WP3LQAiZ+dnI4Rjd+nE6vs0zlW3yfhbi/i8c9jac9sIAx/F3AtQPlh4KCXexg Ks86wuluS1IBi9XDmqqRZPO43QC7XFcJkbzI+f8qxS8AAAD//wMAUEsBAi0AFAAGAAgAAAAhALaD OJL+AAAA4QEAABMAAAAAAAAAAAAAAAAAAAAAAFtDb250ZW50X1R5cGVzXS54bWxQSwECLQAUAAYA CAAAACEAOP0h/9YAAACUAQAACwAAAAAAAAAAAAAAAAAvAQAAX3JlbHMvLnJlbHNQSwECLQAUAAYA CAAAACEAbGG++RQCAAD9AwAADgAAAAAAAAAAAAAAAAAuAgAAZHJzL2Uyb0RvYy54bWxQSwECLQAU AAYACAAAACEA24ZzfeQAAAASAQAADwAAAAAAAAAAAAAAAABuBAAAZHJzL2Rvd25yZXYueG1sUEsF BgAAAAAEAAQA8wAAAH8FAAAAAA== " fillcolor="#144e8c" stroked="f">
              <v:textbox style="mso-fit-shape-to-text:t">
                <w:txbxContent>
                  <w:p w14:paraId="159DDF65" w14:textId="4665C3BD" w:rsidR="006F3393" w:rsidRPr="002766E0" w:rsidRDefault="006F3393" w:rsidP="000161F8">
                    <w:pPr>
                      <w:jc w:val="right"/>
                      <w:rPr>
                        <w:color w:val="FDB813"/>
                        <w:lang w:val="en-US"/>
                      </w:rPr>
                    </w:pPr>
                    <w:hyperlink r:id="rId8" w:history="1">
                      <w:r w:rsidRPr="002766E0">
                        <w:rPr>
                          <w:rStyle w:val="BodyText3Char"/>
                          <w:rFonts w:eastAsiaTheme="minorEastAsia"/>
                          <w:color w:val="FDB813"/>
                        </w:rPr>
                        <w:t>www.cmconsulting.com.co</w:t>
                      </w:r>
                    </w:hyperlink>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D9E3" w14:textId="63CDA903" w:rsidR="006F3393" w:rsidRDefault="00DC12ED" w:rsidP="00926CDD">
    <w:pPr>
      <w:pStyle w:val="Header"/>
    </w:pPr>
    <w:r>
      <w:rPr>
        <w:noProof/>
      </w:rPr>
      <w:drawing>
        <wp:anchor distT="0" distB="0" distL="114300" distR="114300" simplePos="0" relativeHeight="251658254" behindDoc="0" locked="0" layoutInCell="1" allowOverlap="1" wp14:anchorId="63D9D12C" wp14:editId="16A3177D">
          <wp:simplePos x="0" y="0"/>
          <wp:positionH relativeFrom="column">
            <wp:posOffset>4672965</wp:posOffset>
          </wp:positionH>
          <wp:positionV relativeFrom="paragraph">
            <wp:posOffset>1905</wp:posOffset>
          </wp:positionV>
          <wp:extent cx="2015635" cy="720000"/>
          <wp:effectExtent l="0" t="0" r="3810" b="4445"/>
          <wp:wrapNone/>
          <wp:docPr id="3" name="Picture 3"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15635" cy="720000"/>
                  </a:xfrm>
                  <a:prstGeom prst="rect">
                    <a:avLst/>
                  </a:prstGeom>
                </pic:spPr>
              </pic:pic>
            </a:graphicData>
          </a:graphic>
        </wp:anchor>
      </w:drawing>
    </w:r>
    <w:r w:rsidR="006F3393">
      <w:rPr>
        <w:noProof/>
      </w:rPr>
      <w:drawing>
        <wp:anchor distT="0" distB="0" distL="114300" distR="114300" simplePos="0" relativeHeight="251658243" behindDoc="0" locked="0" layoutInCell="1" allowOverlap="1" wp14:anchorId="5315B6B9" wp14:editId="61CFF3E2">
          <wp:simplePos x="0" y="0"/>
          <wp:positionH relativeFrom="column">
            <wp:posOffset>-817417</wp:posOffset>
          </wp:positionH>
          <wp:positionV relativeFrom="paragraph">
            <wp:posOffset>-68580</wp:posOffset>
          </wp:positionV>
          <wp:extent cx="2880000" cy="720520"/>
          <wp:effectExtent l="0" t="0" r="0" b="381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horizontal.jpg"/>
                  <pic:cNvPicPr/>
                </pic:nvPicPr>
                <pic:blipFill rotWithShape="1">
                  <a:blip r:embed="rId2">
                    <a:extLst>
                      <a:ext uri="{28A0092B-C50C-407E-A947-70E740481C1C}">
                        <a14:useLocalDpi xmlns:a14="http://schemas.microsoft.com/office/drawing/2010/main" val="0"/>
                      </a:ext>
                    </a:extLst>
                  </a:blip>
                  <a:srcRect l="19388" t="42275" r="19368" b="42403"/>
                  <a:stretch/>
                </pic:blipFill>
                <pic:spPr bwMode="auto">
                  <a:xfrm>
                    <a:off x="0" y="0"/>
                    <a:ext cx="2880000" cy="720520"/>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http://schemas.openxmlformats.org/wordprocessingml/2006/main">
  <w:abstractNum w:abstractNumId="1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10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defaultTabStop w:val="709"/>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155"/>
    <w:rsid w:val="00001261"/>
    <w:rsid w:val="000012F8"/>
    <w:rsid w:val="0000133E"/>
    <w:rsid w:val="00001D34"/>
    <w:rsid w:val="0000218E"/>
    <w:rsid w:val="00002A9F"/>
    <w:rsid w:val="00002D91"/>
    <w:rsid w:val="0000399B"/>
    <w:rsid w:val="00003CE5"/>
    <w:rsid w:val="000043EC"/>
    <w:rsid w:val="000046A1"/>
    <w:rsid w:val="00005472"/>
    <w:rsid w:val="0000567A"/>
    <w:rsid w:val="00005BF4"/>
    <w:rsid w:val="00005D06"/>
    <w:rsid w:val="000061C3"/>
    <w:rsid w:val="00010915"/>
    <w:rsid w:val="00010EB6"/>
    <w:rsid w:val="0001103B"/>
    <w:rsid w:val="00011BD1"/>
    <w:rsid w:val="00011BF3"/>
    <w:rsid w:val="0001252B"/>
    <w:rsid w:val="000134C3"/>
    <w:rsid w:val="00013B77"/>
    <w:rsid w:val="00013D3E"/>
    <w:rsid w:val="00014568"/>
    <w:rsid w:val="00015008"/>
    <w:rsid w:val="00015DC0"/>
    <w:rsid w:val="000161F8"/>
    <w:rsid w:val="0001713C"/>
    <w:rsid w:val="00017A5F"/>
    <w:rsid w:val="00020327"/>
    <w:rsid w:val="0002048A"/>
    <w:rsid w:val="0002102B"/>
    <w:rsid w:val="00022391"/>
    <w:rsid w:val="000226DE"/>
    <w:rsid w:val="00022849"/>
    <w:rsid w:val="00022983"/>
    <w:rsid w:val="00023092"/>
    <w:rsid w:val="000232DA"/>
    <w:rsid w:val="00023BB0"/>
    <w:rsid w:val="000244BE"/>
    <w:rsid w:val="00025087"/>
    <w:rsid w:val="000268DF"/>
    <w:rsid w:val="00026EE7"/>
    <w:rsid w:val="00031B84"/>
    <w:rsid w:val="000321C8"/>
    <w:rsid w:val="0003237C"/>
    <w:rsid w:val="00032AC9"/>
    <w:rsid w:val="00032B1C"/>
    <w:rsid w:val="00033D6D"/>
    <w:rsid w:val="00035D49"/>
    <w:rsid w:val="00036CE6"/>
    <w:rsid w:val="000376B3"/>
    <w:rsid w:val="00037BFC"/>
    <w:rsid w:val="00041644"/>
    <w:rsid w:val="000417D1"/>
    <w:rsid w:val="00042237"/>
    <w:rsid w:val="0004267F"/>
    <w:rsid w:val="00042788"/>
    <w:rsid w:val="00042B3E"/>
    <w:rsid w:val="00043055"/>
    <w:rsid w:val="00043057"/>
    <w:rsid w:val="00043612"/>
    <w:rsid w:val="0004387F"/>
    <w:rsid w:val="00043BCC"/>
    <w:rsid w:val="0004491A"/>
    <w:rsid w:val="00045764"/>
    <w:rsid w:val="00045EF3"/>
    <w:rsid w:val="00046767"/>
    <w:rsid w:val="00046D15"/>
    <w:rsid w:val="00047538"/>
    <w:rsid w:val="00047D34"/>
    <w:rsid w:val="00050D46"/>
    <w:rsid w:val="0005184C"/>
    <w:rsid w:val="00051DE4"/>
    <w:rsid w:val="00051FC1"/>
    <w:rsid w:val="000521D9"/>
    <w:rsid w:val="00052957"/>
    <w:rsid w:val="00054559"/>
    <w:rsid w:val="000549D5"/>
    <w:rsid w:val="00054CE2"/>
    <w:rsid w:val="00054F00"/>
    <w:rsid w:val="00055216"/>
    <w:rsid w:val="00055573"/>
    <w:rsid w:val="00055A15"/>
    <w:rsid w:val="00055D22"/>
    <w:rsid w:val="0005602D"/>
    <w:rsid w:val="000607C0"/>
    <w:rsid w:val="00060D3F"/>
    <w:rsid w:val="0006154A"/>
    <w:rsid w:val="00061726"/>
    <w:rsid w:val="000617AA"/>
    <w:rsid w:val="00061CC8"/>
    <w:rsid w:val="00062B74"/>
    <w:rsid w:val="00063B1A"/>
    <w:rsid w:val="00064043"/>
    <w:rsid w:val="000643A8"/>
    <w:rsid w:val="00064453"/>
    <w:rsid w:val="00064A92"/>
    <w:rsid w:val="00064FBA"/>
    <w:rsid w:val="000654EB"/>
    <w:rsid w:val="000658A5"/>
    <w:rsid w:val="00065D11"/>
    <w:rsid w:val="00066367"/>
    <w:rsid w:val="00067145"/>
    <w:rsid w:val="00071643"/>
    <w:rsid w:val="00071A6C"/>
    <w:rsid w:val="00072E0F"/>
    <w:rsid w:val="00073988"/>
    <w:rsid w:val="000746E4"/>
    <w:rsid w:val="000746E6"/>
    <w:rsid w:val="000749B5"/>
    <w:rsid w:val="00076413"/>
    <w:rsid w:val="00076CC6"/>
    <w:rsid w:val="00076DF8"/>
    <w:rsid w:val="000803BB"/>
    <w:rsid w:val="00080B44"/>
    <w:rsid w:val="00081641"/>
    <w:rsid w:val="00081703"/>
    <w:rsid w:val="00081F62"/>
    <w:rsid w:val="0008209E"/>
    <w:rsid w:val="00082701"/>
    <w:rsid w:val="0008279F"/>
    <w:rsid w:val="00082D3B"/>
    <w:rsid w:val="00083886"/>
    <w:rsid w:val="000839F1"/>
    <w:rsid w:val="00084AAF"/>
    <w:rsid w:val="00085C49"/>
    <w:rsid w:val="00086688"/>
    <w:rsid w:val="00086CCC"/>
    <w:rsid w:val="000907E6"/>
    <w:rsid w:val="00090BC3"/>
    <w:rsid w:val="00091B36"/>
    <w:rsid w:val="000923CA"/>
    <w:rsid w:val="00093162"/>
    <w:rsid w:val="00093BC7"/>
    <w:rsid w:val="000946E8"/>
    <w:rsid w:val="000954AA"/>
    <w:rsid w:val="0009676D"/>
    <w:rsid w:val="000969BB"/>
    <w:rsid w:val="00097805"/>
    <w:rsid w:val="000A01CE"/>
    <w:rsid w:val="000A0768"/>
    <w:rsid w:val="000A16B5"/>
    <w:rsid w:val="000A2F3F"/>
    <w:rsid w:val="000A3A9D"/>
    <w:rsid w:val="000A3C81"/>
    <w:rsid w:val="000A413C"/>
    <w:rsid w:val="000A41B8"/>
    <w:rsid w:val="000A4DA6"/>
    <w:rsid w:val="000A5320"/>
    <w:rsid w:val="000A546E"/>
    <w:rsid w:val="000A6594"/>
    <w:rsid w:val="000A6B0F"/>
    <w:rsid w:val="000A6BF8"/>
    <w:rsid w:val="000A6D91"/>
    <w:rsid w:val="000A6E32"/>
    <w:rsid w:val="000A7677"/>
    <w:rsid w:val="000A7999"/>
    <w:rsid w:val="000A7A82"/>
    <w:rsid w:val="000B0132"/>
    <w:rsid w:val="000B0B6E"/>
    <w:rsid w:val="000B0C22"/>
    <w:rsid w:val="000B1087"/>
    <w:rsid w:val="000B12B3"/>
    <w:rsid w:val="000B1319"/>
    <w:rsid w:val="000B140E"/>
    <w:rsid w:val="000B14D3"/>
    <w:rsid w:val="000B1708"/>
    <w:rsid w:val="000B1BB9"/>
    <w:rsid w:val="000B270F"/>
    <w:rsid w:val="000B3E9A"/>
    <w:rsid w:val="000B5E98"/>
    <w:rsid w:val="000B619E"/>
    <w:rsid w:val="000B6B9D"/>
    <w:rsid w:val="000B7A37"/>
    <w:rsid w:val="000B7BEA"/>
    <w:rsid w:val="000B7DD7"/>
    <w:rsid w:val="000C1486"/>
    <w:rsid w:val="000C1813"/>
    <w:rsid w:val="000C2844"/>
    <w:rsid w:val="000C2A8A"/>
    <w:rsid w:val="000C3105"/>
    <w:rsid w:val="000C39AD"/>
    <w:rsid w:val="000C4910"/>
    <w:rsid w:val="000C4C5E"/>
    <w:rsid w:val="000C506B"/>
    <w:rsid w:val="000C57EB"/>
    <w:rsid w:val="000C609F"/>
    <w:rsid w:val="000C764C"/>
    <w:rsid w:val="000C779F"/>
    <w:rsid w:val="000C7977"/>
    <w:rsid w:val="000C7BCE"/>
    <w:rsid w:val="000C7E16"/>
    <w:rsid w:val="000D02EF"/>
    <w:rsid w:val="000D0EC1"/>
    <w:rsid w:val="000D1534"/>
    <w:rsid w:val="000D178A"/>
    <w:rsid w:val="000D2F77"/>
    <w:rsid w:val="000D33CF"/>
    <w:rsid w:val="000D55CC"/>
    <w:rsid w:val="000D55D3"/>
    <w:rsid w:val="000D69AC"/>
    <w:rsid w:val="000D6D09"/>
    <w:rsid w:val="000D7C03"/>
    <w:rsid w:val="000E1A86"/>
    <w:rsid w:val="000E269B"/>
    <w:rsid w:val="000E2D81"/>
    <w:rsid w:val="000E3873"/>
    <w:rsid w:val="000E436E"/>
    <w:rsid w:val="000E5D75"/>
    <w:rsid w:val="000E60C5"/>
    <w:rsid w:val="000E7B7B"/>
    <w:rsid w:val="000F0C16"/>
    <w:rsid w:val="000F0DA7"/>
    <w:rsid w:val="000F1291"/>
    <w:rsid w:val="000F162F"/>
    <w:rsid w:val="000F16B5"/>
    <w:rsid w:val="000F2085"/>
    <w:rsid w:val="000F2444"/>
    <w:rsid w:val="000F2A5A"/>
    <w:rsid w:val="000F2BDD"/>
    <w:rsid w:val="000F2C6C"/>
    <w:rsid w:val="000F3867"/>
    <w:rsid w:val="000F3CE9"/>
    <w:rsid w:val="000F446C"/>
    <w:rsid w:val="000F4D46"/>
    <w:rsid w:val="000F59A6"/>
    <w:rsid w:val="000F7060"/>
    <w:rsid w:val="000F7E80"/>
    <w:rsid w:val="0010016E"/>
    <w:rsid w:val="00100A8C"/>
    <w:rsid w:val="00101BDB"/>
    <w:rsid w:val="00101DAB"/>
    <w:rsid w:val="00101E2C"/>
    <w:rsid w:val="0010256C"/>
    <w:rsid w:val="001026D7"/>
    <w:rsid w:val="00103BEE"/>
    <w:rsid w:val="00104698"/>
    <w:rsid w:val="001060A3"/>
    <w:rsid w:val="00106188"/>
    <w:rsid w:val="001066C9"/>
    <w:rsid w:val="00107F75"/>
    <w:rsid w:val="0011009D"/>
    <w:rsid w:val="001101A1"/>
    <w:rsid w:val="0011118F"/>
    <w:rsid w:val="00112262"/>
    <w:rsid w:val="0011276E"/>
    <w:rsid w:val="00114243"/>
    <w:rsid w:val="00114D10"/>
    <w:rsid w:val="001151DE"/>
    <w:rsid w:val="00115642"/>
    <w:rsid w:val="00115DB9"/>
    <w:rsid w:val="00115DC3"/>
    <w:rsid w:val="00116557"/>
    <w:rsid w:val="001170F4"/>
    <w:rsid w:val="0011771F"/>
    <w:rsid w:val="0012088D"/>
    <w:rsid w:val="0012090A"/>
    <w:rsid w:val="00120B3C"/>
    <w:rsid w:val="00120F70"/>
    <w:rsid w:val="00121119"/>
    <w:rsid w:val="0012168D"/>
    <w:rsid w:val="00122097"/>
    <w:rsid w:val="001240D6"/>
    <w:rsid w:val="00124247"/>
    <w:rsid w:val="0012446B"/>
    <w:rsid w:val="0012507A"/>
    <w:rsid w:val="00125F18"/>
    <w:rsid w:val="0012614C"/>
    <w:rsid w:val="00126188"/>
    <w:rsid w:val="00126553"/>
    <w:rsid w:val="001272CA"/>
    <w:rsid w:val="001307BB"/>
    <w:rsid w:val="00130C5B"/>
    <w:rsid w:val="00130FED"/>
    <w:rsid w:val="00131515"/>
    <w:rsid w:val="0013180B"/>
    <w:rsid w:val="00131981"/>
    <w:rsid w:val="00131BCC"/>
    <w:rsid w:val="00131E36"/>
    <w:rsid w:val="001323D2"/>
    <w:rsid w:val="00132489"/>
    <w:rsid w:val="00132DA1"/>
    <w:rsid w:val="00133716"/>
    <w:rsid w:val="00133FF7"/>
    <w:rsid w:val="00134302"/>
    <w:rsid w:val="00136010"/>
    <w:rsid w:val="001361E0"/>
    <w:rsid w:val="00136209"/>
    <w:rsid w:val="00137A6B"/>
    <w:rsid w:val="00140308"/>
    <w:rsid w:val="001415C0"/>
    <w:rsid w:val="001417C4"/>
    <w:rsid w:val="001422AC"/>
    <w:rsid w:val="001445FB"/>
    <w:rsid w:val="0014601D"/>
    <w:rsid w:val="001470A9"/>
    <w:rsid w:val="00150CDC"/>
    <w:rsid w:val="00151744"/>
    <w:rsid w:val="00152630"/>
    <w:rsid w:val="0015282B"/>
    <w:rsid w:val="00152AAD"/>
    <w:rsid w:val="00152C2C"/>
    <w:rsid w:val="00152D02"/>
    <w:rsid w:val="00153A07"/>
    <w:rsid w:val="00153D8B"/>
    <w:rsid w:val="00153E27"/>
    <w:rsid w:val="00153EE2"/>
    <w:rsid w:val="00153FB4"/>
    <w:rsid w:val="00154AEF"/>
    <w:rsid w:val="00154CFA"/>
    <w:rsid w:val="0015594C"/>
    <w:rsid w:val="00155BC3"/>
    <w:rsid w:val="00155C70"/>
    <w:rsid w:val="001563E9"/>
    <w:rsid w:val="00156480"/>
    <w:rsid w:val="00156495"/>
    <w:rsid w:val="0015685F"/>
    <w:rsid w:val="00156A02"/>
    <w:rsid w:val="00156A93"/>
    <w:rsid w:val="00157CD9"/>
    <w:rsid w:val="0016076D"/>
    <w:rsid w:val="00161673"/>
    <w:rsid w:val="00161AF5"/>
    <w:rsid w:val="00161FC4"/>
    <w:rsid w:val="001625D8"/>
    <w:rsid w:val="0016278C"/>
    <w:rsid w:val="00162961"/>
    <w:rsid w:val="001634D1"/>
    <w:rsid w:val="00163E18"/>
    <w:rsid w:val="00163E36"/>
    <w:rsid w:val="0016451D"/>
    <w:rsid w:val="00164A5E"/>
    <w:rsid w:val="0016553D"/>
    <w:rsid w:val="0016569B"/>
    <w:rsid w:val="00166155"/>
    <w:rsid w:val="00166470"/>
    <w:rsid w:val="00166D41"/>
    <w:rsid w:val="00167D7A"/>
    <w:rsid w:val="00170592"/>
    <w:rsid w:val="001705A7"/>
    <w:rsid w:val="00170FCC"/>
    <w:rsid w:val="00171043"/>
    <w:rsid w:val="001718B4"/>
    <w:rsid w:val="001721B9"/>
    <w:rsid w:val="00172EC3"/>
    <w:rsid w:val="00173872"/>
    <w:rsid w:val="00174614"/>
    <w:rsid w:val="00175CC8"/>
    <w:rsid w:val="001769DA"/>
    <w:rsid w:val="00177023"/>
    <w:rsid w:val="00177E65"/>
    <w:rsid w:val="00181A40"/>
    <w:rsid w:val="00181D82"/>
    <w:rsid w:val="00182A7A"/>
    <w:rsid w:val="00183048"/>
    <w:rsid w:val="001836AD"/>
    <w:rsid w:val="0018396E"/>
    <w:rsid w:val="00183D97"/>
    <w:rsid w:val="00183E4A"/>
    <w:rsid w:val="00184C5F"/>
    <w:rsid w:val="00184DAB"/>
    <w:rsid w:val="00184F18"/>
    <w:rsid w:val="00185403"/>
    <w:rsid w:val="00185AE6"/>
    <w:rsid w:val="001861AF"/>
    <w:rsid w:val="001901BC"/>
    <w:rsid w:val="0019045E"/>
    <w:rsid w:val="00190A48"/>
    <w:rsid w:val="0019139E"/>
    <w:rsid w:val="00191E74"/>
    <w:rsid w:val="001930AD"/>
    <w:rsid w:val="00193373"/>
    <w:rsid w:val="00193975"/>
    <w:rsid w:val="00194949"/>
    <w:rsid w:val="00196777"/>
    <w:rsid w:val="00196880"/>
    <w:rsid w:val="00196A4B"/>
    <w:rsid w:val="00196F74"/>
    <w:rsid w:val="001A003B"/>
    <w:rsid w:val="001A0934"/>
    <w:rsid w:val="001A102D"/>
    <w:rsid w:val="001A165B"/>
    <w:rsid w:val="001A2010"/>
    <w:rsid w:val="001A2171"/>
    <w:rsid w:val="001A227B"/>
    <w:rsid w:val="001A251E"/>
    <w:rsid w:val="001A29EA"/>
    <w:rsid w:val="001A514B"/>
    <w:rsid w:val="001A59E1"/>
    <w:rsid w:val="001A5B0A"/>
    <w:rsid w:val="001A5BF5"/>
    <w:rsid w:val="001A5ED2"/>
    <w:rsid w:val="001A7E65"/>
    <w:rsid w:val="001A7FF8"/>
    <w:rsid w:val="001B102C"/>
    <w:rsid w:val="001B10BE"/>
    <w:rsid w:val="001B10CE"/>
    <w:rsid w:val="001B1437"/>
    <w:rsid w:val="001B2B96"/>
    <w:rsid w:val="001B32C3"/>
    <w:rsid w:val="001B39D7"/>
    <w:rsid w:val="001B3FFD"/>
    <w:rsid w:val="001B4063"/>
    <w:rsid w:val="001B4321"/>
    <w:rsid w:val="001B45AA"/>
    <w:rsid w:val="001B481A"/>
    <w:rsid w:val="001B55EE"/>
    <w:rsid w:val="001B7216"/>
    <w:rsid w:val="001B7777"/>
    <w:rsid w:val="001C0588"/>
    <w:rsid w:val="001C0B59"/>
    <w:rsid w:val="001C0E63"/>
    <w:rsid w:val="001C1001"/>
    <w:rsid w:val="001C1262"/>
    <w:rsid w:val="001C1A40"/>
    <w:rsid w:val="001C1FE4"/>
    <w:rsid w:val="001C21B6"/>
    <w:rsid w:val="001C2798"/>
    <w:rsid w:val="001C27B4"/>
    <w:rsid w:val="001C33FB"/>
    <w:rsid w:val="001C3488"/>
    <w:rsid w:val="001C48A2"/>
    <w:rsid w:val="001C4FA9"/>
    <w:rsid w:val="001C5FD5"/>
    <w:rsid w:val="001C63BB"/>
    <w:rsid w:val="001C7793"/>
    <w:rsid w:val="001C7957"/>
    <w:rsid w:val="001D015A"/>
    <w:rsid w:val="001D01A9"/>
    <w:rsid w:val="001D0473"/>
    <w:rsid w:val="001D095B"/>
    <w:rsid w:val="001D2345"/>
    <w:rsid w:val="001D2353"/>
    <w:rsid w:val="001D475B"/>
    <w:rsid w:val="001D59A0"/>
    <w:rsid w:val="001D639B"/>
    <w:rsid w:val="001D676B"/>
    <w:rsid w:val="001E00D8"/>
    <w:rsid w:val="001E084C"/>
    <w:rsid w:val="001E1F7A"/>
    <w:rsid w:val="001E250E"/>
    <w:rsid w:val="001E388B"/>
    <w:rsid w:val="001E3B37"/>
    <w:rsid w:val="001E46FD"/>
    <w:rsid w:val="001E48EE"/>
    <w:rsid w:val="001E508E"/>
    <w:rsid w:val="001E6287"/>
    <w:rsid w:val="001E65F0"/>
    <w:rsid w:val="001E7377"/>
    <w:rsid w:val="001E79D7"/>
    <w:rsid w:val="001F2E2B"/>
    <w:rsid w:val="001F3352"/>
    <w:rsid w:val="001F3372"/>
    <w:rsid w:val="001F33E0"/>
    <w:rsid w:val="001F37DB"/>
    <w:rsid w:val="001F5133"/>
    <w:rsid w:val="002000C6"/>
    <w:rsid w:val="0020046B"/>
    <w:rsid w:val="00200827"/>
    <w:rsid w:val="00200ADA"/>
    <w:rsid w:val="00200B8E"/>
    <w:rsid w:val="002015FE"/>
    <w:rsid w:val="0020182C"/>
    <w:rsid w:val="0020276B"/>
    <w:rsid w:val="00202821"/>
    <w:rsid w:val="00203FAC"/>
    <w:rsid w:val="00204763"/>
    <w:rsid w:val="002055E1"/>
    <w:rsid w:val="00205D6B"/>
    <w:rsid w:val="0020741B"/>
    <w:rsid w:val="00211C24"/>
    <w:rsid w:val="00211F75"/>
    <w:rsid w:val="002121B6"/>
    <w:rsid w:val="00212683"/>
    <w:rsid w:val="0021362A"/>
    <w:rsid w:val="00215228"/>
    <w:rsid w:val="0021682F"/>
    <w:rsid w:val="00217669"/>
    <w:rsid w:val="00221BF7"/>
    <w:rsid w:val="00222133"/>
    <w:rsid w:val="00222CEE"/>
    <w:rsid w:val="0022365F"/>
    <w:rsid w:val="0022392A"/>
    <w:rsid w:val="00223BFB"/>
    <w:rsid w:val="002240FD"/>
    <w:rsid w:val="00224B65"/>
    <w:rsid w:val="00225CC2"/>
    <w:rsid w:val="00226340"/>
    <w:rsid w:val="00226FDF"/>
    <w:rsid w:val="002275D5"/>
    <w:rsid w:val="00227E33"/>
    <w:rsid w:val="00232A9F"/>
    <w:rsid w:val="00232F8D"/>
    <w:rsid w:val="002331F3"/>
    <w:rsid w:val="00233A25"/>
    <w:rsid w:val="002343E8"/>
    <w:rsid w:val="00235067"/>
    <w:rsid w:val="002352DB"/>
    <w:rsid w:val="0023632F"/>
    <w:rsid w:val="0023734E"/>
    <w:rsid w:val="00237382"/>
    <w:rsid w:val="00240106"/>
    <w:rsid w:val="0024015D"/>
    <w:rsid w:val="00240985"/>
    <w:rsid w:val="002409DC"/>
    <w:rsid w:val="00241993"/>
    <w:rsid w:val="0024200A"/>
    <w:rsid w:val="0024283C"/>
    <w:rsid w:val="00242EB5"/>
    <w:rsid w:val="00243086"/>
    <w:rsid w:val="00244B30"/>
    <w:rsid w:val="00245F68"/>
    <w:rsid w:val="00246F3F"/>
    <w:rsid w:val="002473A3"/>
    <w:rsid w:val="00247662"/>
    <w:rsid w:val="0024773A"/>
    <w:rsid w:val="00247EF0"/>
    <w:rsid w:val="00251220"/>
    <w:rsid w:val="0025227A"/>
    <w:rsid w:val="00253AC6"/>
    <w:rsid w:val="00253BE0"/>
    <w:rsid w:val="00253BE2"/>
    <w:rsid w:val="0025480B"/>
    <w:rsid w:val="00254B0F"/>
    <w:rsid w:val="00255D19"/>
    <w:rsid w:val="0025655C"/>
    <w:rsid w:val="002566F2"/>
    <w:rsid w:val="00256DDF"/>
    <w:rsid w:val="00256E3C"/>
    <w:rsid w:val="00257A60"/>
    <w:rsid w:val="002619F0"/>
    <w:rsid w:val="00261B9A"/>
    <w:rsid w:val="00262C1F"/>
    <w:rsid w:val="0026366D"/>
    <w:rsid w:val="00264E55"/>
    <w:rsid w:val="002662BC"/>
    <w:rsid w:val="0027130A"/>
    <w:rsid w:val="002720C8"/>
    <w:rsid w:val="002720F1"/>
    <w:rsid w:val="00272775"/>
    <w:rsid w:val="002735CF"/>
    <w:rsid w:val="002737C6"/>
    <w:rsid w:val="00273A44"/>
    <w:rsid w:val="00273BF8"/>
    <w:rsid w:val="00274084"/>
    <w:rsid w:val="00274899"/>
    <w:rsid w:val="00275671"/>
    <w:rsid w:val="00275906"/>
    <w:rsid w:val="002766E0"/>
    <w:rsid w:val="002772C7"/>
    <w:rsid w:val="00280B24"/>
    <w:rsid w:val="0028164A"/>
    <w:rsid w:val="00282D02"/>
    <w:rsid w:val="0028340A"/>
    <w:rsid w:val="002853BA"/>
    <w:rsid w:val="00285703"/>
    <w:rsid w:val="002859A1"/>
    <w:rsid w:val="00285B40"/>
    <w:rsid w:val="00285C41"/>
    <w:rsid w:val="00286FB8"/>
    <w:rsid w:val="00287499"/>
    <w:rsid w:val="002900C9"/>
    <w:rsid w:val="00290223"/>
    <w:rsid w:val="002904AC"/>
    <w:rsid w:val="0029091A"/>
    <w:rsid w:val="00292100"/>
    <w:rsid w:val="00292906"/>
    <w:rsid w:val="00293263"/>
    <w:rsid w:val="00293F02"/>
    <w:rsid w:val="002953F1"/>
    <w:rsid w:val="00295914"/>
    <w:rsid w:val="00295BEE"/>
    <w:rsid w:val="002978AC"/>
    <w:rsid w:val="00297DC4"/>
    <w:rsid w:val="002A0C6B"/>
    <w:rsid w:val="002A0D70"/>
    <w:rsid w:val="002A1596"/>
    <w:rsid w:val="002A18A8"/>
    <w:rsid w:val="002A2038"/>
    <w:rsid w:val="002A2DF0"/>
    <w:rsid w:val="002A3979"/>
    <w:rsid w:val="002A3B80"/>
    <w:rsid w:val="002A4B72"/>
    <w:rsid w:val="002A4BC9"/>
    <w:rsid w:val="002A6D63"/>
    <w:rsid w:val="002B1252"/>
    <w:rsid w:val="002B13A3"/>
    <w:rsid w:val="002B16EE"/>
    <w:rsid w:val="002B1F4B"/>
    <w:rsid w:val="002B27C7"/>
    <w:rsid w:val="002B2D16"/>
    <w:rsid w:val="002B2FFA"/>
    <w:rsid w:val="002B3524"/>
    <w:rsid w:val="002B4CFA"/>
    <w:rsid w:val="002B4FC7"/>
    <w:rsid w:val="002B64D5"/>
    <w:rsid w:val="002B6698"/>
    <w:rsid w:val="002B6DDF"/>
    <w:rsid w:val="002B712D"/>
    <w:rsid w:val="002B72A6"/>
    <w:rsid w:val="002B792E"/>
    <w:rsid w:val="002C02AE"/>
    <w:rsid w:val="002C1315"/>
    <w:rsid w:val="002C1CF0"/>
    <w:rsid w:val="002C1FA4"/>
    <w:rsid w:val="002C2F75"/>
    <w:rsid w:val="002C61DE"/>
    <w:rsid w:val="002C6811"/>
    <w:rsid w:val="002C7693"/>
    <w:rsid w:val="002D096C"/>
    <w:rsid w:val="002D1327"/>
    <w:rsid w:val="002D1FEF"/>
    <w:rsid w:val="002D36E6"/>
    <w:rsid w:val="002D37F2"/>
    <w:rsid w:val="002D4421"/>
    <w:rsid w:val="002D4AD6"/>
    <w:rsid w:val="002D4AE0"/>
    <w:rsid w:val="002D533A"/>
    <w:rsid w:val="002D5404"/>
    <w:rsid w:val="002D5A6F"/>
    <w:rsid w:val="002D6286"/>
    <w:rsid w:val="002D65D3"/>
    <w:rsid w:val="002D6B4D"/>
    <w:rsid w:val="002D70AC"/>
    <w:rsid w:val="002D7174"/>
    <w:rsid w:val="002D742E"/>
    <w:rsid w:val="002D7E6B"/>
    <w:rsid w:val="002E059F"/>
    <w:rsid w:val="002E0643"/>
    <w:rsid w:val="002E0BF1"/>
    <w:rsid w:val="002E17CD"/>
    <w:rsid w:val="002E2436"/>
    <w:rsid w:val="002E3039"/>
    <w:rsid w:val="002E368C"/>
    <w:rsid w:val="002E49C2"/>
    <w:rsid w:val="002E534C"/>
    <w:rsid w:val="002E5D04"/>
    <w:rsid w:val="002E64DF"/>
    <w:rsid w:val="002F10F7"/>
    <w:rsid w:val="002F134E"/>
    <w:rsid w:val="002F236C"/>
    <w:rsid w:val="002F315C"/>
    <w:rsid w:val="002F31EE"/>
    <w:rsid w:val="002F3242"/>
    <w:rsid w:val="002F43CC"/>
    <w:rsid w:val="002F4EE2"/>
    <w:rsid w:val="002F4FAF"/>
    <w:rsid w:val="002F554E"/>
    <w:rsid w:val="002F5D61"/>
    <w:rsid w:val="002F6746"/>
    <w:rsid w:val="002F6AFB"/>
    <w:rsid w:val="00300E63"/>
    <w:rsid w:val="00301578"/>
    <w:rsid w:val="003016F1"/>
    <w:rsid w:val="00301D74"/>
    <w:rsid w:val="00301F51"/>
    <w:rsid w:val="00302B7A"/>
    <w:rsid w:val="0030387A"/>
    <w:rsid w:val="00303C30"/>
    <w:rsid w:val="00304301"/>
    <w:rsid w:val="0030502D"/>
    <w:rsid w:val="00305A13"/>
    <w:rsid w:val="003060A0"/>
    <w:rsid w:val="00306307"/>
    <w:rsid w:val="00306748"/>
    <w:rsid w:val="003078B4"/>
    <w:rsid w:val="00307C43"/>
    <w:rsid w:val="00307E8C"/>
    <w:rsid w:val="00307ED2"/>
    <w:rsid w:val="003102AF"/>
    <w:rsid w:val="00310401"/>
    <w:rsid w:val="003109AC"/>
    <w:rsid w:val="00310B14"/>
    <w:rsid w:val="003112D2"/>
    <w:rsid w:val="00312912"/>
    <w:rsid w:val="00314FD8"/>
    <w:rsid w:val="0031504D"/>
    <w:rsid w:val="00316517"/>
    <w:rsid w:val="00316E96"/>
    <w:rsid w:val="00317BFF"/>
    <w:rsid w:val="00317F49"/>
    <w:rsid w:val="003202CA"/>
    <w:rsid w:val="0032089F"/>
    <w:rsid w:val="003219B8"/>
    <w:rsid w:val="00321C4F"/>
    <w:rsid w:val="003220AB"/>
    <w:rsid w:val="00322E21"/>
    <w:rsid w:val="00322EB4"/>
    <w:rsid w:val="00323A75"/>
    <w:rsid w:val="00323E50"/>
    <w:rsid w:val="003255F8"/>
    <w:rsid w:val="003277C8"/>
    <w:rsid w:val="00327EF6"/>
    <w:rsid w:val="00331B92"/>
    <w:rsid w:val="00331F07"/>
    <w:rsid w:val="00332BD0"/>
    <w:rsid w:val="0033405D"/>
    <w:rsid w:val="00334B35"/>
    <w:rsid w:val="00334BC1"/>
    <w:rsid w:val="00335677"/>
    <w:rsid w:val="00337895"/>
    <w:rsid w:val="00337CDE"/>
    <w:rsid w:val="00340578"/>
    <w:rsid w:val="0034095E"/>
    <w:rsid w:val="0034110C"/>
    <w:rsid w:val="00341E13"/>
    <w:rsid w:val="00342D9A"/>
    <w:rsid w:val="0034352E"/>
    <w:rsid w:val="00343765"/>
    <w:rsid w:val="00345205"/>
    <w:rsid w:val="00345431"/>
    <w:rsid w:val="00345869"/>
    <w:rsid w:val="00346373"/>
    <w:rsid w:val="00346E25"/>
    <w:rsid w:val="00350619"/>
    <w:rsid w:val="00350C16"/>
    <w:rsid w:val="00350C22"/>
    <w:rsid w:val="00352DEF"/>
    <w:rsid w:val="003538D2"/>
    <w:rsid w:val="00353FCF"/>
    <w:rsid w:val="00354F7C"/>
    <w:rsid w:val="00355C66"/>
    <w:rsid w:val="00356101"/>
    <w:rsid w:val="003563BC"/>
    <w:rsid w:val="003605B6"/>
    <w:rsid w:val="00360647"/>
    <w:rsid w:val="00360F52"/>
    <w:rsid w:val="003614C9"/>
    <w:rsid w:val="00362044"/>
    <w:rsid w:val="0036225A"/>
    <w:rsid w:val="003626CC"/>
    <w:rsid w:val="0036279A"/>
    <w:rsid w:val="00362AFA"/>
    <w:rsid w:val="003630AC"/>
    <w:rsid w:val="0036344C"/>
    <w:rsid w:val="003634E7"/>
    <w:rsid w:val="00363530"/>
    <w:rsid w:val="00364116"/>
    <w:rsid w:val="003647D8"/>
    <w:rsid w:val="003651FA"/>
    <w:rsid w:val="00365513"/>
    <w:rsid w:val="003661B2"/>
    <w:rsid w:val="00366D8A"/>
    <w:rsid w:val="0036757A"/>
    <w:rsid w:val="003677DE"/>
    <w:rsid w:val="003678D8"/>
    <w:rsid w:val="00367A95"/>
    <w:rsid w:val="00367C05"/>
    <w:rsid w:val="003705F7"/>
    <w:rsid w:val="0037061A"/>
    <w:rsid w:val="00370FBB"/>
    <w:rsid w:val="003712FB"/>
    <w:rsid w:val="00371797"/>
    <w:rsid w:val="00372C29"/>
    <w:rsid w:val="00373513"/>
    <w:rsid w:val="00374F38"/>
    <w:rsid w:val="00375F91"/>
    <w:rsid w:val="00375FBB"/>
    <w:rsid w:val="0037603C"/>
    <w:rsid w:val="003766AA"/>
    <w:rsid w:val="00376A69"/>
    <w:rsid w:val="0038076A"/>
    <w:rsid w:val="003814E0"/>
    <w:rsid w:val="00383396"/>
    <w:rsid w:val="00383E98"/>
    <w:rsid w:val="003844E5"/>
    <w:rsid w:val="00384741"/>
    <w:rsid w:val="00384828"/>
    <w:rsid w:val="00384C48"/>
    <w:rsid w:val="00385E65"/>
    <w:rsid w:val="00386580"/>
    <w:rsid w:val="00387950"/>
    <w:rsid w:val="00387B24"/>
    <w:rsid w:val="003905CE"/>
    <w:rsid w:val="00390D4F"/>
    <w:rsid w:val="00390FAD"/>
    <w:rsid w:val="00391267"/>
    <w:rsid w:val="00391E54"/>
    <w:rsid w:val="00391F4F"/>
    <w:rsid w:val="00393798"/>
    <w:rsid w:val="00394B0C"/>
    <w:rsid w:val="00394C96"/>
    <w:rsid w:val="00394EF1"/>
    <w:rsid w:val="00395706"/>
    <w:rsid w:val="00396F65"/>
    <w:rsid w:val="00397378"/>
    <w:rsid w:val="003975DC"/>
    <w:rsid w:val="003978E8"/>
    <w:rsid w:val="003A0B7C"/>
    <w:rsid w:val="003A0BE2"/>
    <w:rsid w:val="003A1235"/>
    <w:rsid w:val="003A29E6"/>
    <w:rsid w:val="003A378C"/>
    <w:rsid w:val="003A38C8"/>
    <w:rsid w:val="003A4675"/>
    <w:rsid w:val="003A5905"/>
    <w:rsid w:val="003A5921"/>
    <w:rsid w:val="003B0450"/>
    <w:rsid w:val="003B065D"/>
    <w:rsid w:val="003B0CC7"/>
    <w:rsid w:val="003B0F75"/>
    <w:rsid w:val="003B12E1"/>
    <w:rsid w:val="003B3996"/>
    <w:rsid w:val="003B45E0"/>
    <w:rsid w:val="003B606B"/>
    <w:rsid w:val="003B623D"/>
    <w:rsid w:val="003B6487"/>
    <w:rsid w:val="003B66BB"/>
    <w:rsid w:val="003B66CC"/>
    <w:rsid w:val="003B6AAD"/>
    <w:rsid w:val="003B6F27"/>
    <w:rsid w:val="003B7298"/>
    <w:rsid w:val="003B7B98"/>
    <w:rsid w:val="003C291F"/>
    <w:rsid w:val="003C2E21"/>
    <w:rsid w:val="003C3695"/>
    <w:rsid w:val="003C37A4"/>
    <w:rsid w:val="003C3E7D"/>
    <w:rsid w:val="003C4DB8"/>
    <w:rsid w:val="003C676D"/>
    <w:rsid w:val="003C6C2C"/>
    <w:rsid w:val="003C7971"/>
    <w:rsid w:val="003C7EE9"/>
    <w:rsid w:val="003D0241"/>
    <w:rsid w:val="003D0D13"/>
    <w:rsid w:val="003D1354"/>
    <w:rsid w:val="003D4882"/>
    <w:rsid w:val="003D792E"/>
    <w:rsid w:val="003D7F20"/>
    <w:rsid w:val="003E019C"/>
    <w:rsid w:val="003E102C"/>
    <w:rsid w:val="003E2A10"/>
    <w:rsid w:val="003E2AAA"/>
    <w:rsid w:val="003E410A"/>
    <w:rsid w:val="003E4B61"/>
    <w:rsid w:val="003E5218"/>
    <w:rsid w:val="003E5CC4"/>
    <w:rsid w:val="003E657F"/>
    <w:rsid w:val="003E65D1"/>
    <w:rsid w:val="003E6870"/>
    <w:rsid w:val="003E6BA3"/>
    <w:rsid w:val="003F00F0"/>
    <w:rsid w:val="003F0A96"/>
    <w:rsid w:val="003F1354"/>
    <w:rsid w:val="003F1495"/>
    <w:rsid w:val="003F29DA"/>
    <w:rsid w:val="003F3887"/>
    <w:rsid w:val="003F3966"/>
    <w:rsid w:val="003F3DA6"/>
    <w:rsid w:val="003F42BB"/>
    <w:rsid w:val="003F4604"/>
    <w:rsid w:val="003F4B69"/>
    <w:rsid w:val="003F4E18"/>
    <w:rsid w:val="003F59C7"/>
    <w:rsid w:val="003F6497"/>
    <w:rsid w:val="003F7034"/>
    <w:rsid w:val="003F7BCE"/>
    <w:rsid w:val="0040016B"/>
    <w:rsid w:val="004002C1"/>
    <w:rsid w:val="00401701"/>
    <w:rsid w:val="00402DD4"/>
    <w:rsid w:val="004031EC"/>
    <w:rsid w:val="004032C6"/>
    <w:rsid w:val="004039BC"/>
    <w:rsid w:val="004042B4"/>
    <w:rsid w:val="004046DB"/>
    <w:rsid w:val="00406ADD"/>
    <w:rsid w:val="004072AE"/>
    <w:rsid w:val="004111B1"/>
    <w:rsid w:val="004118DB"/>
    <w:rsid w:val="00411A0E"/>
    <w:rsid w:val="00411D74"/>
    <w:rsid w:val="00412979"/>
    <w:rsid w:val="00412CDA"/>
    <w:rsid w:val="004135CB"/>
    <w:rsid w:val="004136BA"/>
    <w:rsid w:val="00413C44"/>
    <w:rsid w:val="00414795"/>
    <w:rsid w:val="00414CAE"/>
    <w:rsid w:val="00415809"/>
    <w:rsid w:val="00415FAC"/>
    <w:rsid w:val="004169CD"/>
    <w:rsid w:val="00416BF4"/>
    <w:rsid w:val="00417E81"/>
    <w:rsid w:val="00420786"/>
    <w:rsid w:val="00420CBE"/>
    <w:rsid w:val="004227EF"/>
    <w:rsid w:val="00422B28"/>
    <w:rsid w:val="00422E74"/>
    <w:rsid w:val="00425D9E"/>
    <w:rsid w:val="004264DD"/>
    <w:rsid w:val="00426828"/>
    <w:rsid w:val="004275A0"/>
    <w:rsid w:val="004275BA"/>
    <w:rsid w:val="0042780D"/>
    <w:rsid w:val="00430AB1"/>
    <w:rsid w:val="00431F3B"/>
    <w:rsid w:val="00432309"/>
    <w:rsid w:val="00432448"/>
    <w:rsid w:val="0043262A"/>
    <w:rsid w:val="004331D7"/>
    <w:rsid w:val="00433926"/>
    <w:rsid w:val="00435B59"/>
    <w:rsid w:val="00435CCE"/>
    <w:rsid w:val="00437AF3"/>
    <w:rsid w:val="004405B9"/>
    <w:rsid w:val="00440E05"/>
    <w:rsid w:val="004416D9"/>
    <w:rsid w:val="00441BE7"/>
    <w:rsid w:val="004433A7"/>
    <w:rsid w:val="004439D9"/>
    <w:rsid w:val="00443E0A"/>
    <w:rsid w:val="00443FF6"/>
    <w:rsid w:val="00444C63"/>
    <w:rsid w:val="00444F5D"/>
    <w:rsid w:val="0044504D"/>
    <w:rsid w:val="00445131"/>
    <w:rsid w:val="00445483"/>
    <w:rsid w:val="00445887"/>
    <w:rsid w:val="004458DB"/>
    <w:rsid w:val="00445ACD"/>
    <w:rsid w:val="00445AF8"/>
    <w:rsid w:val="00445CA6"/>
    <w:rsid w:val="00445E71"/>
    <w:rsid w:val="00447546"/>
    <w:rsid w:val="004514E2"/>
    <w:rsid w:val="00451909"/>
    <w:rsid w:val="00451FD3"/>
    <w:rsid w:val="00452103"/>
    <w:rsid w:val="00453560"/>
    <w:rsid w:val="00453DED"/>
    <w:rsid w:val="004541F5"/>
    <w:rsid w:val="00454440"/>
    <w:rsid w:val="00454A58"/>
    <w:rsid w:val="00454AB3"/>
    <w:rsid w:val="00454B0A"/>
    <w:rsid w:val="00454B4D"/>
    <w:rsid w:val="00454C83"/>
    <w:rsid w:val="004554E8"/>
    <w:rsid w:val="0045577E"/>
    <w:rsid w:val="00455A69"/>
    <w:rsid w:val="004568C2"/>
    <w:rsid w:val="00456EA6"/>
    <w:rsid w:val="00460A43"/>
    <w:rsid w:val="004612F1"/>
    <w:rsid w:val="00461B2D"/>
    <w:rsid w:val="00461E87"/>
    <w:rsid w:val="00463939"/>
    <w:rsid w:val="00463B2D"/>
    <w:rsid w:val="00464060"/>
    <w:rsid w:val="00464B8F"/>
    <w:rsid w:val="00465419"/>
    <w:rsid w:val="00465B38"/>
    <w:rsid w:val="00466A79"/>
    <w:rsid w:val="00467CE4"/>
    <w:rsid w:val="0047039D"/>
    <w:rsid w:val="004713B3"/>
    <w:rsid w:val="0047156B"/>
    <w:rsid w:val="0047178C"/>
    <w:rsid w:val="00471911"/>
    <w:rsid w:val="004719B6"/>
    <w:rsid w:val="00471F04"/>
    <w:rsid w:val="00473098"/>
    <w:rsid w:val="00474AD8"/>
    <w:rsid w:val="00475323"/>
    <w:rsid w:val="0048066C"/>
    <w:rsid w:val="00481002"/>
    <w:rsid w:val="004813D3"/>
    <w:rsid w:val="00482CD5"/>
    <w:rsid w:val="00483A33"/>
    <w:rsid w:val="0048400B"/>
    <w:rsid w:val="004841E9"/>
    <w:rsid w:val="00484EC3"/>
    <w:rsid w:val="0048527A"/>
    <w:rsid w:val="00485ABA"/>
    <w:rsid w:val="00485BE3"/>
    <w:rsid w:val="00486604"/>
    <w:rsid w:val="0048787B"/>
    <w:rsid w:val="00487B82"/>
    <w:rsid w:val="004912C8"/>
    <w:rsid w:val="004912D3"/>
    <w:rsid w:val="00491390"/>
    <w:rsid w:val="00491D29"/>
    <w:rsid w:val="00492886"/>
    <w:rsid w:val="00493101"/>
    <w:rsid w:val="00493A79"/>
    <w:rsid w:val="004944D9"/>
    <w:rsid w:val="004947BF"/>
    <w:rsid w:val="00494F02"/>
    <w:rsid w:val="004951E4"/>
    <w:rsid w:val="00495A27"/>
    <w:rsid w:val="00496DCB"/>
    <w:rsid w:val="00496ED2"/>
    <w:rsid w:val="00497367"/>
    <w:rsid w:val="00497596"/>
    <w:rsid w:val="004A01B1"/>
    <w:rsid w:val="004A083E"/>
    <w:rsid w:val="004A20D0"/>
    <w:rsid w:val="004A28F7"/>
    <w:rsid w:val="004A2FAD"/>
    <w:rsid w:val="004A3E16"/>
    <w:rsid w:val="004A3F27"/>
    <w:rsid w:val="004A5964"/>
    <w:rsid w:val="004A5F2C"/>
    <w:rsid w:val="004A6656"/>
    <w:rsid w:val="004A7908"/>
    <w:rsid w:val="004B15CA"/>
    <w:rsid w:val="004B32C7"/>
    <w:rsid w:val="004B3737"/>
    <w:rsid w:val="004B37F5"/>
    <w:rsid w:val="004B3D60"/>
    <w:rsid w:val="004B4BAD"/>
    <w:rsid w:val="004B6EEC"/>
    <w:rsid w:val="004B7121"/>
    <w:rsid w:val="004B7432"/>
    <w:rsid w:val="004B7744"/>
    <w:rsid w:val="004C0407"/>
    <w:rsid w:val="004C125A"/>
    <w:rsid w:val="004C1430"/>
    <w:rsid w:val="004C15FB"/>
    <w:rsid w:val="004C2209"/>
    <w:rsid w:val="004C2F5A"/>
    <w:rsid w:val="004C323D"/>
    <w:rsid w:val="004C4BB2"/>
    <w:rsid w:val="004C4C33"/>
    <w:rsid w:val="004C59BF"/>
    <w:rsid w:val="004C6FD0"/>
    <w:rsid w:val="004C7840"/>
    <w:rsid w:val="004C7C60"/>
    <w:rsid w:val="004D183C"/>
    <w:rsid w:val="004D22AA"/>
    <w:rsid w:val="004D2BF9"/>
    <w:rsid w:val="004D30D2"/>
    <w:rsid w:val="004D33E4"/>
    <w:rsid w:val="004D3D4C"/>
    <w:rsid w:val="004D4296"/>
    <w:rsid w:val="004D4872"/>
    <w:rsid w:val="004D50FF"/>
    <w:rsid w:val="004D56E3"/>
    <w:rsid w:val="004D5869"/>
    <w:rsid w:val="004D5E47"/>
    <w:rsid w:val="004D634C"/>
    <w:rsid w:val="004D6E4D"/>
    <w:rsid w:val="004D6E92"/>
    <w:rsid w:val="004D748B"/>
    <w:rsid w:val="004D75DF"/>
    <w:rsid w:val="004D760A"/>
    <w:rsid w:val="004D7AB3"/>
    <w:rsid w:val="004D7AC2"/>
    <w:rsid w:val="004E056E"/>
    <w:rsid w:val="004E0B88"/>
    <w:rsid w:val="004E4044"/>
    <w:rsid w:val="004E4121"/>
    <w:rsid w:val="004E42B0"/>
    <w:rsid w:val="004E4726"/>
    <w:rsid w:val="004E4E59"/>
    <w:rsid w:val="004F0410"/>
    <w:rsid w:val="004F054A"/>
    <w:rsid w:val="004F08D4"/>
    <w:rsid w:val="004F0A90"/>
    <w:rsid w:val="004F0B20"/>
    <w:rsid w:val="004F1EDB"/>
    <w:rsid w:val="004F2D3E"/>
    <w:rsid w:val="004F3B3D"/>
    <w:rsid w:val="004F3F9D"/>
    <w:rsid w:val="004F4887"/>
    <w:rsid w:val="004F4E44"/>
    <w:rsid w:val="004F4FCC"/>
    <w:rsid w:val="004F5194"/>
    <w:rsid w:val="004F61C8"/>
    <w:rsid w:val="004F66DC"/>
    <w:rsid w:val="004F71C7"/>
    <w:rsid w:val="004F75A8"/>
    <w:rsid w:val="00500567"/>
    <w:rsid w:val="00500E30"/>
    <w:rsid w:val="00502575"/>
    <w:rsid w:val="00503DF8"/>
    <w:rsid w:val="0050410F"/>
    <w:rsid w:val="0050455C"/>
    <w:rsid w:val="00504CC6"/>
    <w:rsid w:val="0050514F"/>
    <w:rsid w:val="0050521A"/>
    <w:rsid w:val="0050540D"/>
    <w:rsid w:val="00505540"/>
    <w:rsid w:val="005065C7"/>
    <w:rsid w:val="00512895"/>
    <w:rsid w:val="00512A34"/>
    <w:rsid w:val="00512BD1"/>
    <w:rsid w:val="00512ED5"/>
    <w:rsid w:val="00513328"/>
    <w:rsid w:val="00513B87"/>
    <w:rsid w:val="005148E1"/>
    <w:rsid w:val="00514F60"/>
    <w:rsid w:val="0051531D"/>
    <w:rsid w:val="00515B7B"/>
    <w:rsid w:val="00515F7E"/>
    <w:rsid w:val="00517753"/>
    <w:rsid w:val="005211AE"/>
    <w:rsid w:val="005222EF"/>
    <w:rsid w:val="005230E7"/>
    <w:rsid w:val="00523746"/>
    <w:rsid w:val="00523D91"/>
    <w:rsid w:val="005240F2"/>
    <w:rsid w:val="005241C4"/>
    <w:rsid w:val="0052473A"/>
    <w:rsid w:val="005256F3"/>
    <w:rsid w:val="00526603"/>
    <w:rsid w:val="0053019D"/>
    <w:rsid w:val="00530F92"/>
    <w:rsid w:val="005313DB"/>
    <w:rsid w:val="0053231B"/>
    <w:rsid w:val="00532B6C"/>
    <w:rsid w:val="00533DD4"/>
    <w:rsid w:val="00535B57"/>
    <w:rsid w:val="00535F23"/>
    <w:rsid w:val="005363EB"/>
    <w:rsid w:val="0053643A"/>
    <w:rsid w:val="005376A2"/>
    <w:rsid w:val="0053776A"/>
    <w:rsid w:val="00540056"/>
    <w:rsid w:val="00540270"/>
    <w:rsid w:val="00540919"/>
    <w:rsid w:val="005409B6"/>
    <w:rsid w:val="00540BF4"/>
    <w:rsid w:val="00541886"/>
    <w:rsid w:val="00541956"/>
    <w:rsid w:val="00542FD9"/>
    <w:rsid w:val="0054387A"/>
    <w:rsid w:val="00544D21"/>
    <w:rsid w:val="00545354"/>
    <w:rsid w:val="00545AED"/>
    <w:rsid w:val="00546B63"/>
    <w:rsid w:val="00547581"/>
    <w:rsid w:val="00550335"/>
    <w:rsid w:val="00552322"/>
    <w:rsid w:val="005528CE"/>
    <w:rsid w:val="00554520"/>
    <w:rsid w:val="0055452E"/>
    <w:rsid w:val="00554753"/>
    <w:rsid w:val="00554E0F"/>
    <w:rsid w:val="005552E3"/>
    <w:rsid w:val="00555C5C"/>
    <w:rsid w:val="0055735F"/>
    <w:rsid w:val="00557687"/>
    <w:rsid w:val="00557C66"/>
    <w:rsid w:val="00561C62"/>
    <w:rsid w:val="0056281E"/>
    <w:rsid w:val="00562DC7"/>
    <w:rsid w:val="005631EA"/>
    <w:rsid w:val="005632C0"/>
    <w:rsid w:val="005634F8"/>
    <w:rsid w:val="005639BA"/>
    <w:rsid w:val="00563A4A"/>
    <w:rsid w:val="005643EE"/>
    <w:rsid w:val="00564DEE"/>
    <w:rsid w:val="00565313"/>
    <w:rsid w:val="00565991"/>
    <w:rsid w:val="00565B90"/>
    <w:rsid w:val="00565D53"/>
    <w:rsid w:val="00566456"/>
    <w:rsid w:val="005671FD"/>
    <w:rsid w:val="00567933"/>
    <w:rsid w:val="005704EF"/>
    <w:rsid w:val="0057164D"/>
    <w:rsid w:val="005721DA"/>
    <w:rsid w:val="00572586"/>
    <w:rsid w:val="00572F81"/>
    <w:rsid w:val="00573240"/>
    <w:rsid w:val="00573E25"/>
    <w:rsid w:val="00573E63"/>
    <w:rsid w:val="00574403"/>
    <w:rsid w:val="0057449B"/>
    <w:rsid w:val="00574910"/>
    <w:rsid w:val="00575378"/>
    <w:rsid w:val="005763D0"/>
    <w:rsid w:val="00576737"/>
    <w:rsid w:val="00576FB9"/>
    <w:rsid w:val="00577B8E"/>
    <w:rsid w:val="005803D6"/>
    <w:rsid w:val="00580445"/>
    <w:rsid w:val="005805D1"/>
    <w:rsid w:val="0058092B"/>
    <w:rsid w:val="00580C3E"/>
    <w:rsid w:val="00580ED2"/>
    <w:rsid w:val="0058245B"/>
    <w:rsid w:val="00582D79"/>
    <w:rsid w:val="00583942"/>
    <w:rsid w:val="00583A15"/>
    <w:rsid w:val="00583FC4"/>
    <w:rsid w:val="0058462C"/>
    <w:rsid w:val="00584F59"/>
    <w:rsid w:val="005850B3"/>
    <w:rsid w:val="005853BE"/>
    <w:rsid w:val="00585921"/>
    <w:rsid w:val="00585CB1"/>
    <w:rsid w:val="005860B3"/>
    <w:rsid w:val="005870DD"/>
    <w:rsid w:val="00587DDB"/>
    <w:rsid w:val="00590902"/>
    <w:rsid w:val="005920F3"/>
    <w:rsid w:val="005926A5"/>
    <w:rsid w:val="00592A51"/>
    <w:rsid w:val="00592BBF"/>
    <w:rsid w:val="00593F96"/>
    <w:rsid w:val="005940C0"/>
    <w:rsid w:val="005945B2"/>
    <w:rsid w:val="0059507C"/>
    <w:rsid w:val="005953B2"/>
    <w:rsid w:val="0059551B"/>
    <w:rsid w:val="00595CED"/>
    <w:rsid w:val="005960AA"/>
    <w:rsid w:val="00596117"/>
    <w:rsid w:val="0059633E"/>
    <w:rsid w:val="00596C3E"/>
    <w:rsid w:val="005975B4"/>
    <w:rsid w:val="005A1B45"/>
    <w:rsid w:val="005A29BE"/>
    <w:rsid w:val="005A2AD4"/>
    <w:rsid w:val="005A2F61"/>
    <w:rsid w:val="005A44C8"/>
    <w:rsid w:val="005A514F"/>
    <w:rsid w:val="005A5701"/>
    <w:rsid w:val="005A68B4"/>
    <w:rsid w:val="005A738B"/>
    <w:rsid w:val="005A7676"/>
    <w:rsid w:val="005A7F8C"/>
    <w:rsid w:val="005B0795"/>
    <w:rsid w:val="005B2E55"/>
    <w:rsid w:val="005B3008"/>
    <w:rsid w:val="005B3EB8"/>
    <w:rsid w:val="005B46C4"/>
    <w:rsid w:val="005B6807"/>
    <w:rsid w:val="005C01B3"/>
    <w:rsid w:val="005C0ED8"/>
    <w:rsid w:val="005C13BA"/>
    <w:rsid w:val="005C1EAB"/>
    <w:rsid w:val="005C244B"/>
    <w:rsid w:val="005C3B52"/>
    <w:rsid w:val="005C3CCD"/>
    <w:rsid w:val="005C3CD3"/>
    <w:rsid w:val="005C4556"/>
    <w:rsid w:val="005C55E8"/>
    <w:rsid w:val="005C6063"/>
    <w:rsid w:val="005C63B0"/>
    <w:rsid w:val="005C723A"/>
    <w:rsid w:val="005D018B"/>
    <w:rsid w:val="005D063A"/>
    <w:rsid w:val="005D08B0"/>
    <w:rsid w:val="005D10CD"/>
    <w:rsid w:val="005D167C"/>
    <w:rsid w:val="005D2741"/>
    <w:rsid w:val="005D27E6"/>
    <w:rsid w:val="005D3E6C"/>
    <w:rsid w:val="005D4639"/>
    <w:rsid w:val="005D4DBB"/>
    <w:rsid w:val="005D686D"/>
    <w:rsid w:val="005D6AE7"/>
    <w:rsid w:val="005E0046"/>
    <w:rsid w:val="005E0216"/>
    <w:rsid w:val="005E0D8F"/>
    <w:rsid w:val="005E0F86"/>
    <w:rsid w:val="005E1107"/>
    <w:rsid w:val="005E239E"/>
    <w:rsid w:val="005E3052"/>
    <w:rsid w:val="005E31BB"/>
    <w:rsid w:val="005E3419"/>
    <w:rsid w:val="005E373A"/>
    <w:rsid w:val="005E42DD"/>
    <w:rsid w:val="005E46E8"/>
    <w:rsid w:val="005E50E1"/>
    <w:rsid w:val="005E5CA0"/>
    <w:rsid w:val="005E5CC1"/>
    <w:rsid w:val="005E5E89"/>
    <w:rsid w:val="005E6335"/>
    <w:rsid w:val="005E6C40"/>
    <w:rsid w:val="005E6C8D"/>
    <w:rsid w:val="005F0938"/>
    <w:rsid w:val="005F15D7"/>
    <w:rsid w:val="005F1910"/>
    <w:rsid w:val="005F1E49"/>
    <w:rsid w:val="005F2298"/>
    <w:rsid w:val="005F2A20"/>
    <w:rsid w:val="005F2C78"/>
    <w:rsid w:val="005F326B"/>
    <w:rsid w:val="005F32DA"/>
    <w:rsid w:val="005F4261"/>
    <w:rsid w:val="005F4A03"/>
    <w:rsid w:val="005F4DF0"/>
    <w:rsid w:val="005F56A6"/>
    <w:rsid w:val="005F6016"/>
    <w:rsid w:val="005F60C8"/>
    <w:rsid w:val="005F65A4"/>
    <w:rsid w:val="006009D7"/>
    <w:rsid w:val="006021BE"/>
    <w:rsid w:val="00602D85"/>
    <w:rsid w:val="006033C3"/>
    <w:rsid w:val="00603D67"/>
    <w:rsid w:val="0060443C"/>
    <w:rsid w:val="00605316"/>
    <w:rsid w:val="006059F1"/>
    <w:rsid w:val="00606AFB"/>
    <w:rsid w:val="006075CF"/>
    <w:rsid w:val="00607615"/>
    <w:rsid w:val="0060763E"/>
    <w:rsid w:val="00607A8C"/>
    <w:rsid w:val="00612449"/>
    <w:rsid w:val="0061245D"/>
    <w:rsid w:val="00615251"/>
    <w:rsid w:val="0061620B"/>
    <w:rsid w:val="006169CC"/>
    <w:rsid w:val="00617323"/>
    <w:rsid w:val="00617BAD"/>
    <w:rsid w:val="00617CCE"/>
    <w:rsid w:val="00620DC5"/>
    <w:rsid w:val="00621D95"/>
    <w:rsid w:val="0062312D"/>
    <w:rsid w:val="00623B92"/>
    <w:rsid w:val="0062499F"/>
    <w:rsid w:val="00625A4F"/>
    <w:rsid w:val="0062662F"/>
    <w:rsid w:val="006270BA"/>
    <w:rsid w:val="006304AE"/>
    <w:rsid w:val="00630BA9"/>
    <w:rsid w:val="006319A4"/>
    <w:rsid w:val="00631F41"/>
    <w:rsid w:val="00632A4C"/>
    <w:rsid w:val="006345FF"/>
    <w:rsid w:val="0063650E"/>
    <w:rsid w:val="0063664C"/>
    <w:rsid w:val="00636A89"/>
    <w:rsid w:val="0063787E"/>
    <w:rsid w:val="0063796A"/>
    <w:rsid w:val="00637ACE"/>
    <w:rsid w:val="00640CC2"/>
    <w:rsid w:val="0064105C"/>
    <w:rsid w:val="006411B5"/>
    <w:rsid w:val="006424FD"/>
    <w:rsid w:val="00642743"/>
    <w:rsid w:val="00642802"/>
    <w:rsid w:val="0064316F"/>
    <w:rsid w:val="00643200"/>
    <w:rsid w:val="00644BE2"/>
    <w:rsid w:val="00645C66"/>
    <w:rsid w:val="00646019"/>
    <w:rsid w:val="006464B9"/>
    <w:rsid w:val="00646B8A"/>
    <w:rsid w:val="006470DC"/>
    <w:rsid w:val="00647237"/>
    <w:rsid w:val="00647B17"/>
    <w:rsid w:val="006500FE"/>
    <w:rsid w:val="0065034A"/>
    <w:rsid w:val="00651CBB"/>
    <w:rsid w:val="00652419"/>
    <w:rsid w:val="00652DFE"/>
    <w:rsid w:val="00653496"/>
    <w:rsid w:val="00653CBF"/>
    <w:rsid w:val="00654D83"/>
    <w:rsid w:val="006563F4"/>
    <w:rsid w:val="00656435"/>
    <w:rsid w:val="00657428"/>
    <w:rsid w:val="00657506"/>
    <w:rsid w:val="00660156"/>
    <w:rsid w:val="00660315"/>
    <w:rsid w:val="00660A63"/>
    <w:rsid w:val="00660CC8"/>
    <w:rsid w:val="00660DE9"/>
    <w:rsid w:val="00660EA5"/>
    <w:rsid w:val="00662A71"/>
    <w:rsid w:val="00662CCC"/>
    <w:rsid w:val="006636B6"/>
    <w:rsid w:val="00664399"/>
    <w:rsid w:val="006643D6"/>
    <w:rsid w:val="006655E0"/>
    <w:rsid w:val="00665BB1"/>
    <w:rsid w:val="00665D5B"/>
    <w:rsid w:val="00666D22"/>
    <w:rsid w:val="00667B0E"/>
    <w:rsid w:val="00667BA2"/>
    <w:rsid w:val="0067046B"/>
    <w:rsid w:val="0067056A"/>
    <w:rsid w:val="006719A1"/>
    <w:rsid w:val="00671F99"/>
    <w:rsid w:val="0067228A"/>
    <w:rsid w:val="00672343"/>
    <w:rsid w:val="00673B16"/>
    <w:rsid w:val="00674288"/>
    <w:rsid w:val="0067429C"/>
    <w:rsid w:val="006744C8"/>
    <w:rsid w:val="006748F4"/>
    <w:rsid w:val="00674D43"/>
    <w:rsid w:val="006767C7"/>
    <w:rsid w:val="00677355"/>
    <w:rsid w:val="00677400"/>
    <w:rsid w:val="00677BE9"/>
    <w:rsid w:val="00680399"/>
    <w:rsid w:val="00680528"/>
    <w:rsid w:val="00680BE1"/>
    <w:rsid w:val="00681317"/>
    <w:rsid w:val="006818D2"/>
    <w:rsid w:val="00681ED1"/>
    <w:rsid w:val="006820BE"/>
    <w:rsid w:val="00683761"/>
    <w:rsid w:val="006838B7"/>
    <w:rsid w:val="00684A0A"/>
    <w:rsid w:val="00684C36"/>
    <w:rsid w:val="006850CA"/>
    <w:rsid w:val="0068545C"/>
    <w:rsid w:val="006870C9"/>
    <w:rsid w:val="006921B7"/>
    <w:rsid w:val="006929D3"/>
    <w:rsid w:val="00693177"/>
    <w:rsid w:val="0069337B"/>
    <w:rsid w:val="006935D2"/>
    <w:rsid w:val="00695F1A"/>
    <w:rsid w:val="00696096"/>
    <w:rsid w:val="00696512"/>
    <w:rsid w:val="00697D11"/>
    <w:rsid w:val="006A130B"/>
    <w:rsid w:val="006A31A4"/>
    <w:rsid w:val="006A3BB3"/>
    <w:rsid w:val="006A3E02"/>
    <w:rsid w:val="006A64F2"/>
    <w:rsid w:val="006A69B4"/>
    <w:rsid w:val="006A6C41"/>
    <w:rsid w:val="006A700B"/>
    <w:rsid w:val="006A7066"/>
    <w:rsid w:val="006A7554"/>
    <w:rsid w:val="006A780F"/>
    <w:rsid w:val="006A7CC8"/>
    <w:rsid w:val="006B0E85"/>
    <w:rsid w:val="006B1795"/>
    <w:rsid w:val="006B192E"/>
    <w:rsid w:val="006B1ADC"/>
    <w:rsid w:val="006B269F"/>
    <w:rsid w:val="006B43E5"/>
    <w:rsid w:val="006B4618"/>
    <w:rsid w:val="006B528C"/>
    <w:rsid w:val="006B534B"/>
    <w:rsid w:val="006B58D5"/>
    <w:rsid w:val="006B5C6B"/>
    <w:rsid w:val="006B66AF"/>
    <w:rsid w:val="006B672A"/>
    <w:rsid w:val="006B79A1"/>
    <w:rsid w:val="006C0BA9"/>
    <w:rsid w:val="006C10A9"/>
    <w:rsid w:val="006C19F9"/>
    <w:rsid w:val="006C29FD"/>
    <w:rsid w:val="006C2B10"/>
    <w:rsid w:val="006C2B9E"/>
    <w:rsid w:val="006C3304"/>
    <w:rsid w:val="006C3655"/>
    <w:rsid w:val="006C3B68"/>
    <w:rsid w:val="006C4E33"/>
    <w:rsid w:val="006C5488"/>
    <w:rsid w:val="006C6674"/>
    <w:rsid w:val="006C6D45"/>
    <w:rsid w:val="006C79C9"/>
    <w:rsid w:val="006C7D78"/>
    <w:rsid w:val="006D01E0"/>
    <w:rsid w:val="006D1903"/>
    <w:rsid w:val="006D32C3"/>
    <w:rsid w:val="006D49CA"/>
    <w:rsid w:val="006D4C69"/>
    <w:rsid w:val="006D52C9"/>
    <w:rsid w:val="006D5433"/>
    <w:rsid w:val="006D5C03"/>
    <w:rsid w:val="006D5F6D"/>
    <w:rsid w:val="006D66C9"/>
    <w:rsid w:val="006E1278"/>
    <w:rsid w:val="006E23E7"/>
    <w:rsid w:val="006E2F11"/>
    <w:rsid w:val="006E3B20"/>
    <w:rsid w:val="006E4542"/>
    <w:rsid w:val="006E50ED"/>
    <w:rsid w:val="006E519D"/>
    <w:rsid w:val="006E6463"/>
    <w:rsid w:val="006E6AAE"/>
    <w:rsid w:val="006E7562"/>
    <w:rsid w:val="006F06FC"/>
    <w:rsid w:val="006F29AA"/>
    <w:rsid w:val="006F3393"/>
    <w:rsid w:val="006F356A"/>
    <w:rsid w:val="006F360A"/>
    <w:rsid w:val="006F3884"/>
    <w:rsid w:val="006F3F9E"/>
    <w:rsid w:val="006F6155"/>
    <w:rsid w:val="006F6880"/>
    <w:rsid w:val="006F7D5E"/>
    <w:rsid w:val="006F7E58"/>
    <w:rsid w:val="006F7E9C"/>
    <w:rsid w:val="007013EB"/>
    <w:rsid w:val="00702666"/>
    <w:rsid w:val="007029F2"/>
    <w:rsid w:val="00702C63"/>
    <w:rsid w:val="00703167"/>
    <w:rsid w:val="00704585"/>
    <w:rsid w:val="00704C37"/>
    <w:rsid w:val="00705349"/>
    <w:rsid w:val="00705494"/>
    <w:rsid w:val="00705892"/>
    <w:rsid w:val="007058FB"/>
    <w:rsid w:val="00705945"/>
    <w:rsid w:val="00705ECA"/>
    <w:rsid w:val="0070739A"/>
    <w:rsid w:val="007074C8"/>
    <w:rsid w:val="00710766"/>
    <w:rsid w:val="00710C92"/>
    <w:rsid w:val="00710EEC"/>
    <w:rsid w:val="0071100E"/>
    <w:rsid w:val="00711C55"/>
    <w:rsid w:val="00711FF3"/>
    <w:rsid w:val="007134E7"/>
    <w:rsid w:val="00714473"/>
    <w:rsid w:val="00714AEF"/>
    <w:rsid w:val="0071536A"/>
    <w:rsid w:val="0071543F"/>
    <w:rsid w:val="0071598F"/>
    <w:rsid w:val="00715C90"/>
    <w:rsid w:val="00716805"/>
    <w:rsid w:val="00716908"/>
    <w:rsid w:val="00716B39"/>
    <w:rsid w:val="00716DD2"/>
    <w:rsid w:val="007178AB"/>
    <w:rsid w:val="00717F2E"/>
    <w:rsid w:val="00720CDD"/>
    <w:rsid w:val="00721678"/>
    <w:rsid w:val="00722954"/>
    <w:rsid w:val="00723067"/>
    <w:rsid w:val="007232ED"/>
    <w:rsid w:val="0072341E"/>
    <w:rsid w:val="00723DEA"/>
    <w:rsid w:val="00724109"/>
    <w:rsid w:val="007241EB"/>
    <w:rsid w:val="007255F6"/>
    <w:rsid w:val="0072577B"/>
    <w:rsid w:val="00725809"/>
    <w:rsid w:val="00726D17"/>
    <w:rsid w:val="00726E4F"/>
    <w:rsid w:val="0072700C"/>
    <w:rsid w:val="007271CB"/>
    <w:rsid w:val="00727529"/>
    <w:rsid w:val="007306DA"/>
    <w:rsid w:val="00730B10"/>
    <w:rsid w:val="00730C4A"/>
    <w:rsid w:val="007316C1"/>
    <w:rsid w:val="00731D8A"/>
    <w:rsid w:val="00734362"/>
    <w:rsid w:val="00734BD8"/>
    <w:rsid w:val="00734C93"/>
    <w:rsid w:val="007355F3"/>
    <w:rsid w:val="007356BD"/>
    <w:rsid w:val="007368E4"/>
    <w:rsid w:val="00736C85"/>
    <w:rsid w:val="007370F0"/>
    <w:rsid w:val="00740BCA"/>
    <w:rsid w:val="00741F32"/>
    <w:rsid w:val="00742162"/>
    <w:rsid w:val="0074385D"/>
    <w:rsid w:val="00744435"/>
    <w:rsid w:val="00745B47"/>
    <w:rsid w:val="00745D30"/>
    <w:rsid w:val="0074638E"/>
    <w:rsid w:val="00746708"/>
    <w:rsid w:val="00747C9B"/>
    <w:rsid w:val="00747FEF"/>
    <w:rsid w:val="00750080"/>
    <w:rsid w:val="007513E1"/>
    <w:rsid w:val="00753A68"/>
    <w:rsid w:val="007544E8"/>
    <w:rsid w:val="00754EA0"/>
    <w:rsid w:val="00754FF4"/>
    <w:rsid w:val="0075522A"/>
    <w:rsid w:val="007563B5"/>
    <w:rsid w:val="00756850"/>
    <w:rsid w:val="007569F0"/>
    <w:rsid w:val="0075734E"/>
    <w:rsid w:val="0075788A"/>
    <w:rsid w:val="0076005A"/>
    <w:rsid w:val="00761876"/>
    <w:rsid w:val="007619D4"/>
    <w:rsid w:val="00762246"/>
    <w:rsid w:val="00762A86"/>
    <w:rsid w:val="00762D6F"/>
    <w:rsid w:val="00763FC3"/>
    <w:rsid w:val="007642E7"/>
    <w:rsid w:val="00764E7F"/>
    <w:rsid w:val="00764E93"/>
    <w:rsid w:val="00765732"/>
    <w:rsid w:val="00765792"/>
    <w:rsid w:val="00766A20"/>
    <w:rsid w:val="00767011"/>
    <w:rsid w:val="00767CE2"/>
    <w:rsid w:val="00770399"/>
    <w:rsid w:val="00770423"/>
    <w:rsid w:val="0077108C"/>
    <w:rsid w:val="0077128B"/>
    <w:rsid w:val="007717DA"/>
    <w:rsid w:val="00771D8E"/>
    <w:rsid w:val="00771DE7"/>
    <w:rsid w:val="007727CD"/>
    <w:rsid w:val="00773571"/>
    <w:rsid w:val="00773A69"/>
    <w:rsid w:val="00773E70"/>
    <w:rsid w:val="007747D2"/>
    <w:rsid w:val="00776616"/>
    <w:rsid w:val="007777C1"/>
    <w:rsid w:val="007806DC"/>
    <w:rsid w:val="007821CB"/>
    <w:rsid w:val="00783362"/>
    <w:rsid w:val="00783BF1"/>
    <w:rsid w:val="007843C6"/>
    <w:rsid w:val="00784AE0"/>
    <w:rsid w:val="00785E74"/>
    <w:rsid w:val="007874EF"/>
    <w:rsid w:val="0078753D"/>
    <w:rsid w:val="0078763A"/>
    <w:rsid w:val="00790A7D"/>
    <w:rsid w:val="007927C2"/>
    <w:rsid w:val="007929BF"/>
    <w:rsid w:val="00792B5C"/>
    <w:rsid w:val="00792DF7"/>
    <w:rsid w:val="00793C1F"/>
    <w:rsid w:val="00793D33"/>
    <w:rsid w:val="007943A4"/>
    <w:rsid w:val="007944C7"/>
    <w:rsid w:val="0079454A"/>
    <w:rsid w:val="0079514F"/>
    <w:rsid w:val="00795ABF"/>
    <w:rsid w:val="00795B43"/>
    <w:rsid w:val="00796ACD"/>
    <w:rsid w:val="00796C6F"/>
    <w:rsid w:val="00797119"/>
    <w:rsid w:val="007A1A92"/>
    <w:rsid w:val="007A233E"/>
    <w:rsid w:val="007A270C"/>
    <w:rsid w:val="007A29A6"/>
    <w:rsid w:val="007A345A"/>
    <w:rsid w:val="007A38E3"/>
    <w:rsid w:val="007A3A41"/>
    <w:rsid w:val="007A4C9F"/>
    <w:rsid w:val="007A511C"/>
    <w:rsid w:val="007A5EE7"/>
    <w:rsid w:val="007A76F3"/>
    <w:rsid w:val="007A7AAB"/>
    <w:rsid w:val="007A7D0F"/>
    <w:rsid w:val="007B00F8"/>
    <w:rsid w:val="007B0B97"/>
    <w:rsid w:val="007B2EF1"/>
    <w:rsid w:val="007B3380"/>
    <w:rsid w:val="007B3F43"/>
    <w:rsid w:val="007B46C0"/>
    <w:rsid w:val="007B54C6"/>
    <w:rsid w:val="007B58CD"/>
    <w:rsid w:val="007B59E5"/>
    <w:rsid w:val="007B5E46"/>
    <w:rsid w:val="007B6170"/>
    <w:rsid w:val="007B6FDB"/>
    <w:rsid w:val="007B7570"/>
    <w:rsid w:val="007C0E5C"/>
    <w:rsid w:val="007C1A25"/>
    <w:rsid w:val="007C1AA0"/>
    <w:rsid w:val="007C23BF"/>
    <w:rsid w:val="007C2467"/>
    <w:rsid w:val="007C264B"/>
    <w:rsid w:val="007C27A1"/>
    <w:rsid w:val="007C2DAA"/>
    <w:rsid w:val="007C2DEC"/>
    <w:rsid w:val="007C5299"/>
    <w:rsid w:val="007C5BF9"/>
    <w:rsid w:val="007C5C8D"/>
    <w:rsid w:val="007C7375"/>
    <w:rsid w:val="007C7725"/>
    <w:rsid w:val="007C7E05"/>
    <w:rsid w:val="007C7E6A"/>
    <w:rsid w:val="007D2268"/>
    <w:rsid w:val="007D28EF"/>
    <w:rsid w:val="007D323C"/>
    <w:rsid w:val="007D4FC6"/>
    <w:rsid w:val="007D5647"/>
    <w:rsid w:val="007D594E"/>
    <w:rsid w:val="007D5AFB"/>
    <w:rsid w:val="007D6546"/>
    <w:rsid w:val="007D6E47"/>
    <w:rsid w:val="007D70DB"/>
    <w:rsid w:val="007D7175"/>
    <w:rsid w:val="007E1474"/>
    <w:rsid w:val="007E1AF5"/>
    <w:rsid w:val="007E1E4D"/>
    <w:rsid w:val="007E2631"/>
    <w:rsid w:val="007E3DBC"/>
    <w:rsid w:val="007E6E6E"/>
    <w:rsid w:val="007E72B9"/>
    <w:rsid w:val="007E7996"/>
    <w:rsid w:val="007F056A"/>
    <w:rsid w:val="007F11E6"/>
    <w:rsid w:val="007F18E3"/>
    <w:rsid w:val="007F1A79"/>
    <w:rsid w:val="007F28CD"/>
    <w:rsid w:val="007F2B72"/>
    <w:rsid w:val="007F2C00"/>
    <w:rsid w:val="007F329C"/>
    <w:rsid w:val="007F459E"/>
    <w:rsid w:val="007F5B45"/>
    <w:rsid w:val="007F6D7A"/>
    <w:rsid w:val="007F6EDF"/>
    <w:rsid w:val="007F6EEF"/>
    <w:rsid w:val="008014CB"/>
    <w:rsid w:val="0080237A"/>
    <w:rsid w:val="00802DED"/>
    <w:rsid w:val="00802EC3"/>
    <w:rsid w:val="00803D8A"/>
    <w:rsid w:val="008042F6"/>
    <w:rsid w:val="008043F1"/>
    <w:rsid w:val="00806E83"/>
    <w:rsid w:val="00807AA1"/>
    <w:rsid w:val="008103CF"/>
    <w:rsid w:val="00810703"/>
    <w:rsid w:val="008112A9"/>
    <w:rsid w:val="0081304A"/>
    <w:rsid w:val="00815442"/>
    <w:rsid w:val="00816472"/>
    <w:rsid w:val="00816B59"/>
    <w:rsid w:val="00816DD1"/>
    <w:rsid w:val="00820147"/>
    <w:rsid w:val="00820407"/>
    <w:rsid w:val="00821974"/>
    <w:rsid w:val="00822236"/>
    <w:rsid w:val="008225FA"/>
    <w:rsid w:val="008228C3"/>
    <w:rsid w:val="00822D01"/>
    <w:rsid w:val="008244BD"/>
    <w:rsid w:val="00827653"/>
    <w:rsid w:val="008302CE"/>
    <w:rsid w:val="00831A67"/>
    <w:rsid w:val="00832273"/>
    <w:rsid w:val="008322F6"/>
    <w:rsid w:val="00832CF3"/>
    <w:rsid w:val="00834084"/>
    <w:rsid w:val="00834971"/>
    <w:rsid w:val="008367FC"/>
    <w:rsid w:val="00837A11"/>
    <w:rsid w:val="00837F3E"/>
    <w:rsid w:val="0084020D"/>
    <w:rsid w:val="0084060E"/>
    <w:rsid w:val="008411DB"/>
    <w:rsid w:val="0084179F"/>
    <w:rsid w:val="00842E0B"/>
    <w:rsid w:val="00842E20"/>
    <w:rsid w:val="00843330"/>
    <w:rsid w:val="00844EAB"/>
    <w:rsid w:val="0084508B"/>
    <w:rsid w:val="008451B5"/>
    <w:rsid w:val="0084690C"/>
    <w:rsid w:val="00846BAB"/>
    <w:rsid w:val="00847029"/>
    <w:rsid w:val="00850FC3"/>
    <w:rsid w:val="00851A74"/>
    <w:rsid w:val="008528DE"/>
    <w:rsid w:val="00852AD4"/>
    <w:rsid w:val="00852ED8"/>
    <w:rsid w:val="00853B2E"/>
    <w:rsid w:val="008542B0"/>
    <w:rsid w:val="00854712"/>
    <w:rsid w:val="00857CFD"/>
    <w:rsid w:val="0086083E"/>
    <w:rsid w:val="00861620"/>
    <w:rsid w:val="0086270B"/>
    <w:rsid w:val="00864574"/>
    <w:rsid w:val="00864846"/>
    <w:rsid w:val="00864A0A"/>
    <w:rsid w:val="00864E53"/>
    <w:rsid w:val="00865A23"/>
    <w:rsid w:val="00865F68"/>
    <w:rsid w:val="00866CFC"/>
    <w:rsid w:val="0086724A"/>
    <w:rsid w:val="00867B30"/>
    <w:rsid w:val="00867B5F"/>
    <w:rsid w:val="00867CC0"/>
    <w:rsid w:val="00870149"/>
    <w:rsid w:val="00870547"/>
    <w:rsid w:val="00870EA7"/>
    <w:rsid w:val="00871AE7"/>
    <w:rsid w:val="008738D3"/>
    <w:rsid w:val="008740EA"/>
    <w:rsid w:val="008742B7"/>
    <w:rsid w:val="00874903"/>
    <w:rsid w:val="00875041"/>
    <w:rsid w:val="008756BA"/>
    <w:rsid w:val="00877149"/>
    <w:rsid w:val="008772A8"/>
    <w:rsid w:val="00877C0B"/>
    <w:rsid w:val="00880DEE"/>
    <w:rsid w:val="00881B27"/>
    <w:rsid w:val="00883E40"/>
    <w:rsid w:val="00884946"/>
    <w:rsid w:val="00884AE2"/>
    <w:rsid w:val="00884CA0"/>
    <w:rsid w:val="00884CBF"/>
    <w:rsid w:val="0088573C"/>
    <w:rsid w:val="00886D65"/>
    <w:rsid w:val="0088714F"/>
    <w:rsid w:val="00887803"/>
    <w:rsid w:val="00887C74"/>
    <w:rsid w:val="00890BC9"/>
    <w:rsid w:val="0089128B"/>
    <w:rsid w:val="008925F6"/>
    <w:rsid w:val="00892774"/>
    <w:rsid w:val="008932F9"/>
    <w:rsid w:val="0089471C"/>
    <w:rsid w:val="008949EA"/>
    <w:rsid w:val="00895E73"/>
    <w:rsid w:val="00896D0D"/>
    <w:rsid w:val="00897593"/>
    <w:rsid w:val="00897A60"/>
    <w:rsid w:val="008A00BF"/>
    <w:rsid w:val="008A018C"/>
    <w:rsid w:val="008A0E0B"/>
    <w:rsid w:val="008A1B4C"/>
    <w:rsid w:val="008A2743"/>
    <w:rsid w:val="008A31A3"/>
    <w:rsid w:val="008A57CE"/>
    <w:rsid w:val="008A5FD4"/>
    <w:rsid w:val="008A65C3"/>
    <w:rsid w:val="008A6BCF"/>
    <w:rsid w:val="008A6BDE"/>
    <w:rsid w:val="008A6D04"/>
    <w:rsid w:val="008A7088"/>
    <w:rsid w:val="008A77D6"/>
    <w:rsid w:val="008B07B7"/>
    <w:rsid w:val="008B0882"/>
    <w:rsid w:val="008B0C7C"/>
    <w:rsid w:val="008B1A55"/>
    <w:rsid w:val="008B1F2E"/>
    <w:rsid w:val="008B2D61"/>
    <w:rsid w:val="008B35DA"/>
    <w:rsid w:val="008B4020"/>
    <w:rsid w:val="008B409A"/>
    <w:rsid w:val="008B4D65"/>
    <w:rsid w:val="008B513F"/>
    <w:rsid w:val="008B5AC8"/>
    <w:rsid w:val="008B5C58"/>
    <w:rsid w:val="008B740A"/>
    <w:rsid w:val="008B77CB"/>
    <w:rsid w:val="008B7B9F"/>
    <w:rsid w:val="008B7D1A"/>
    <w:rsid w:val="008C0603"/>
    <w:rsid w:val="008C1A4E"/>
    <w:rsid w:val="008C1C13"/>
    <w:rsid w:val="008C241F"/>
    <w:rsid w:val="008C259E"/>
    <w:rsid w:val="008C29F4"/>
    <w:rsid w:val="008C3CC9"/>
    <w:rsid w:val="008C42B6"/>
    <w:rsid w:val="008C509E"/>
    <w:rsid w:val="008C6D70"/>
    <w:rsid w:val="008C6E40"/>
    <w:rsid w:val="008C7B06"/>
    <w:rsid w:val="008C7D72"/>
    <w:rsid w:val="008D051E"/>
    <w:rsid w:val="008D2804"/>
    <w:rsid w:val="008D3601"/>
    <w:rsid w:val="008D405E"/>
    <w:rsid w:val="008D48BF"/>
    <w:rsid w:val="008D4C37"/>
    <w:rsid w:val="008D6FBD"/>
    <w:rsid w:val="008D74CC"/>
    <w:rsid w:val="008E03CA"/>
    <w:rsid w:val="008E0DAE"/>
    <w:rsid w:val="008E127D"/>
    <w:rsid w:val="008E2F29"/>
    <w:rsid w:val="008E31BB"/>
    <w:rsid w:val="008E406A"/>
    <w:rsid w:val="008E4674"/>
    <w:rsid w:val="008E5025"/>
    <w:rsid w:val="008E645E"/>
    <w:rsid w:val="008E68B6"/>
    <w:rsid w:val="008E77EC"/>
    <w:rsid w:val="008F014C"/>
    <w:rsid w:val="008F03D2"/>
    <w:rsid w:val="008F0653"/>
    <w:rsid w:val="008F0975"/>
    <w:rsid w:val="008F1DA8"/>
    <w:rsid w:val="008F21A4"/>
    <w:rsid w:val="008F3074"/>
    <w:rsid w:val="008F3BA9"/>
    <w:rsid w:val="008F3EE6"/>
    <w:rsid w:val="008F4484"/>
    <w:rsid w:val="008F50FF"/>
    <w:rsid w:val="008F599F"/>
    <w:rsid w:val="008F5A7E"/>
    <w:rsid w:val="008F5D2D"/>
    <w:rsid w:val="008F6566"/>
    <w:rsid w:val="008F719E"/>
    <w:rsid w:val="008F7398"/>
    <w:rsid w:val="008F7522"/>
    <w:rsid w:val="008F7F36"/>
    <w:rsid w:val="0090050F"/>
    <w:rsid w:val="009013EF"/>
    <w:rsid w:val="00901555"/>
    <w:rsid w:val="00901BAC"/>
    <w:rsid w:val="00902129"/>
    <w:rsid w:val="0090272A"/>
    <w:rsid w:val="009030DD"/>
    <w:rsid w:val="009033B3"/>
    <w:rsid w:val="00903EBA"/>
    <w:rsid w:val="00903F97"/>
    <w:rsid w:val="00904038"/>
    <w:rsid w:val="00904FF6"/>
    <w:rsid w:val="00906B8D"/>
    <w:rsid w:val="00906F4A"/>
    <w:rsid w:val="00907553"/>
    <w:rsid w:val="00907B5D"/>
    <w:rsid w:val="00907D65"/>
    <w:rsid w:val="00910E8D"/>
    <w:rsid w:val="00910FF6"/>
    <w:rsid w:val="00911962"/>
    <w:rsid w:val="00912468"/>
    <w:rsid w:val="00912522"/>
    <w:rsid w:val="00913530"/>
    <w:rsid w:val="009137CA"/>
    <w:rsid w:val="00913B28"/>
    <w:rsid w:val="00913B7E"/>
    <w:rsid w:val="00914255"/>
    <w:rsid w:val="0091443A"/>
    <w:rsid w:val="0091452A"/>
    <w:rsid w:val="00915D62"/>
    <w:rsid w:val="00916199"/>
    <w:rsid w:val="00916262"/>
    <w:rsid w:val="00916E5A"/>
    <w:rsid w:val="00917E6D"/>
    <w:rsid w:val="0092070D"/>
    <w:rsid w:val="00922241"/>
    <w:rsid w:val="009236E9"/>
    <w:rsid w:val="00923914"/>
    <w:rsid w:val="0092401E"/>
    <w:rsid w:val="00924439"/>
    <w:rsid w:val="009244D4"/>
    <w:rsid w:val="009249A1"/>
    <w:rsid w:val="00924DB6"/>
    <w:rsid w:val="009259C6"/>
    <w:rsid w:val="00925B3C"/>
    <w:rsid w:val="00926098"/>
    <w:rsid w:val="0092658C"/>
    <w:rsid w:val="009266EA"/>
    <w:rsid w:val="00926807"/>
    <w:rsid w:val="00926B97"/>
    <w:rsid w:val="00926CDD"/>
    <w:rsid w:val="009270CA"/>
    <w:rsid w:val="00927545"/>
    <w:rsid w:val="00932B86"/>
    <w:rsid w:val="0093353C"/>
    <w:rsid w:val="00934833"/>
    <w:rsid w:val="00934F3F"/>
    <w:rsid w:val="009350B3"/>
    <w:rsid w:val="009353E0"/>
    <w:rsid w:val="00935DF7"/>
    <w:rsid w:val="00940C6F"/>
    <w:rsid w:val="009417BD"/>
    <w:rsid w:val="009427F2"/>
    <w:rsid w:val="00942B7D"/>
    <w:rsid w:val="0094330C"/>
    <w:rsid w:val="0094335B"/>
    <w:rsid w:val="009434D2"/>
    <w:rsid w:val="00944016"/>
    <w:rsid w:val="00945307"/>
    <w:rsid w:val="00945665"/>
    <w:rsid w:val="009464ED"/>
    <w:rsid w:val="00946F2A"/>
    <w:rsid w:val="00947498"/>
    <w:rsid w:val="00947734"/>
    <w:rsid w:val="0094778D"/>
    <w:rsid w:val="009504D7"/>
    <w:rsid w:val="0095091E"/>
    <w:rsid w:val="00952A3D"/>
    <w:rsid w:val="00952C48"/>
    <w:rsid w:val="009539D0"/>
    <w:rsid w:val="00953C3F"/>
    <w:rsid w:val="00953CBB"/>
    <w:rsid w:val="00954DF6"/>
    <w:rsid w:val="0095554D"/>
    <w:rsid w:val="00956195"/>
    <w:rsid w:val="0095627D"/>
    <w:rsid w:val="0095670C"/>
    <w:rsid w:val="00956CA0"/>
    <w:rsid w:val="009573FA"/>
    <w:rsid w:val="00957AD0"/>
    <w:rsid w:val="00957D5A"/>
    <w:rsid w:val="00957FCA"/>
    <w:rsid w:val="00960B15"/>
    <w:rsid w:val="0096182F"/>
    <w:rsid w:val="0096273B"/>
    <w:rsid w:val="00962BD6"/>
    <w:rsid w:val="00963317"/>
    <w:rsid w:val="00963AA8"/>
    <w:rsid w:val="00963ABF"/>
    <w:rsid w:val="00963C2D"/>
    <w:rsid w:val="00964500"/>
    <w:rsid w:val="00964732"/>
    <w:rsid w:val="00964BD0"/>
    <w:rsid w:val="009652C0"/>
    <w:rsid w:val="009655ED"/>
    <w:rsid w:val="009670C5"/>
    <w:rsid w:val="0096755F"/>
    <w:rsid w:val="00970306"/>
    <w:rsid w:val="00970484"/>
    <w:rsid w:val="0097058E"/>
    <w:rsid w:val="009714D9"/>
    <w:rsid w:val="009718DD"/>
    <w:rsid w:val="00971ACD"/>
    <w:rsid w:val="00971CE6"/>
    <w:rsid w:val="00972880"/>
    <w:rsid w:val="0097316F"/>
    <w:rsid w:val="00973D06"/>
    <w:rsid w:val="009748D1"/>
    <w:rsid w:val="009749DB"/>
    <w:rsid w:val="00975587"/>
    <w:rsid w:val="00975767"/>
    <w:rsid w:val="00975A2E"/>
    <w:rsid w:val="009770E2"/>
    <w:rsid w:val="009774E0"/>
    <w:rsid w:val="00977537"/>
    <w:rsid w:val="009806CA"/>
    <w:rsid w:val="00980E34"/>
    <w:rsid w:val="00980FC7"/>
    <w:rsid w:val="009820C8"/>
    <w:rsid w:val="00982201"/>
    <w:rsid w:val="00984E80"/>
    <w:rsid w:val="00985842"/>
    <w:rsid w:val="00986180"/>
    <w:rsid w:val="00987472"/>
    <w:rsid w:val="0098782F"/>
    <w:rsid w:val="0098797D"/>
    <w:rsid w:val="009923B8"/>
    <w:rsid w:val="00992F36"/>
    <w:rsid w:val="00993D0E"/>
    <w:rsid w:val="00994121"/>
    <w:rsid w:val="00995503"/>
    <w:rsid w:val="00995FE6"/>
    <w:rsid w:val="009969B1"/>
    <w:rsid w:val="00996E6C"/>
    <w:rsid w:val="0099771B"/>
    <w:rsid w:val="00997AD1"/>
    <w:rsid w:val="009A06B2"/>
    <w:rsid w:val="009A4129"/>
    <w:rsid w:val="009A5096"/>
    <w:rsid w:val="009A5EEE"/>
    <w:rsid w:val="009A6D1C"/>
    <w:rsid w:val="009B0778"/>
    <w:rsid w:val="009B0CE7"/>
    <w:rsid w:val="009B1657"/>
    <w:rsid w:val="009B1CBF"/>
    <w:rsid w:val="009B20DC"/>
    <w:rsid w:val="009B462A"/>
    <w:rsid w:val="009B605B"/>
    <w:rsid w:val="009B6459"/>
    <w:rsid w:val="009B65A7"/>
    <w:rsid w:val="009B774E"/>
    <w:rsid w:val="009C0F06"/>
    <w:rsid w:val="009C1E18"/>
    <w:rsid w:val="009C20A4"/>
    <w:rsid w:val="009C29DA"/>
    <w:rsid w:val="009C2A77"/>
    <w:rsid w:val="009C47F8"/>
    <w:rsid w:val="009C4A31"/>
    <w:rsid w:val="009C5197"/>
    <w:rsid w:val="009C6189"/>
    <w:rsid w:val="009C6325"/>
    <w:rsid w:val="009C67DF"/>
    <w:rsid w:val="009C6C38"/>
    <w:rsid w:val="009C6EBB"/>
    <w:rsid w:val="009D18FA"/>
    <w:rsid w:val="009D1BDD"/>
    <w:rsid w:val="009D222E"/>
    <w:rsid w:val="009D23A1"/>
    <w:rsid w:val="009D2AEB"/>
    <w:rsid w:val="009D2EBD"/>
    <w:rsid w:val="009D3046"/>
    <w:rsid w:val="009D3954"/>
    <w:rsid w:val="009D6520"/>
    <w:rsid w:val="009D6646"/>
    <w:rsid w:val="009D6A26"/>
    <w:rsid w:val="009D7C72"/>
    <w:rsid w:val="009E1550"/>
    <w:rsid w:val="009E2E20"/>
    <w:rsid w:val="009E3DCE"/>
    <w:rsid w:val="009E453C"/>
    <w:rsid w:val="009E5205"/>
    <w:rsid w:val="009E63A1"/>
    <w:rsid w:val="009E6B4F"/>
    <w:rsid w:val="009E6CEB"/>
    <w:rsid w:val="009E6D99"/>
    <w:rsid w:val="009E71E3"/>
    <w:rsid w:val="009E7AB1"/>
    <w:rsid w:val="009F0552"/>
    <w:rsid w:val="009F1AAB"/>
    <w:rsid w:val="009F1CA8"/>
    <w:rsid w:val="009F4385"/>
    <w:rsid w:val="009F47F3"/>
    <w:rsid w:val="009F488D"/>
    <w:rsid w:val="009F48AF"/>
    <w:rsid w:val="009F5CB4"/>
    <w:rsid w:val="009F602D"/>
    <w:rsid w:val="009F7124"/>
    <w:rsid w:val="009F71CC"/>
    <w:rsid w:val="009F71F5"/>
    <w:rsid w:val="009F7344"/>
    <w:rsid w:val="009F796A"/>
    <w:rsid w:val="009F7AC6"/>
    <w:rsid w:val="00A01CC6"/>
    <w:rsid w:val="00A029BC"/>
    <w:rsid w:val="00A02F03"/>
    <w:rsid w:val="00A0310B"/>
    <w:rsid w:val="00A03124"/>
    <w:rsid w:val="00A037E1"/>
    <w:rsid w:val="00A0438E"/>
    <w:rsid w:val="00A04BC1"/>
    <w:rsid w:val="00A04C89"/>
    <w:rsid w:val="00A04E9D"/>
    <w:rsid w:val="00A05EDD"/>
    <w:rsid w:val="00A0622C"/>
    <w:rsid w:val="00A07773"/>
    <w:rsid w:val="00A07BA2"/>
    <w:rsid w:val="00A12CDE"/>
    <w:rsid w:val="00A13252"/>
    <w:rsid w:val="00A1336D"/>
    <w:rsid w:val="00A144FD"/>
    <w:rsid w:val="00A15DA9"/>
    <w:rsid w:val="00A16871"/>
    <w:rsid w:val="00A178D0"/>
    <w:rsid w:val="00A17AE7"/>
    <w:rsid w:val="00A20A28"/>
    <w:rsid w:val="00A21ED6"/>
    <w:rsid w:val="00A22B51"/>
    <w:rsid w:val="00A22BB9"/>
    <w:rsid w:val="00A22DA0"/>
    <w:rsid w:val="00A22DDB"/>
    <w:rsid w:val="00A2367C"/>
    <w:rsid w:val="00A241EA"/>
    <w:rsid w:val="00A24245"/>
    <w:rsid w:val="00A253C9"/>
    <w:rsid w:val="00A254BD"/>
    <w:rsid w:val="00A2665D"/>
    <w:rsid w:val="00A27002"/>
    <w:rsid w:val="00A278EB"/>
    <w:rsid w:val="00A279A8"/>
    <w:rsid w:val="00A27E13"/>
    <w:rsid w:val="00A30CF4"/>
    <w:rsid w:val="00A30E21"/>
    <w:rsid w:val="00A31A32"/>
    <w:rsid w:val="00A31E74"/>
    <w:rsid w:val="00A32D20"/>
    <w:rsid w:val="00A33C82"/>
    <w:rsid w:val="00A34184"/>
    <w:rsid w:val="00A34B7C"/>
    <w:rsid w:val="00A34D51"/>
    <w:rsid w:val="00A3517F"/>
    <w:rsid w:val="00A3566A"/>
    <w:rsid w:val="00A3605C"/>
    <w:rsid w:val="00A36076"/>
    <w:rsid w:val="00A37204"/>
    <w:rsid w:val="00A3787E"/>
    <w:rsid w:val="00A402F4"/>
    <w:rsid w:val="00A404DE"/>
    <w:rsid w:val="00A40DC8"/>
    <w:rsid w:val="00A425B9"/>
    <w:rsid w:val="00A42CE9"/>
    <w:rsid w:val="00A43BC3"/>
    <w:rsid w:val="00A43E78"/>
    <w:rsid w:val="00A43FE3"/>
    <w:rsid w:val="00A44995"/>
    <w:rsid w:val="00A449C2"/>
    <w:rsid w:val="00A44F01"/>
    <w:rsid w:val="00A45F6E"/>
    <w:rsid w:val="00A46E99"/>
    <w:rsid w:val="00A479E7"/>
    <w:rsid w:val="00A50D3C"/>
    <w:rsid w:val="00A51A7A"/>
    <w:rsid w:val="00A51D01"/>
    <w:rsid w:val="00A51E36"/>
    <w:rsid w:val="00A5271D"/>
    <w:rsid w:val="00A5278E"/>
    <w:rsid w:val="00A52948"/>
    <w:rsid w:val="00A53338"/>
    <w:rsid w:val="00A53B4C"/>
    <w:rsid w:val="00A53BBF"/>
    <w:rsid w:val="00A55AAA"/>
    <w:rsid w:val="00A57A68"/>
    <w:rsid w:val="00A60166"/>
    <w:rsid w:val="00A60CC6"/>
    <w:rsid w:val="00A618E3"/>
    <w:rsid w:val="00A61BD2"/>
    <w:rsid w:val="00A6405A"/>
    <w:rsid w:val="00A640AC"/>
    <w:rsid w:val="00A642D2"/>
    <w:rsid w:val="00A645CE"/>
    <w:rsid w:val="00A64D76"/>
    <w:rsid w:val="00A658B5"/>
    <w:rsid w:val="00A66C31"/>
    <w:rsid w:val="00A6758D"/>
    <w:rsid w:val="00A6761E"/>
    <w:rsid w:val="00A71197"/>
    <w:rsid w:val="00A7197D"/>
    <w:rsid w:val="00A71B36"/>
    <w:rsid w:val="00A73BFB"/>
    <w:rsid w:val="00A74F81"/>
    <w:rsid w:val="00A75ABC"/>
    <w:rsid w:val="00A7603B"/>
    <w:rsid w:val="00A76948"/>
    <w:rsid w:val="00A776F0"/>
    <w:rsid w:val="00A80177"/>
    <w:rsid w:val="00A8115E"/>
    <w:rsid w:val="00A82ACC"/>
    <w:rsid w:val="00A83456"/>
    <w:rsid w:val="00A838D7"/>
    <w:rsid w:val="00A8409E"/>
    <w:rsid w:val="00A8420C"/>
    <w:rsid w:val="00A852D1"/>
    <w:rsid w:val="00A85506"/>
    <w:rsid w:val="00A8584B"/>
    <w:rsid w:val="00A86827"/>
    <w:rsid w:val="00A86DE1"/>
    <w:rsid w:val="00A90535"/>
    <w:rsid w:val="00A918A8"/>
    <w:rsid w:val="00A92DBA"/>
    <w:rsid w:val="00A9407E"/>
    <w:rsid w:val="00A94D4E"/>
    <w:rsid w:val="00A94DEB"/>
    <w:rsid w:val="00A95390"/>
    <w:rsid w:val="00A95F2E"/>
    <w:rsid w:val="00A96421"/>
    <w:rsid w:val="00A9679B"/>
    <w:rsid w:val="00A977FB"/>
    <w:rsid w:val="00A97FA0"/>
    <w:rsid w:val="00AA006C"/>
    <w:rsid w:val="00AA2368"/>
    <w:rsid w:val="00AA2D8B"/>
    <w:rsid w:val="00AA2E3C"/>
    <w:rsid w:val="00AA2FA2"/>
    <w:rsid w:val="00AA3936"/>
    <w:rsid w:val="00AA48F4"/>
    <w:rsid w:val="00AA4B7B"/>
    <w:rsid w:val="00AA4BFA"/>
    <w:rsid w:val="00AA6876"/>
    <w:rsid w:val="00AA7271"/>
    <w:rsid w:val="00AA76F3"/>
    <w:rsid w:val="00AA7A33"/>
    <w:rsid w:val="00AB0203"/>
    <w:rsid w:val="00AB101C"/>
    <w:rsid w:val="00AB132F"/>
    <w:rsid w:val="00AB1D36"/>
    <w:rsid w:val="00AB1E15"/>
    <w:rsid w:val="00AB20E9"/>
    <w:rsid w:val="00AB2C8C"/>
    <w:rsid w:val="00AB3045"/>
    <w:rsid w:val="00AB35E5"/>
    <w:rsid w:val="00AB3747"/>
    <w:rsid w:val="00AB4BE5"/>
    <w:rsid w:val="00AB5B8C"/>
    <w:rsid w:val="00AC0ACD"/>
    <w:rsid w:val="00AC11D2"/>
    <w:rsid w:val="00AC2385"/>
    <w:rsid w:val="00AC23A7"/>
    <w:rsid w:val="00AC2AEB"/>
    <w:rsid w:val="00AC3E63"/>
    <w:rsid w:val="00AC3E7C"/>
    <w:rsid w:val="00AC40CE"/>
    <w:rsid w:val="00AC528F"/>
    <w:rsid w:val="00AC73D8"/>
    <w:rsid w:val="00AC73E3"/>
    <w:rsid w:val="00AD003D"/>
    <w:rsid w:val="00AD0277"/>
    <w:rsid w:val="00AD2575"/>
    <w:rsid w:val="00AD2EAE"/>
    <w:rsid w:val="00AD333B"/>
    <w:rsid w:val="00AD37DD"/>
    <w:rsid w:val="00AD3F10"/>
    <w:rsid w:val="00AD3FB9"/>
    <w:rsid w:val="00AD46DD"/>
    <w:rsid w:val="00AD4C5B"/>
    <w:rsid w:val="00AD5006"/>
    <w:rsid w:val="00AD5CA6"/>
    <w:rsid w:val="00AD6C4C"/>
    <w:rsid w:val="00AD6F70"/>
    <w:rsid w:val="00AD75E0"/>
    <w:rsid w:val="00AE0337"/>
    <w:rsid w:val="00AE1940"/>
    <w:rsid w:val="00AE28A6"/>
    <w:rsid w:val="00AE38A7"/>
    <w:rsid w:val="00AE508A"/>
    <w:rsid w:val="00AE5C1B"/>
    <w:rsid w:val="00AE61D1"/>
    <w:rsid w:val="00AE7B1D"/>
    <w:rsid w:val="00AF02C7"/>
    <w:rsid w:val="00AF0A40"/>
    <w:rsid w:val="00AF12E2"/>
    <w:rsid w:val="00AF1658"/>
    <w:rsid w:val="00AF1A54"/>
    <w:rsid w:val="00AF228F"/>
    <w:rsid w:val="00AF31CE"/>
    <w:rsid w:val="00AF57FD"/>
    <w:rsid w:val="00AF5D25"/>
    <w:rsid w:val="00AF63E6"/>
    <w:rsid w:val="00AF6654"/>
    <w:rsid w:val="00AF6FFE"/>
    <w:rsid w:val="00AF73A1"/>
    <w:rsid w:val="00B00215"/>
    <w:rsid w:val="00B00255"/>
    <w:rsid w:val="00B00673"/>
    <w:rsid w:val="00B0070D"/>
    <w:rsid w:val="00B01513"/>
    <w:rsid w:val="00B019C3"/>
    <w:rsid w:val="00B019CF"/>
    <w:rsid w:val="00B028D1"/>
    <w:rsid w:val="00B02E53"/>
    <w:rsid w:val="00B0331B"/>
    <w:rsid w:val="00B04194"/>
    <w:rsid w:val="00B04EC1"/>
    <w:rsid w:val="00B05181"/>
    <w:rsid w:val="00B05208"/>
    <w:rsid w:val="00B05DD2"/>
    <w:rsid w:val="00B063C8"/>
    <w:rsid w:val="00B077E7"/>
    <w:rsid w:val="00B12172"/>
    <w:rsid w:val="00B1272D"/>
    <w:rsid w:val="00B12B3C"/>
    <w:rsid w:val="00B12F42"/>
    <w:rsid w:val="00B13162"/>
    <w:rsid w:val="00B1461B"/>
    <w:rsid w:val="00B16020"/>
    <w:rsid w:val="00B16B15"/>
    <w:rsid w:val="00B16FA1"/>
    <w:rsid w:val="00B17D6B"/>
    <w:rsid w:val="00B17DEC"/>
    <w:rsid w:val="00B20358"/>
    <w:rsid w:val="00B20B2E"/>
    <w:rsid w:val="00B23932"/>
    <w:rsid w:val="00B23AF6"/>
    <w:rsid w:val="00B23C56"/>
    <w:rsid w:val="00B2444A"/>
    <w:rsid w:val="00B249A7"/>
    <w:rsid w:val="00B24C75"/>
    <w:rsid w:val="00B24E6D"/>
    <w:rsid w:val="00B2557F"/>
    <w:rsid w:val="00B25A6E"/>
    <w:rsid w:val="00B25EEC"/>
    <w:rsid w:val="00B262AC"/>
    <w:rsid w:val="00B2688E"/>
    <w:rsid w:val="00B270BC"/>
    <w:rsid w:val="00B27169"/>
    <w:rsid w:val="00B27749"/>
    <w:rsid w:val="00B309E7"/>
    <w:rsid w:val="00B30F4B"/>
    <w:rsid w:val="00B3156E"/>
    <w:rsid w:val="00B3158F"/>
    <w:rsid w:val="00B31873"/>
    <w:rsid w:val="00B321CF"/>
    <w:rsid w:val="00B32D8C"/>
    <w:rsid w:val="00B32F49"/>
    <w:rsid w:val="00B33163"/>
    <w:rsid w:val="00B34807"/>
    <w:rsid w:val="00B353E7"/>
    <w:rsid w:val="00B36555"/>
    <w:rsid w:val="00B4008B"/>
    <w:rsid w:val="00B41DF5"/>
    <w:rsid w:val="00B42E78"/>
    <w:rsid w:val="00B4370A"/>
    <w:rsid w:val="00B43A00"/>
    <w:rsid w:val="00B44226"/>
    <w:rsid w:val="00B448AE"/>
    <w:rsid w:val="00B448E3"/>
    <w:rsid w:val="00B44DE5"/>
    <w:rsid w:val="00B45C92"/>
    <w:rsid w:val="00B4608E"/>
    <w:rsid w:val="00B46955"/>
    <w:rsid w:val="00B47A95"/>
    <w:rsid w:val="00B50999"/>
    <w:rsid w:val="00B52AE1"/>
    <w:rsid w:val="00B5364D"/>
    <w:rsid w:val="00B53C57"/>
    <w:rsid w:val="00B53D7B"/>
    <w:rsid w:val="00B56061"/>
    <w:rsid w:val="00B56175"/>
    <w:rsid w:val="00B569D1"/>
    <w:rsid w:val="00B61660"/>
    <w:rsid w:val="00B638FC"/>
    <w:rsid w:val="00B63B13"/>
    <w:rsid w:val="00B64F6B"/>
    <w:rsid w:val="00B64F8F"/>
    <w:rsid w:val="00B65483"/>
    <w:rsid w:val="00B660A6"/>
    <w:rsid w:val="00B66628"/>
    <w:rsid w:val="00B677C5"/>
    <w:rsid w:val="00B7075F"/>
    <w:rsid w:val="00B71250"/>
    <w:rsid w:val="00B72BBE"/>
    <w:rsid w:val="00B72EF1"/>
    <w:rsid w:val="00B73667"/>
    <w:rsid w:val="00B738CE"/>
    <w:rsid w:val="00B73980"/>
    <w:rsid w:val="00B73BB5"/>
    <w:rsid w:val="00B7526F"/>
    <w:rsid w:val="00B7580A"/>
    <w:rsid w:val="00B76BC6"/>
    <w:rsid w:val="00B76DA9"/>
    <w:rsid w:val="00B80170"/>
    <w:rsid w:val="00B80856"/>
    <w:rsid w:val="00B80B11"/>
    <w:rsid w:val="00B80C0C"/>
    <w:rsid w:val="00B81173"/>
    <w:rsid w:val="00B816F4"/>
    <w:rsid w:val="00B81EA5"/>
    <w:rsid w:val="00B8211F"/>
    <w:rsid w:val="00B82813"/>
    <w:rsid w:val="00B82F34"/>
    <w:rsid w:val="00B841A2"/>
    <w:rsid w:val="00B84B61"/>
    <w:rsid w:val="00B84C8B"/>
    <w:rsid w:val="00B85473"/>
    <w:rsid w:val="00B85A28"/>
    <w:rsid w:val="00B86242"/>
    <w:rsid w:val="00B86489"/>
    <w:rsid w:val="00B87066"/>
    <w:rsid w:val="00B870F3"/>
    <w:rsid w:val="00B87942"/>
    <w:rsid w:val="00B90224"/>
    <w:rsid w:val="00B90DBC"/>
    <w:rsid w:val="00B919F2"/>
    <w:rsid w:val="00B91C85"/>
    <w:rsid w:val="00B92347"/>
    <w:rsid w:val="00B924F1"/>
    <w:rsid w:val="00B93149"/>
    <w:rsid w:val="00B93917"/>
    <w:rsid w:val="00B93968"/>
    <w:rsid w:val="00B93D78"/>
    <w:rsid w:val="00B93E63"/>
    <w:rsid w:val="00B9441A"/>
    <w:rsid w:val="00B94C5A"/>
    <w:rsid w:val="00B957BE"/>
    <w:rsid w:val="00B95F70"/>
    <w:rsid w:val="00B96437"/>
    <w:rsid w:val="00B96C6C"/>
    <w:rsid w:val="00B96CB5"/>
    <w:rsid w:val="00B97445"/>
    <w:rsid w:val="00B97542"/>
    <w:rsid w:val="00B97A7C"/>
    <w:rsid w:val="00B97DED"/>
    <w:rsid w:val="00BA073C"/>
    <w:rsid w:val="00BA0E55"/>
    <w:rsid w:val="00BA0F4B"/>
    <w:rsid w:val="00BA0FF3"/>
    <w:rsid w:val="00BA13B7"/>
    <w:rsid w:val="00BA1E01"/>
    <w:rsid w:val="00BA2338"/>
    <w:rsid w:val="00BA2CDC"/>
    <w:rsid w:val="00BA363B"/>
    <w:rsid w:val="00BA39DA"/>
    <w:rsid w:val="00BA45D0"/>
    <w:rsid w:val="00BA4CAB"/>
    <w:rsid w:val="00BA5260"/>
    <w:rsid w:val="00BA5551"/>
    <w:rsid w:val="00BA5942"/>
    <w:rsid w:val="00BA5C6B"/>
    <w:rsid w:val="00BA6313"/>
    <w:rsid w:val="00BA6788"/>
    <w:rsid w:val="00BA75FF"/>
    <w:rsid w:val="00BA7A73"/>
    <w:rsid w:val="00BA7DF0"/>
    <w:rsid w:val="00BB0332"/>
    <w:rsid w:val="00BB0C2F"/>
    <w:rsid w:val="00BB156B"/>
    <w:rsid w:val="00BB1B06"/>
    <w:rsid w:val="00BB2F50"/>
    <w:rsid w:val="00BB4AA4"/>
    <w:rsid w:val="00BB5513"/>
    <w:rsid w:val="00BB59B2"/>
    <w:rsid w:val="00BB6123"/>
    <w:rsid w:val="00BB721F"/>
    <w:rsid w:val="00BB79B8"/>
    <w:rsid w:val="00BC04EB"/>
    <w:rsid w:val="00BC1CF1"/>
    <w:rsid w:val="00BC1DE1"/>
    <w:rsid w:val="00BC239F"/>
    <w:rsid w:val="00BC301F"/>
    <w:rsid w:val="00BC3070"/>
    <w:rsid w:val="00BC4052"/>
    <w:rsid w:val="00BC47B0"/>
    <w:rsid w:val="00BC57B4"/>
    <w:rsid w:val="00BC5D00"/>
    <w:rsid w:val="00BC650F"/>
    <w:rsid w:val="00BC698B"/>
    <w:rsid w:val="00BC6F00"/>
    <w:rsid w:val="00BC76A4"/>
    <w:rsid w:val="00BC7816"/>
    <w:rsid w:val="00BD00ED"/>
    <w:rsid w:val="00BD03FA"/>
    <w:rsid w:val="00BD0803"/>
    <w:rsid w:val="00BD0F8C"/>
    <w:rsid w:val="00BD16E2"/>
    <w:rsid w:val="00BD1D6B"/>
    <w:rsid w:val="00BD2871"/>
    <w:rsid w:val="00BD2A4E"/>
    <w:rsid w:val="00BD2DA0"/>
    <w:rsid w:val="00BD43DD"/>
    <w:rsid w:val="00BD4476"/>
    <w:rsid w:val="00BD4701"/>
    <w:rsid w:val="00BD4821"/>
    <w:rsid w:val="00BD493D"/>
    <w:rsid w:val="00BD58D3"/>
    <w:rsid w:val="00BD59EA"/>
    <w:rsid w:val="00BD5D72"/>
    <w:rsid w:val="00BD600F"/>
    <w:rsid w:val="00BD6338"/>
    <w:rsid w:val="00BD6EFC"/>
    <w:rsid w:val="00BD7004"/>
    <w:rsid w:val="00BD7209"/>
    <w:rsid w:val="00BD7A7F"/>
    <w:rsid w:val="00BD7D1E"/>
    <w:rsid w:val="00BE160C"/>
    <w:rsid w:val="00BE19EB"/>
    <w:rsid w:val="00BE1B7E"/>
    <w:rsid w:val="00BE1DD7"/>
    <w:rsid w:val="00BE2975"/>
    <w:rsid w:val="00BE317F"/>
    <w:rsid w:val="00BE5400"/>
    <w:rsid w:val="00BE7479"/>
    <w:rsid w:val="00BF1711"/>
    <w:rsid w:val="00BF1B51"/>
    <w:rsid w:val="00BF2141"/>
    <w:rsid w:val="00BF3097"/>
    <w:rsid w:val="00BF3591"/>
    <w:rsid w:val="00BF3CBE"/>
    <w:rsid w:val="00BF3F9C"/>
    <w:rsid w:val="00BF483E"/>
    <w:rsid w:val="00BF4E6F"/>
    <w:rsid w:val="00BF52E1"/>
    <w:rsid w:val="00BF5460"/>
    <w:rsid w:val="00C0009B"/>
    <w:rsid w:val="00C006FA"/>
    <w:rsid w:val="00C00B40"/>
    <w:rsid w:val="00C01B18"/>
    <w:rsid w:val="00C02363"/>
    <w:rsid w:val="00C02895"/>
    <w:rsid w:val="00C03ACB"/>
    <w:rsid w:val="00C03E32"/>
    <w:rsid w:val="00C0426F"/>
    <w:rsid w:val="00C05BC1"/>
    <w:rsid w:val="00C078F3"/>
    <w:rsid w:val="00C1007B"/>
    <w:rsid w:val="00C10522"/>
    <w:rsid w:val="00C11651"/>
    <w:rsid w:val="00C11E1B"/>
    <w:rsid w:val="00C13E76"/>
    <w:rsid w:val="00C14D9F"/>
    <w:rsid w:val="00C15BCF"/>
    <w:rsid w:val="00C15D50"/>
    <w:rsid w:val="00C16963"/>
    <w:rsid w:val="00C17396"/>
    <w:rsid w:val="00C17B53"/>
    <w:rsid w:val="00C208D3"/>
    <w:rsid w:val="00C20D1D"/>
    <w:rsid w:val="00C214E3"/>
    <w:rsid w:val="00C217E2"/>
    <w:rsid w:val="00C2278A"/>
    <w:rsid w:val="00C2315F"/>
    <w:rsid w:val="00C2354F"/>
    <w:rsid w:val="00C23A4F"/>
    <w:rsid w:val="00C25483"/>
    <w:rsid w:val="00C25A3D"/>
    <w:rsid w:val="00C25E7D"/>
    <w:rsid w:val="00C26038"/>
    <w:rsid w:val="00C268DD"/>
    <w:rsid w:val="00C268F8"/>
    <w:rsid w:val="00C27257"/>
    <w:rsid w:val="00C2726A"/>
    <w:rsid w:val="00C273CB"/>
    <w:rsid w:val="00C277AF"/>
    <w:rsid w:val="00C279D3"/>
    <w:rsid w:val="00C27C0E"/>
    <w:rsid w:val="00C30D3A"/>
    <w:rsid w:val="00C30FD8"/>
    <w:rsid w:val="00C3166F"/>
    <w:rsid w:val="00C31671"/>
    <w:rsid w:val="00C335DD"/>
    <w:rsid w:val="00C33F20"/>
    <w:rsid w:val="00C33FD0"/>
    <w:rsid w:val="00C35335"/>
    <w:rsid w:val="00C35EEB"/>
    <w:rsid w:val="00C36957"/>
    <w:rsid w:val="00C40372"/>
    <w:rsid w:val="00C42E8A"/>
    <w:rsid w:val="00C43143"/>
    <w:rsid w:val="00C437DA"/>
    <w:rsid w:val="00C44076"/>
    <w:rsid w:val="00C4421B"/>
    <w:rsid w:val="00C44C9A"/>
    <w:rsid w:val="00C455B6"/>
    <w:rsid w:val="00C45A83"/>
    <w:rsid w:val="00C45D14"/>
    <w:rsid w:val="00C46725"/>
    <w:rsid w:val="00C46BB8"/>
    <w:rsid w:val="00C476F5"/>
    <w:rsid w:val="00C47858"/>
    <w:rsid w:val="00C47870"/>
    <w:rsid w:val="00C502EF"/>
    <w:rsid w:val="00C50499"/>
    <w:rsid w:val="00C51386"/>
    <w:rsid w:val="00C522AB"/>
    <w:rsid w:val="00C528C3"/>
    <w:rsid w:val="00C52C2B"/>
    <w:rsid w:val="00C54DF7"/>
    <w:rsid w:val="00C5693E"/>
    <w:rsid w:val="00C56B9A"/>
    <w:rsid w:val="00C56D16"/>
    <w:rsid w:val="00C570E0"/>
    <w:rsid w:val="00C57220"/>
    <w:rsid w:val="00C57570"/>
    <w:rsid w:val="00C57D82"/>
    <w:rsid w:val="00C57EB4"/>
    <w:rsid w:val="00C60395"/>
    <w:rsid w:val="00C607E8"/>
    <w:rsid w:val="00C6083F"/>
    <w:rsid w:val="00C60D1F"/>
    <w:rsid w:val="00C61343"/>
    <w:rsid w:val="00C628BD"/>
    <w:rsid w:val="00C631AF"/>
    <w:rsid w:val="00C63AE8"/>
    <w:rsid w:val="00C64F90"/>
    <w:rsid w:val="00C65B61"/>
    <w:rsid w:val="00C65C3A"/>
    <w:rsid w:val="00C672F6"/>
    <w:rsid w:val="00C67A65"/>
    <w:rsid w:val="00C702AC"/>
    <w:rsid w:val="00C70408"/>
    <w:rsid w:val="00C70A1C"/>
    <w:rsid w:val="00C70C85"/>
    <w:rsid w:val="00C71477"/>
    <w:rsid w:val="00C72714"/>
    <w:rsid w:val="00C729FF"/>
    <w:rsid w:val="00C74A46"/>
    <w:rsid w:val="00C7508C"/>
    <w:rsid w:val="00C75D8E"/>
    <w:rsid w:val="00C76732"/>
    <w:rsid w:val="00C76CD9"/>
    <w:rsid w:val="00C76D0A"/>
    <w:rsid w:val="00C7700F"/>
    <w:rsid w:val="00C771EF"/>
    <w:rsid w:val="00C77553"/>
    <w:rsid w:val="00C7763A"/>
    <w:rsid w:val="00C77690"/>
    <w:rsid w:val="00C809AB"/>
    <w:rsid w:val="00C81A51"/>
    <w:rsid w:val="00C81ED5"/>
    <w:rsid w:val="00C82992"/>
    <w:rsid w:val="00C832AC"/>
    <w:rsid w:val="00C83B9A"/>
    <w:rsid w:val="00C83C7A"/>
    <w:rsid w:val="00C8421F"/>
    <w:rsid w:val="00C8507E"/>
    <w:rsid w:val="00C851F5"/>
    <w:rsid w:val="00C85419"/>
    <w:rsid w:val="00C86029"/>
    <w:rsid w:val="00C86545"/>
    <w:rsid w:val="00C87523"/>
    <w:rsid w:val="00C87E99"/>
    <w:rsid w:val="00C9165A"/>
    <w:rsid w:val="00C93190"/>
    <w:rsid w:val="00C93552"/>
    <w:rsid w:val="00C93C60"/>
    <w:rsid w:val="00C94128"/>
    <w:rsid w:val="00C9449B"/>
    <w:rsid w:val="00C9572E"/>
    <w:rsid w:val="00C9590B"/>
    <w:rsid w:val="00C96AE4"/>
    <w:rsid w:val="00C96F62"/>
    <w:rsid w:val="00C9748B"/>
    <w:rsid w:val="00CA1E94"/>
    <w:rsid w:val="00CA317F"/>
    <w:rsid w:val="00CA4600"/>
    <w:rsid w:val="00CA49C1"/>
    <w:rsid w:val="00CA5FB4"/>
    <w:rsid w:val="00CA71E0"/>
    <w:rsid w:val="00CB0562"/>
    <w:rsid w:val="00CB1FA7"/>
    <w:rsid w:val="00CB3FBB"/>
    <w:rsid w:val="00CB488B"/>
    <w:rsid w:val="00CB4C89"/>
    <w:rsid w:val="00CB59EB"/>
    <w:rsid w:val="00CB5B74"/>
    <w:rsid w:val="00CB61FB"/>
    <w:rsid w:val="00CB62A4"/>
    <w:rsid w:val="00CB65BE"/>
    <w:rsid w:val="00CB737C"/>
    <w:rsid w:val="00CB75FE"/>
    <w:rsid w:val="00CB7F17"/>
    <w:rsid w:val="00CC0918"/>
    <w:rsid w:val="00CC0FA7"/>
    <w:rsid w:val="00CC1AB5"/>
    <w:rsid w:val="00CC2F60"/>
    <w:rsid w:val="00CC3F68"/>
    <w:rsid w:val="00CC4263"/>
    <w:rsid w:val="00CC7143"/>
    <w:rsid w:val="00CC79AC"/>
    <w:rsid w:val="00CC79C2"/>
    <w:rsid w:val="00CC7CBA"/>
    <w:rsid w:val="00CD079F"/>
    <w:rsid w:val="00CD0A57"/>
    <w:rsid w:val="00CD126A"/>
    <w:rsid w:val="00CD1742"/>
    <w:rsid w:val="00CD25DA"/>
    <w:rsid w:val="00CD2A0C"/>
    <w:rsid w:val="00CD2D70"/>
    <w:rsid w:val="00CD3A92"/>
    <w:rsid w:val="00CD3C54"/>
    <w:rsid w:val="00CD4B45"/>
    <w:rsid w:val="00CD50C9"/>
    <w:rsid w:val="00CD5E99"/>
    <w:rsid w:val="00CD7263"/>
    <w:rsid w:val="00CD7A4A"/>
    <w:rsid w:val="00CD7BDF"/>
    <w:rsid w:val="00CE0620"/>
    <w:rsid w:val="00CE0895"/>
    <w:rsid w:val="00CE0B5B"/>
    <w:rsid w:val="00CE1510"/>
    <w:rsid w:val="00CE188D"/>
    <w:rsid w:val="00CE239A"/>
    <w:rsid w:val="00CE305E"/>
    <w:rsid w:val="00CE37F3"/>
    <w:rsid w:val="00CE3890"/>
    <w:rsid w:val="00CE41F2"/>
    <w:rsid w:val="00CE5517"/>
    <w:rsid w:val="00CE5522"/>
    <w:rsid w:val="00CE6B48"/>
    <w:rsid w:val="00CE6F5F"/>
    <w:rsid w:val="00CE7122"/>
    <w:rsid w:val="00CE71F1"/>
    <w:rsid w:val="00CE7ADD"/>
    <w:rsid w:val="00CF0304"/>
    <w:rsid w:val="00CF247F"/>
    <w:rsid w:val="00CF3489"/>
    <w:rsid w:val="00CF350E"/>
    <w:rsid w:val="00CF3F64"/>
    <w:rsid w:val="00CF3FEF"/>
    <w:rsid w:val="00CF4B24"/>
    <w:rsid w:val="00CF4FC3"/>
    <w:rsid w:val="00CF550C"/>
    <w:rsid w:val="00CF63B6"/>
    <w:rsid w:val="00CF651C"/>
    <w:rsid w:val="00CF7BEB"/>
    <w:rsid w:val="00CF7EE0"/>
    <w:rsid w:val="00D0023E"/>
    <w:rsid w:val="00D0031D"/>
    <w:rsid w:val="00D00E36"/>
    <w:rsid w:val="00D0114F"/>
    <w:rsid w:val="00D01324"/>
    <w:rsid w:val="00D0173F"/>
    <w:rsid w:val="00D01C2E"/>
    <w:rsid w:val="00D0295F"/>
    <w:rsid w:val="00D03392"/>
    <w:rsid w:val="00D041E6"/>
    <w:rsid w:val="00D06CC1"/>
    <w:rsid w:val="00D079A0"/>
    <w:rsid w:val="00D07FC8"/>
    <w:rsid w:val="00D10501"/>
    <w:rsid w:val="00D1090F"/>
    <w:rsid w:val="00D10D84"/>
    <w:rsid w:val="00D11356"/>
    <w:rsid w:val="00D11950"/>
    <w:rsid w:val="00D11E77"/>
    <w:rsid w:val="00D12106"/>
    <w:rsid w:val="00D124BC"/>
    <w:rsid w:val="00D13CCA"/>
    <w:rsid w:val="00D16A83"/>
    <w:rsid w:val="00D20D96"/>
    <w:rsid w:val="00D21468"/>
    <w:rsid w:val="00D21BCF"/>
    <w:rsid w:val="00D22A5E"/>
    <w:rsid w:val="00D2333D"/>
    <w:rsid w:val="00D247F4"/>
    <w:rsid w:val="00D249F4"/>
    <w:rsid w:val="00D251D0"/>
    <w:rsid w:val="00D26301"/>
    <w:rsid w:val="00D267C3"/>
    <w:rsid w:val="00D26E6F"/>
    <w:rsid w:val="00D27653"/>
    <w:rsid w:val="00D30969"/>
    <w:rsid w:val="00D30974"/>
    <w:rsid w:val="00D31656"/>
    <w:rsid w:val="00D32435"/>
    <w:rsid w:val="00D32757"/>
    <w:rsid w:val="00D337A0"/>
    <w:rsid w:val="00D34181"/>
    <w:rsid w:val="00D345B9"/>
    <w:rsid w:val="00D34FD1"/>
    <w:rsid w:val="00D35BB7"/>
    <w:rsid w:val="00D35EDB"/>
    <w:rsid w:val="00D3737A"/>
    <w:rsid w:val="00D3756A"/>
    <w:rsid w:val="00D37699"/>
    <w:rsid w:val="00D3791F"/>
    <w:rsid w:val="00D404A3"/>
    <w:rsid w:val="00D404F5"/>
    <w:rsid w:val="00D4080B"/>
    <w:rsid w:val="00D41685"/>
    <w:rsid w:val="00D41F52"/>
    <w:rsid w:val="00D42583"/>
    <w:rsid w:val="00D42DD6"/>
    <w:rsid w:val="00D463BB"/>
    <w:rsid w:val="00D4745A"/>
    <w:rsid w:val="00D47892"/>
    <w:rsid w:val="00D50726"/>
    <w:rsid w:val="00D5111E"/>
    <w:rsid w:val="00D512F9"/>
    <w:rsid w:val="00D51365"/>
    <w:rsid w:val="00D517BE"/>
    <w:rsid w:val="00D51F74"/>
    <w:rsid w:val="00D520F2"/>
    <w:rsid w:val="00D540FB"/>
    <w:rsid w:val="00D54171"/>
    <w:rsid w:val="00D54F35"/>
    <w:rsid w:val="00D55D8C"/>
    <w:rsid w:val="00D56386"/>
    <w:rsid w:val="00D5706C"/>
    <w:rsid w:val="00D5787E"/>
    <w:rsid w:val="00D605A0"/>
    <w:rsid w:val="00D607BE"/>
    <w:rsid w:val="00D60BCC"/>
    <w:rsid w:val="00D6149E"/>
    <w:rsid w:val="00D616E5"/>
    <w:rsid w:val="00D63962"/>
    <w:rsid w:val="00D64E6D"/>
    <w:rsid w:val="00D66212"/>
    <w:rsid w:val="00D677E1"/>
    <w:rsid w:val="00D67B1A"/>
    <w:rsid w:val="00D67D3B"/>
    <w:rsid w:val="00D67DE9"/>
    <w:rsid w:val="00D70BE1"/>
    <w:rsid w:val="00D714A4"/>
    <w:rsid w:val="00D7286B"/>
    <w:rsid w:val="00D73353"/>
    <w:rsid w:val="00D73AFF"/>
    <w:rsid w:val="00D73DC0"/>
    <w:rsid w:val="00D749DC"/>
    <w:rsid w:val="00D76141"/>
    <w:rsid w:val="00D802BD"/>
    <w:rsid w:val="00D806F3"/>
    <w:rsid w:val="00D813B4"/>
    <w:rsid w:val="00D83255"/>
    <w:rsid w:val="00D84354"/>
    <w:rsid w:val="00D843B7"/>
    <w:rsid w:val="00D847AD"/>
    <w:rsid w:val="00D8635D"/>
    <w:rsid w:val="00D86396"/>
    <w:rsid w:val="00D90335"/>
    <w:rsid w:val="00D90E8B"/>
    <w:rsid w:val="00D92365"/>
    <w:rsid w:val="00D92D7C"/>
    <w:rsid w:val="00D92E60"/>
    <w:rsid w:val="00D92F5F"/>
    <w:rsid w:val="00D9317E"/>
    <w:rsid w:val="00D931B0"/>
    <w:rsid w:val="00D93887"/>
    <w:rsid w:val="00D93B85"/>
    <w:rsid w:val="00D93FBA"/>
    <w:rsid w:val="00D94F9D"/>
    <w:rsid w:val="00D95A76"/>
    <w:rsid w:val="00D965AF"/>
    <w:rsid w:val="00D96985"/>
    <w:rsid w:val="00D97A59"/>
    <w:rsid w:val="00DA04E6"/>
    <w:rsid w:val="00DA0AE4"/>
    <w:rsid w:val="00DA0E8A"/>
    <w:rsid w:val="00DA2348"/>
    <w:rsid w:val="00DA26EA"/>
    <w:rsid w:val="00DA357F"/>
    <w:rsid w:val="00DA3650"/>
    <w:rsid w:val="00DA3BAC"/>
    <w:rsid w:val="00DA42D9"/>
    <w:rsid w:val="00DA435E"/>
    <w:rsid w:val="00DA4C11"/>
    <w:rsid w:val="00DA4C64"/>
    <w:rsid w:val="00DA5E0E"/>
    <w:rsid w:val="00DA6099"/>
    <w:rsid w:val="00DA60F0"/>
    <w:rsid w:val="00DA704C"/>
    <w:rsid w:val="00DA79ED"/>
    <w:rsid w:val="00DB0264"/>
    <w:rsid w:val="00DB027A"/>
    <w:rsid w:val="00DB07F4"/>
    <w:rsid w:val="00DB0C47"/>
    <w:rsid w:val="00DB166E"/>
    <w:rsid w:val="00DB1CB6"/>
    <w:rsid w:val="00DB22DC"/>
    <w:rsid w:val="00DB3696"/>
    <w:rsid w:val="00DB4A54"/>
    <w:rsid w:val="00DB52B5"/>
    <w:rsid w:val="00DB55FF"/>
    <w:rsid w:val="00DB564B"/>
    <w:rsid w:val="00DB670D"/>
    <w:rsid w:val="00DB6E20"/>
    <w:rsid w:val="00DB78E5"/>
    <w:rsid w:val="00DC0E3E"/>
    <w:rsid w:val="00DC12ED"/>
    <w:rsid w:val="00DC19E0"/>
    <w:rsid w:val="00DC3EDD"/>
    <w:rsid w:val="00DC3F26"/>
    <w:rsid w:val="00DC5010"/>
    <w:rsid w:val="00DC5BB7"/>
    <w:rsid w:val="00DC6860"/>
    <w:rsid w:val="00DC7B27"/>
    <w:rsid w:val="00DD11CF"/>
    <w:rsid w:val="00DD209B"/>
    <w:rsid w:val="00DD2A4A"/>
    <w:rsid w:val="00DD2F5D"/>
    <w:rsid w:val="00DD33AC"/>
    <w:rsid w:val="00DD37E0"/>
    <w:rsid w:val="00DD38E6"/>
    <w:rsid w:val="00DD40C1"/>
    <w:rsid w:val="00DD44D8"/>
    <w:rsid w:val="00DD4A73"/>
    <w:rsid w:val="00DD4A94"/>
    <w:rsid w:val="00DD576D"/>
    <w:rsid w:val="00DD6D8C"/>
    <w:rsid w:val="00DD7077"/>
    <w:rsid w:val="00DD77F8"/>
    <w:rsid w:val="00DD78F7"/>
    <w:rsid w:val="00DD7CC1"/>
    <w:rsid w:val="00DE000D"/>
    <w:rsid w:val="00DE3AFF"/>
    <w:rsid w:val="00DE3B32"/>
    <w:rsid w:val="00DE3FFF"/>
    <w:rsid w:val="00DE4981"/>
    <w:rsid w:val="00DE5650"/>
    <w:rsid w:val="00DE5A41"/>
    <w:rsid w:val="00DE65CF"/>
    <w:rsid w:val="00DE6C97"/>
    <w:rsid w:val="00DE6DE1"/>
    <w:rsid w:val="00DE6F85"/>
    <w:rsid w:val="00DE73FE"/>
    <w:rsid w:val="00DE7894"/>
    <w:rsid w:val="00DE7CBC"/>
    <w:rsid w:val="00DF1DB5"/>
    <w:rsid w:val="00DF3979"/>
    <w:rsid w:val="00DF3D54"/>
    <w:rsid w:val="00DF3FB3"/>
    <w:rsid w:val="00DF3FB9"/>
    <w:rsid w:val="00DF496E"/>
    <w:rsid w:val="00DF6475"/>
    <w:rsid w:val="00DF64B4"/>
    <w:rsid w:val="00E0022A"/>
    <w:rsid w:val="00E00805"/>
    <w:rsid w:val="00E008DA"/>
    <w:rsid w:val="00E00C1E"/>
    <w:rsid w:val="00E01927"/>
    <w:rsid w:val="00E02020"/>
    <w:rsid w:val="00E021A6"/>
    <w:rsid w:val="00E02DC1"/>
    <w:rsid w:val="00E03757"/>
    <w:rsid w:val="00E03DE7"/>
    <w:rsid w:val="00E058EA"/>
    <w:rsid w:val="00E0679C"/>
    <w:rsid w:val="00E069CA"/>
    <w:rsid w:val="00E06A09"/>
    <w:rsid w:val="00E06CF5"/>
    <w:rsid w:val="00E07972"/>
    <w:rsid w:val="00E114C2"/>
    <w:rsid w:val="00E1270D"/>
    <w:rsid w:val="00E136EA"/>
    <w:rsid w:val="00E1463D"/>
    <w:rsid w:val="00E1470F"/>
    <w:rsid w:val="00E14727"/>
    <w:rsid w:val="00E1583F"/>
    <w:rsid w:val="00E16B93"/>
    <w:rsid w:val="00E173B7"/>
    <w:rsid w:val="00E2166E"/>
    <w:rsid w:val="00E21F08"/>
    <w:rsid w:val="00E2260F"/>
    <w:rsid w:val="00E22ADA"/>
    <w:rsid w:val="00E22AF9"/>
    <w:rsid w:val="00E22C37"/>
    <w:rsid w:val="00E23768"/>
    <w:rsid w:val="00E23AFC"/>
    <w:rsid w:val="00E23C0B"/>
    <w:rsid w:val="00E24FDE"/>
    <w:rsid w:val="00E262C1"/>
    <w:rsid w:val="00E265DD"/>
    <w:rsid w:val="00E26BEE"/>
    <w:rsid w:val="00E26E3E"/>
    <w:rsid w:val="00E27225"/>
    <w:rsid w:val="00E301B0"/>
    <w:rsid w:val="00E308FC"/>
    <w:rsid w:val="00E31104"/>
    <w:rsid w:val="00E32079"/>
    <w:rsid w:val="00E321C0"/>
    <w:rsid w:val="00E322D7"/>
    <w:rsid w:val="00E32450"/>
    <w:rsid w:val="00E32713"/>
    <w:rsid w:val="00E33742"/>
    <w:rsid w:val="00E3528D"/>
    <w:rsid w:val="00E36C79"/>
    <w:rsid w:val="00E36F0D"/>
    <w:rsid w:val="00E36FFC"/>
    <w:rsid w:val="00E3700D"/>
    <w:rsid w:val="00E400CB"/>
    <w:rsid w:val="00E4100D"/>
    <w:rsid w:val="00E41D73"/>
    <w:rsid w:val="00E42DF0"/>
    <w:rsid w:val="00E434E3"/>
    <w:rsid w:val="00E4369F"/>
    <w:rsid w:val="00E43BCA"/>
    <w:rsid w:val="00E444B1"/>
    <w:rsid w:val="00E446C1"/>
    <w:rsid w:val="00E452D5"/>
    <w:rsid w:val="00E460AF"/>
    <w:rsid w:val="00E463ED"/>
    <w:rsid w:val="00E508BA"/>
    <w:rsid w:val="00E5174D"/>
    <w:rsid w:val="00E52D41"/>
    <w:rsid w:val="00E53604"/>
    <w:rsid w:val="00E54D7C"/>
    <w:rsid w:val="00E55B2A"/>
    <w:rsid w:val="00E56B6A"/>
    <w:rsid w:val="00E56B6B"/>
    <w:rsid w:val="00E574EC"/>
    <w:rsid w:val="00E57729"/>
    <w:rsid w:val="00E57836"/>
    <w:rsid w:val="00E57928"/>
    <w:rsid w:val="00E579E7"/>
    <w:rsid w:val="00E60CF2"/>
    <w:rsid w:val="00E6117E"/>
    <w:rsid w:val="00E61B3C"/>
    <w:rsid w:val="00E63E40"/>
    <w:rsid w:val="00E650BD"/>
    <w:rsid w:val="00E652F6"/>
    <w:rsid w:val="00E65E56"/>
    <w:rsid w:val="00E673FE"/>
    <w:rsid w:val="00E67B6F"/>
    <w:rsid w:val="00E67E2F"/>
    <w:rsid w:val="00E7008F"/>
    <w:rsid w:val="00E703FE"/>
    <w:rsid w:val="00E706F0"/>
    <w:rsid w:val="00E7245F"/>
    <w:rsid w:val="00E733D7"/>
    <w:rsid w:val="00E73986"/>
    <w:rsid w:val="00E73997"/>
    <w:rsid w:val="00E74AD3"/>
    <w:rsid w:val="00E74B95"/>
    <w:rsid w:val="00E75974"/>
    <w:rsid w:val="00E75FAC"/>
    <w:rsid w:val="00E76000"/>
    <w:rsid w:val="00E76955"/>
    <w:rsid w:val="00E80CAF"/>
    <w:rsid w:val="00E81CD3"/>
    <w:rsid w:val="00E81F3A"/>
    <w:rsid w:val="00E82435"/>
    <w:rsid w:val="00E82A18"/>
    <w:rsid w:val="00E83005"/>
    <w:rsid w:val="00E83423"/>
    <w:rsid w:val="00E84DEC"/>
    <w:rsid w:val="00E84F39"/>
    <w:rsid w:val="00E85015"/>
    <w:rsid w:val="00E85841"/>
    <w:rsid w:val="00E85992"/>
    <w:rsid w:val="00E87A9E"/>
    <w:rsid w:val="00E903FC"/>
    <w:rsid w:val="00E910AA"/>
    <w:rsid w:val="00E9152D"/>
    <w:rsid w:val="00E9295C"/>
    <w:rsid w:val="00E92B21"/>
    <w:rsid w:val="00E92C3E"/>
    <w:rsid w:val="00E92DA6"/>
    <w:rsid w:val="00E932C2"/>
    <w:rsid w:val="00E93A27"/>
    <w:rsid w:val="00E93AE3"/>
    <w:rsid w:val="00E94ADC"/>
    <w:rsid w:val="00E9511B"/>
    <w:rsid w:val="00E95829"/>
    <w:rsid w:val="00E95847"/>
    <w:rsid w:val="00E95AE5"/>
    <w:rsid w:val="00E96808"/>
    <w:rsid w:val="00E96EB5"/>
    <w:rsid w:val="00E972A9"/>
    <w:rsid w:val="00E9748A"/>
    <w:rsid w:val="00E97802"/>
    <w:rsid w:val="00EA01FC"/>
    <w:rsid w:val="00EA0772"/>
    <w:rsid w:val="00EA19EA"/>
    <w:rsid w:val="00EA1FCB"/>
    <w:rsid w:val="00EA2520"/>
    <w:rsid w:val="00EA2F2C"/>
    <w:rsid w:val="00EA3C11"/>
    <w:rsid w:val="00EA4681"/>
    <w:rsid w:val="00EA4904"/>
    <w:rsid w:val="00EA53BC"/>
    <w:rsid w:val="00EA74C2"/>
    <w:rsid w:val="00EA7DD7"/>
    <w:rsid w:val="00EB0659"/>
    <w:rsid w:val="00EB090E"/>
    <w:rsid w:val="00EB0947"/>
    <w:rsid w:val="00EB14F4"/>
    <w:rsid w:val="00EB1A35"/>
    <w:rsid w:val="00EB1B15"/>
    <w:rsid w:val="00EB1BED"/>
    <w:rsid w:val="00EB2EB9"/>
    <w:rsid w:val="00EB2F76"/>
    <w:rsid w:val="00EB2F7E"/>
    <w:rsid w:val="00EB31D1"/>
    <w:rsid w:val="00EB3DBB"/>
    <w:rsid w:val="00EB42F5"/>
    <w:rsid w:val="00EB6486"/>
    <w:rsid w:val="00EB6E4B"/>
    <w:rsid w:val="00EB7309"/>
    <w:rsid w:val="00EC0FE9"/>
    <w:rsid w:val="00EC150A"/>
    <w:rsid w:val="00EC1C6C"/>
    <w:rsid w:val="00EC2979"/>
    <w:rsid w:val="00EC2E45"/>
    <w:rsid w:val="00EC3AA8"/>
    <w:rsid w:val="00EC4BC3"/>
    <w:rsid w:val="00EC4C1E"/>
    <w:rsid w:val="00EC5157"/>
    <w:rsid w:val="00EC550C"/>
    <w:rsid w:val="00EC6197"/>
    <w:rsid w:val="00EC7BA3"/>
    <w:rsid w:val="00EC7E41"/>
    <w:rsid w:val="00ED07F1"/>
    <w:rsid w:val="00ED12B3"/>
    <w:rsid w:val="00ED24AE"/>
    <w:rsid w:val="00ED251F"/>
    <w:rsid w:val="00ED3E2B"/>
    <w:rsid w:val="00ED4014"/>
    <w:rsid w:val="00ED4E80"/>
    <w:rsid w:val="00ED68E3"/>
    <w:rsid w:val="00ED6EDF"/>
    <w:rsid w:val="00ED72B2"/>
    <w:rsid w:val="00ED74CC"/>
    <w:rsid w:val="00ED765E"/>
    <w:rsid w:val="00ED7CCB"/>
    <w:rsid w:val="00ED7D77"/>
    <w:rsid w:val="00ED7E1C"/>
    <w:rsid w:val="00EE02AF"/>
    <w:rsid w:val="00EE06A4"/>
    <w:rsid w:val="00EE1F8A"/>
    <w:rsid w:val="00EE200B"/>
    <w:rsid w:val="00EE20AB"/>
    <w:rsid w:val="00EE271C"/>
    <w:rsid w:val="00EE2C14"/>
    <w:rsid w:val="00EE3780"/>
    <w:rsid w:val="00EE3989"/>
    <w:rsid w:val="00EE423B"/>
    <w:rsid w:val="00EE43F3"/>
    <w:rsid w:val="00EE4C8F"/>
    <w:rsid w:val="00EE4E16"/>
    <w:rsid w:val="00EE50AB"/>
    <w:rsid w:val="00EE51B4"/>
    <w:rsid w:val="00EE67F7"/>
    <w:rsid w:val="00EE70BF"/>
    <w:rsid w:val="00EE7AD7"/>
    <w:rsid w:val="00EE7C24"/>
    <w:rsid w:val="00EF35C7"/>
    <w:rsid w:val="00EF55BD"/>
    <w:rsid w:val="00EF5EFD"/>
    <w:rsid w:val="00EF5F1E"/>
    <w:rsid w:val="00EF677F"/>
    <w:rsid w:val="00EF6F21"/>
    <w:rsid w:val="00EF7713"/>
    <w:rsid w:val="00EF77B8"/>
    <w:rsid w:val="00F00886"/>
    <w:rsid w:val="00F00A96"/>
    <w:rsid w:val="00F00E57"/>
    <w:rsid w:val="00F00EA8"/>
    <w:rsid w:val="00F0194E"/>
    <w:rsid w:val="00F01BA9"/>
    <w:rsid w:val="00F0247F"/>
    <w:rsid w:val="00F02B01"/>
    <w:rsid w:val="00F02FA7"/>
    <w:rsid w:val="00F03DAF"/>
    <w:rsid w:val="00F03E7B"/>
    <w:rsid w:val="00F03F36"/>
    <w:rsid w:val="00F040FD"/>
    <w:rsid w:val="00F0483F"/>
    <w:rsid w:val="00F057D3"/>
    <w:rsid w:val="00F06286"/>
    <w:rsid w:val="00F06544"/>
    <w:rsid w:val="00F06B16"/>
    <w:rsid w:val="00F070CE"/>
    <w:rsid w:val="00F0731D"/>
    <w:rsid w:val="00F079C2"/>
    <w:rsid w:val="00F07B8C"/>
    <w:rsid w:val="00F1000A"/>
    <w:rsid w:val="00F10C7F"/>
    <w:rsid w:val="00F118C7"/>
    <w:rsid w:val="00F11933"/>
    <w:rsid w:val="00F12C5F"/>
    <w:rsid w:val="00F12F1E"/>
    <w:rsid w:val="00F13011"/>
    <w:rsid w:val="00F1375D"/>
    <w:rsid w:val="00F13895"/>
    <w:rsid w:val="00F13BD4"/>
    <w:rsid w:val="00F154E3"/>
    <w:rsid w:val="00F16B5D"/>
    <w:rsid w:val="00F17225"/>
    <w:rsid w:val="00F17351"/>
    <w:rsid w:val="00F200A2"/>
    <w:rsid w:val="00F21265"/>
    <w:rsid w:val="00F22315"/>
    <w:rsid w:val="00F22E9A"/>
    <w:rsid w:val="00F22EC4"/>
    <w:rsid w:val="00F232C0"/>
    <w:rsid w:val="00F235CA"/>
    <w:rsid w:val="00F23F4A"/>
    <w:rsid w:val="00F258CD"/>
    <w:rsid w:val="00F25BC1"/>
    <w:rsid w:val="00F26023"/>
    <w:rsid w:val="00F27357"/>
    <w:rsid w:val="00F27A4A"/>
    <w:rsid w:val="00F27C5F"/>
    <w:rsid w:val="00F3099E"/>
    <w:rsid w:val="00F32099"/>
    <w:rsid w:val="00F338EA"/>
    <w:rsid w:val="00F33D44"/>
    <w:rsid w:val="00F343A8"/>
    <w:rsid w:val="00F349D2"/>
    <w:rsid w:val="00F34E8D"/>
    <w:rsid w:val="00F3575F"/>
    <w:rsid w:val="00F35EAA"/>
    <w:rsid w:val="00F3651A"/>
    <w:rsid w:val="00F368F5"/>
    <w:rsid w:val="00F37754"/>
    <w:rsid w:val="00F37E18"/>
    <w:rsid w:val="00F37E1E"/>
    <w:rsid w:val="00F40665"/>
    <w:rsid w:val="00F41E79"/>
    <w:rsid w:val="00F4280C"/>
    <w:rsid w:val="00F44359"/>
    <w:rsid w:val="00F447B0"/>
    <w:rsid w:val="00F44A35"/>
    <w:rsid w:val="00F45906"/>
    <w:rsid w:val="00F45CCF"/>
    <w:rsid w:val="00F45D1A"/>
    <w:rsid w:val="00F46028"/>
    <w:rsid w:val="00F462EF"/>
    <w:rsid w:val="00F46659"/>
    <w:rsid w:val="00F467FC"/>
    <w:rsid w:val="00F46AD5"/>
    <w:rsid w:val="00F46E06"/>
    <w:rsid w:val="00F478B8"/>
    <w:rsid w:val="00F5004B"/>
    <w:rsid w:val="00F507C7"/>
    <w:rsid w:val="00F50B2E"/>
    <w:rsid w:val="00F51403"/>
    <w:rsid w:val="00F51421"/>
    <w:rsid w:val="00F51A78"/>
    <w:rsid w:val="00F5237D"/>
    <w:rsid w:val="00F52BD7"/>
    <w:rsid w:val="00F54F94"/>
    <w:rsid w:val="00F550DB"/>
    <w:rsid w:val="00F55946"/>
    <w:rsid w:val="00F56A2E"/>
    <w:rsid w:val="00F600D4"/>
    <w:rsid w:val="00F6058B"/>
    <w:rsid w:val="00F6149E"/>
    <w:rsid w:val="00F6207E"/>
    <w:rsid w:val="00F6303F"/>
    <w:rsid w:val="00F63FCA"/>
    <w:rsid w:val="00F64118"/>
    <w:rsid w:val="00F64527"/>
    <w:rsid w:val="00F64AF6"/>
    <w:rsid w:val="00F65453"/>
    <w:rsid w:val="00F6570C"/>
    <w:rsid w:val="00F666BA"/>
    <w:rsid w:val="00F66C99"/>
    <w:rsid w:val="00F70705"/>
    <w:rsid w:val="00F70AB6"/>
    <w:rsid w:val="00F71576"/>
    <w:rsid w:val="00F72198"/>
    <w:rsid w:val="00F7248E"/>
    <w:rsid w:val="00F72FCC"/>
    <w:rsid w:val="00F741F3"/>
    <w:rsid w:val="00F74D7E"/>
    <w:rsid w:val="00F75F37"/>
    <w:rsid w:val="00F75F68"/>
    <w:rsid w:val="00F76207"/>
    <w:rsid w:val="00F76AD1"/>
    <w:rsid w:val="00F775CC"/>
    <w:rsid w:val="00F776A9"/>
    <w:rsid w:val="00F8026A"/>
    <w:rsid w:val="00F806C3"/>
    <w:rsid w:val="00F8128F"/>
    <w:rsid w:val="00F81A1F"/>
    <w:rsid w:val="00F81DEF"/>
    <w:rsid w:val="00F83B23"/>
    <w:rsid w:val="00F83D50"/>
    <w:rsid w:val="00F858FE"/>
    <w:rsid w:val="00F8651E"/>
    <w:rsid w:val="00F86598"/>
    <w:rsid w:val="00F873F5"/>
    <w:rsid w:val="00F87AFF"/>
    <w:rsid w:val="00F90431"/>
    <w:rsid w:val="00F90454"/>
    <w:rsid w:val="00F905CA"/>
    <w:rsid w:val="00F92085"/>
    <w:rsid w:val="00F92516"/>
    <w:rsid w:val="00F92BC0"/>
    <w:rsid w:val="00F92D92"/>
    <w:rsid w:val="00F95B0F"/>
    <w:rsid w:val="00F95B35"/>
    <w:rsid w:val="00F95CB1"/>
    <w:rsid w:val="00F95DD1"/>
    <w:rsid w:val="00F96C87"/>
    <w:rsid w:val="00F97DB8"/>
    <w:rsid w:val="00FA00DE"/>
    <w:rsid w:val="00FA1470"/>
    <w:rsid w:val="00FA1A1F"/>
    <w:rsid w:val="00FA1FED"/>
    <w:rsid w:val="00FA25DA"/>
    <w:rsid w:val="00FA2A10"/>
    <w:rsid w:val="00FA38E1"/>
    <w:rsid w:val="00FA4B6D"/>
    <w:rsid w:val="00FA6401"/>
    <w:rsid w:val="00FA6A13"/>
    <w:rsid w:val="00FA6E37"/>
    <w:rsid w:val="00FA7C9C"/>
    <w:rsid w:val="00FB0365"/>
    <w:rsid w:val="00FB04F5"/>
    <w:rsid w:val="00FB05B6"/>
    <w:rsid w:val="00FB0BE5"/>
    <w:rsid w:val="00FB0E60"/>
    <w:rsid w:val="00FB15BC"/>
    <w:rsid w:val="00FB17CC"/>
    <w:rsid w:val="00FB4187"/>
    <w:rsid w:val="00FB5633"/>
    <w:rsid w:val="00FB5B57"/>
    <w:rsid w:val="00FB60F7"/>
    <w:rsid w:val="00FB6325"/>
    <w:rsid w:val="00FB6A76"/>
    <w:rsid w:val="00FC0AF5"/>
    <w:rsid w:val="00FC2F6C"/>
    <w:rsid w:val="00FC410D"/>
    <w:rsid w:val="00FC492E"/>
    <w:rsid w:val="00FC65B6"/>
    <w:rsid w:val="00FC6764"/>
    <w:rsid w:val="00FC78B3"/>
    <w:rsid w:val="00FC7C5A"/>
    <w:rsid w:val="00FD00C5"/>
    <w:rsid w:val="00FD0580"/>
    <w:rsid w:val="00FD1A72"/>
    <w:rsid w:val="00FD2A6F"/>
    <w:rsid w:val="00FD3378"/>
    <w:rsid w:val="00FD4112"/>
    <w:rsid w:val="00FD4387"/>
    <w:rsid w:val="00FD4B58"/>
    <w:rsid w:val="00FD58DA"/>
    <w:rsid w:val="00FD5B3A"/>
    <w:rsid w:val="00FD5C79"/>
    <w:rsid w:val="00FD5D73"/>
    <w:rsid w:val="00FD66BD"/>
    <w:rsid w:val="00FD6B26"/>
    <w:rsid w:val="00FE0011"/>
    <w:rsid w:val="00FE09BE"/>
    <w:rsid w:val="00FE12D0"/>
    <w:rsid w:val="00FE17C1"/>
    <w:rsid w:val="00FE1866"/>
    <w:rsid w:val="00FE326B"/>
    <w:rsid w:val="00FE5175"/>
    <w:rsid w:val="00FE5BD6"/>
    <w:rsid w:val="00FE6C99"/>
    <w:rsid w:val="00FE710A"/>
    <w:rsid w:val="00FE7292"/>
    <w:rsid w:val="00FE7327"/>
    <w:rsid w:val="00FE7E51"/>
    <w:rsid w:val="00FF04E9"/>
    <w:rsid w:val="00FF2DBA"/>
    <w:rsid w:val="00FF30D8"/>
    <w:rsid w:val="00FF3160"/>
    <w:rsid w:val="00FF33C2"/>
    <w:rsid w:val="00FF3F8E"/>
    <w:rsid w:val="00FF4033"/>
    <w:rsid w:val="00FF4D99"/>
    <w:rsid w:val="00FF5036"/>
    <w:rsid w:val="00FF517D"/>
    <w:rsid w:val="00FF589C"/>
    <w:rsid w:val="00FF5A05"/>
    <w:rsid w:val="00FF64E2"/>
    <w:rsid w:val="00FF6884"/>
    <w:rsid w:val="00FF705C"/>
    <w:rsid w:val="00FF7652"/>
    <w:rsid w:val="00FF76FD"/>
    <w:rsid w:val="00FF7A2A"/>
    <w:rsid w:val="00FF7A76"/>
    <w:rsid w:val="76C6C6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4DF6F"/>
  <w15:docId w15:val="{0C6D369F-1307-4102-AEB9-15A329D0E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buntu" w:hAnsi="Ubuntu" w:cs="Ubuntu" w:eastAsia="Ubuntu"/>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62A"/>
    <w:pPr>
      <w:spacing w:after="0" w:line="240" w:lineRule="auto"/>
      <w:jc w:val="both"/>
    </w:pPr>
    <w:rPr>
      <w:rFonts w:ascii="Ubuntu" w:hAnsi="Ubuntu" w:cs="Arial"/>
      <w:sz w:val="24"/>
      <w:szCs w:val="24"/>
    </w:rPr>
  </w:style>
  <w:style w:type="paragraph" w:styleId="Heading1">
    <w:name w:val="heading 1"/>
    <w:basedOn w:val="Normal"/>
    <w:next w:val="Normal"/>
    <w:link w:val="Heading1Char"/>
    <w:uiPriority w:val="9"/>
    <w:qFormat/>
    <w:rsid w:val="00DC3F26"/>
    <w:pPr>
      <w:keepNext/>
      <w:keepLines/>
      <w:spacing w:before="240"/>
      <w:outlineLvl w:val="0"/>
    </w:pPr>
    <w:rPr>
      <w:b/>
      <w:bCs/>
      <w:rFonts w:ascii="Ubuntu" w:hAnsi="Ubuntu" w:cs="Ubuntu" w:eastAsia="Ubuntu"/>
      <w:color w:val="365F91" w:themeColor="accent1" w:themeShade="BF"/>
      <w:sz w:val="32"/>
      <w:szCs w:val="32"/>
    </w:rPr>
  </w:style>
  <w:style w:type="paragraph" w:styleId="Heading2">
    <w:name w:val="heading 2"/>
    <w:basedOn w:val="Normal"/>
    <w:next w:val="Normal"/>
    <w:link w:val="Heading2Char"/>
    <w:uiPriority w:val="9"/>
    <w:unhideWhenUsed/>
    <w:qFormat/>
    <w:rsid w:val="002A3979"/>
    <w:pPr>
      <w:keepNext/>
      <w:keepLines/>
      <w:spacing w:before="40"/>
      <w:outlineLvl w:val="1"/>
    </w:pPr>
    <w:rPr>
      <w:b/>
      <w:bCs/>
      <w:rFonts w:ascii="Ubuntu" w:hAnsi="Ubuntu" w:cs="Ubuntu" w:eastAsia="Ubuntu"/>
      <w:color w:val="365F91" w:themeColor="accent1" w:themeShade="BF"/>
      <w:sz w:val="28"/>
      <w:szCs w:val="28"/>
    </w:rPr>
  </w:style>
  <w:style w:type="paragraph" w:styleId="Heading3">
    <w:name w:val="heading 3"/>
    <w:basedOn w:val="Normal"/>
    <w:next w:val="Normal"/>
    <w:link w:val="Heading3Char"/>
    <w:uiPriority w:val="9"/>
    <w:semiHidden/>
    <w:unhideWhenUsed/>
    <w:qFormat/>
    <w:rsid w:val="002A3979"/>
    <w:pPr>
      <w:keepNext/>
      <w:keepLines/>
      <w:spacing w:before="40"/>
      <w:outlineLvl w:val="2"/>
    </w:pPr>
    <w:rPr>
      <w:b/>
      <w:bCs/>
      <w:rFonts w:ascii="Ubuntu" w:hAnsi="Ubuntu" w:cs="Ubuntu" w:eastAsia="Ubuntu"/>
      <w:color w:val="365F91" w:themeColor="accent1" w:themeShade="BF"/>
      <w:sz w:val="24"/>
      <w:szCs w:val="24"/>
    </w:rPr>
  </w:style>
  <w:style w:type="paragraph" w:styleId="Heading4">
    <w:name w:val="heading 4"/>
    <w:basedOn w:val="Normal"/>
    <w:next w:val="Normal"/>
    <w:link w:val="Heading4Char"/>
    <w:uiPriority w:val="9"/>
    <w:semiHidden/>
    <w:unhideWhenUsed/>
    <w:qFormat/>
    <w:rsid w:val="006B5C6B"/>
    <w:pPr>
      <w:keepNext/>
      <w:keepLines/>
      <w:spacing w:before="40"/>
      <w:outlineLvl w:val="3"/>
    </w:pPr>
    <w:rPr>
      <w:rFonts w:ascii="Ubuntu" w:hAnsi="Ubuntu" w:cs="Ubuntu" w:eastAsia="Ubuntu"/>
      <w:i/>
      <w:iCs/>
      <w:color w:val="365F91" w:themeColor="accent1" w:themeShade="BF"/>
    </w:rPr>
  </w:style>
  <w:style w:type="paragraph" w:styleId="Heading5">
    <w:name w:val="heading 5"/>
    <w:basedOn w:val="Normal"/>
    <w:next w:val="Normal"/>
    <w:link w:val="Heading5Char"/>
    <w:uiPriority w:val="9"/>
    <w:semiHidden/>
    <w:unhideWhenUsed/>
    <w:qFormat/>
    <w:rsid w:val="006B5C6B"/>
    <w:pPr>
      <w:keepNext/>
      <w:keepLines/>
      <w:spacing w:before="40"/>
      <w:outlineLvl w:val="4"/>
    </w:pPr>
    <w:rPr>
      <w:rFonts w:ascii="Ubuntu" w:hAnsi="Ubuntu" w:cs="Ubuntu" w:eastAsia="Ubuntu"/>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35CCE"/>
    <w:pPr>
      <w:ind w:left="720"/>
      <w:contextualSpacing/>
    </w:pPr>
  </w:style>
  <w:style w:type="character" w:styleId="CommentReference">
    <w:name w:val="annotation reference"/>
    <w:basedOn w:val="DefaultParagraphFont"/>
    <w:uiPriority w:val="99"/>
    <w:semiHidden/>
    <w:unhideWhenUsed/>
    <w:rsid w:val="002F10F7"/>
    <w:rPr>
      <w:sz w:val="16"/>
      <w:szCs w:val="16"/>
    </w:rPr>
  </w:style>
  <w:style w:type="paragraph" w:styleId="CommentText">
    <w:name w:val="annotation text"/>
    <w:basedOn w:val="Normal"/>
    <w:link w:val="CommentTextChar"/>
    <w:uiPriority w:val="99"/>
    <w:semiHidden/>
    <w:unhideWhenUsed/>
    <w:rsid w:val="002F10F7"/>
    <w:rPr>
      <w:sz w:val="20"/>
      <w:szCs w:val="20"/>
    </w:rPr>
  </w:style>
  <w:style w:type="character" w:customStyle="1" w:styleId="CommentTextChar">
    <w:name w:val="Comment Text Char"/>
    <w:basedOn w:val="DefaultParagraphFont"/>
    <w:link w:val="CommentText"/>
    <w:uiPriority w:val="99"/>
    <w:semiHidden/>
    <w:rsid w:val="002F10F7"/>
    <w:rPr>
      <w:sz w:val="20"/>
      <w:szCs w:val="20"/>
    </w:rPr>
  </w:style>
  <w:style w:type="paragraph" w:styleId="CommentSubject">
    <w:name w:val="annotation subject"/>
    <w:basedOn w:val="CommentText"/>
    <w:next w:val="CommentText"/>
    <w:link w:val="CommentSubjectChar"/>
    <w:uiPriority w:val="99"/>
    <w:semiHidden/>
    <w:unhideWhenUsed/>
    <w:rsid w:val="002F10F7"/>
    <w:rPr>
      <w:b/>
      <w:bCs/>
    </w:rPr>
  </w:style>
  <w:style w:type="character" w:customStyle="1" w:styleId="CommentSubjectChar">
    <w:name w:val="Comment Subject Char"/>
    <w:basedOn w:val="CommentTextChar"/>
    <w:link w:val="CommentSubject"/>
    <w:uiPriority w:val="99"/>
    <w:semiHidden/>
    <w:rsid w:val="002F10F7"/>
    <w:rPr>
      <w:b/>
      <w:bCs/>
      <w:sz w:val="20"/>
      <w:szCs w:val="20"/>
    </w:rPr>
  </w:style>
  <w:style w:type="paragraph" w:styleId="BalloonText">
    <w:name w:val="Balloon Text"/>
    <w:basedOn w:val="Normal"/>
    <w:link w:val="BalloonTextChar"/>
    <w:uiPriority w:val="99"/>
    <w:semiHidden/>
    <w:unhideWhenUsed/>
    <w:rsid w:val="002F10F7"/>
    <w:rPr>
      <w:rFonts w:ascii="Tahoma" w:hAnsi="Tahoma" w:cs="Tahoma"/>
      <w:sz w:val="16"/>
      <w:szCs w:val="16"/>
    </w:rPr>
  </w:style>
  <w:style w:type="character" w:customStyle="1" w:styleId="BalloonTextChar">
    <w:name w:val="Balloon Text Char"/>
    <w:basedOn w:val="DefaultParagraphFont"/>
    <w:link w:val="BalloonText"/>
    <w:uiPriority w:val="99"/>
    <w:semiHidden/>
    <w:rsid w:val="002F10F7"/>
    <w:rPr>
      <w:rFonts w:ascii="Tahoma" w:hAnsi="Tahoma" w:cs="Tahoma"/>
      <w:sz w:val="16"/>
      <w:szCs w:val="16"/>
    </w:rPr>
  </w:style>
  <w:style w:type="table" w:styleId="TableGrid">
    <w:name w:val="Table Grid"/>
    <w:basedOn w:val="TableNormal"/>
    <w:uiPriority w:val="39"/>
    <w:rsid w:val="002F1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58DA"/>
    <w:pPr>
      <w:tabs>
        <w:tab w:val="center" w:pos="4419"/>
        <w:tab w:val="right" w:pos="8838"/>
      </w:tabs>
    </w:pPr>
  </w:style>
  <w:style w:type="character" w:customStyle="1" w:styleId="HeaderChar">
    <w:name w:val="Header Char"/>
    <w:basedOn w:val="DefaultParagraphFont"/>
    <w:link w:val="Header"/>
    <w:uiPriority w:val="99"/>
    <w:rsid w:val="00FD58DA"/>
  </w:style>
  <w:style w:type="paragraph" w:styleId="Footer">
    <w:name w:val="footer"/>
    <w:basedOn w:val="Normal"/>
    <w:link w:val="FooterChar"/>
    <w:uiPriority w:val="99"/>
    <w:unhideWhenUsed/>
    <w:rsid w:val="00FD58DA"/>
    <w:pPr>
      <w:tabs>
        <w:tab w:val="center" w:pos="4419"/>
        <w:tab w:val="right" w:pos="8838"/>
      </w:tabs>
    </w:pPr>
  </w:style>
  <w:style w:type="character" w:customStyle="1" w:styleId="FooterChar">
    <w:name w:val="Footer Char"/>
    <w:basedOn w:val="DefaultParagraphFont"/>
    <w:link w:val="Footer"/>
    <w:uiPriority w:val="99"/>
    <w:rsid w:val="00FD58DA"/>
  </w:style>
  <w:style w:type="character" w:styleId="Hyperlink">
    <w:name w:val="Hyperlink"/>
    <w:basedOn w:val="DefaultParagraphFont"/>
    <w:uiPriority w:val="99"/>
    <w:unhideWhenUsed/>
    <w:rsid w:val="00FD58DA"/>
    <w:rPr>
      <w:color w:val="0000FF" w:themeColor="hyperlink"/>
      <w:u w:val="single"/>
    </w:rPr>
  </w:style>
  <w:style w:type="paragraph" w:customStyle="1" w:styleId="Default">
    <w:name w:val="Default"/>
    <w:rsid w:val="00AC23A7"/>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DefaultParagraphFont"/>
    <w:rsid w:val="00572586"/>
  </w:style>
  <w:style w:type="paragraph" w:styleId="NoSpacing">
    <w:name w:val="No Spacing"/>
    <w:uiPriority w:val="1"/>
    <w:qFormat/>
    <w:rsid w:val="00460A43"/>
    <w:pPr>
      <w:spacing w:after="0" w:line="240" w:lineRule="auto"/>
    </w:pPr>
  </w:style>
  <w:style w:type="paragraph" w:styleId="BodyText3">
    <w:name w:val="Body Text 3"/>
    <w:basedOn w:val="Normal"/>
    <w:link w:val="BodyText3Char"/>
    <w:rsid w:val="001445FB"/>
    <w:rPr>
      <w:rFonts w:ascii="Tahoma" w:eastAsia="Times New Roman" w:hAnsi="Tahoma" w:cs="Times New Roman"/>
      <w:lang w:eastAsia="x-none"/>
    </w:rPr>
  </w:style>
  <w:style w:type="character" w:customStyle="1" w:styleId="BodyText3Char">
    <w:name w:val="Body Text 3 Char"/>
    <w:basedOn w:val="DefaultParagraphFont"/>
    <w:link w:val="BodyText3"/>
    <w:rsid w:val="001445FB"/>
    <w:rPr>
      <w:rFonts w:ascii="Tahoma" w:eastAsia="Times New Roman" w:hAnsi="Tahoma" w:cs="Times New Roman"/>
      <w:sz w:val="24"/>
      <w:szCs w:val="24"/>
      <w:lang w:eastAsia="x-none"/>
    </w:rPr>
  </w:style>
  <w:style w:type="paragraph" w:customStyle="1" w:styleId="TtuloCMConsultingSAS">
    <w:name w:val="Título CM Consulting SAS"/>
    <w:basedOn w:val="ListParagraph"/>
    <w:next w:val="Normal"/>
    <w:link w:val="TtuloCMConsultingSASChar"/>
    <w:rsid w:val="00C30D3A"/>
    <w:pPr>
      <w:numPr>
        <w:numId w:val="1"/>
      </w:numPr>
      <w:shd w:val="clear" w:color="auto" w:fill="DBE5F1" w:themeFill="accent1" w:themeFillTint="33"/>
    </w:pPr>
    <w:rPr>
      <w:b/>
      <w:color w:val="17365D" w:themeColor="text2" w:themeShade="BF"/>
    </w:rPr>
  </w:style>
  <w:style w:type="paragraph" w:styleId="TOC1">
    <w:name w:val="toc 1"/>
    <w:basedOn w:val="Normal"/>
    <w:next w:val="Normal"/>
    <w:autoRedefine/>
    <w:uiPriority w:val="39"/>
    <w:unhideWhenUsed/>
    <w:rsid w:val="00DC3F26"/>
    <w:pPr>
      <w:spacing w:after="100"/>
    </w:pPr>
  </w:style>
  <w:style w:type="character" w:customStyle="1" w:styleId="Heading1Char">
    <w:name w:val="Heading 1 Char"/>
    <w:basedOn w:val="DefaultParagraphFont"/>
    <w:link w:val="Heading1"/>
    <w:uiPriority w:val="9"/>
    <w:rsid w:val="00DC3F26"/>
    <w:rPr>
      <w:rFonts w:ascii="Ubuntu" w:hAnsi="Ubuntu" w:cs="Ubuntu" w:eastAsia="Ubuntu"/>
      <w:color w:val="365F91" w:themeColor="accent1" w:themeShade="BF"/>
      <w:sz w:val="32"/>
      <w:szCs w:val="32"/>
    </w:rPr>
  </w:style>
  <w:style w:type="character" w:customStyle="1" w:styleId="ListParagraphChar">
    <w:name w:val="List Paragraph Char"/>
    <w:basedOn w:val="DefaultParagraphFont"/>
    <w:link w:val="ListParagraph"/>
    <w:uiPriority w:val="34"/>
    <w:rsid w:val="00DC3F26"/>
  </w:style>
  <w:style w:type="character" w:customStyle="1" w:styleId="TtuloCMConsultingSASChar">
    <w:name w:val="Título CM Consulting SAS Char"/>
    <w:basedOn w:val="ListParagraphChar"/>
    <w:link w:val="TtuloCMConsultingSAS"/>
    <w:rsid w:val="00C30D3A"/>
    <w:rPr>
      <w:rFonts w:ascii="Ubuntu" w:hAnsi="Ubuntu" w:cs="Arial"/>
      <w:b/>
      <w:color w:val="17365D" w:themeColor="text2" w:themeShade="BF"/>
      <w:sz w:val="24"/>
      <w:szCs w:val="24"/>
      <w:shd w:val="clear" w:color="auto" w:fill="DBE5F1" w:themeFill="accent1" w:themeFillTint="33"/>
    </w:rPr>
  </w:style>
  <w:style w:type="paragraph" w:customStyle="1" w:styleId="SubttuloCMConsultingSAS">
    <w:name w:val="Subtítulo CM Consulting SAS"/>
    <w:basedOn w:val="Normal"/>
    <w:next w:val="Normal"/>
    <w:link w:val="SubttuloCMConsultingSASChar"/>
    <w:rsid w:val="002A3979"/>
    <w:pPr>
      <w:tabs>
        <w:tab w:val="left" w:pos="-1985"/>
      </w:tabs>
    </w:pPr>
    <w:rPr>
      <w:b/>
    </w:rPr>
  </w:style>
  <w:style w:type="paragraph" w:styleId="TOC2">
    <w:name w:val="toc 2"/>
    <w:basedOn w:val="Normal"/>
    <w:next w:val="Normal"/>
    <w:autoRedefine/>
    <w:uiPriority w:val="39"/>
    <w:unhideWhenUsed/>
    <w:rsid w:val="002A3979"/>
    <w:pPr>
      <w:spacing w:after="100"/>
      <w:ind w:left="220"/>
    </w:pPr>
  </w:style>
  <w:style w:type="character" w:customStyle="1" w:styleId="SubttuloCMConsultingSASChar">
    <w:name w:val="Subtítulo CM Consulting SAS Char"/>
    <w:basedOn w:val="DefaultParagraphFont"/>
    <w:link w:val="SubttuloCMConsultingSAS"/>
    <w:rsid w:val="002A3979"/>
    <w:rPr>
      <w:rFonts w:ascii="Arial" w:hAnsi="Arial" w:cs="Arial"/>
      <w:b/>
      <w:sz w:val="24"/>
      <w:szCs w:val="24"/>
    </w:rPr>
  </w:style>
  <w:style w:type="character" w:customStyle="1" w:styleId="Heading2Char">
    <w:name w:val="Heading 2 Char"/>
    <w:basedOn w:val="DefaultParagraphFont"/>
    <w:link w:val="Heading2"/>
    <w:uiPriority w:val="9"/>
    <w:rsid w:val="002A3979"/>
    <w:rPr>
      <w:b/>
      <w:bCs/>
      <w:rFonts w:ascii="Ubuntu" w:hAnsi="Ubuntu" w:cs="Ubuntu" w:eastAsia="Ubuntu"/>
      <w:color w:val="365F91" w:themeColor="accent1" w:themeShade="BF"/>
      <w:sz w:val="28"/>
      <w:szCs w:val="28"/>
    </w:rPr>
  </w:style>
  <w:style w:type="character" w:customStyle="1" w:styleId="Heading3Char">
    <w:name w:val="Heading 3 Char"/>
    <w:basedOn w:val="DefaultParagraphFont"/>
    <w:link w:val="Heading3"/>
    <w:uiPriority w:val="9"/>
    <w:semiHidden/>
    <w:rsid w:val="002A3979"/>
    <w:rPr>
      <w:b/>
      <w:bCs/>
      <w:rFonts w:ascii="Ubuntu" w:hAnsi="Ubuntu" w:cs="Ubuntu" w:eastAsia="Ubuntu"/>
      <w:color w:val="365F91" w:themeColor="accent1" w:themeShade="BF"/>
      <w:sz w:val="24"/>
      <w:szCs w:val="24"/>
      <w:sz w:val="24"/>
      <w:szCs w:val="24"/>
    </w:rPr>
  </w:style>
  <w:style w:type="paragraph" w:customStyle="1" w:styleId="TituloCMConsultingSAS">
    <w:name w:val="Titulo CM Consulting SAS"/>
    <w:basedOn w:val="ListParagraph"/>
    <w:link w:val="TituloCMConsultingSASChar"/>
    <w:rsid w:val="00D616E5"/>
    <w:pPr>
      <w:shd w:val="clear" w:color="auto" w:fill="DBE5F1" w:themeFill="accent1" w:themeFillTint="33"/>
      <w:ind w:left="360" w:hanging="360"/>
    </w:pPr>
    <w:rPr>
      <w:b/>
      <w:color w:val="17365D" w:themeColor="text2" w:themeShade="BF"/>
      <w:lang w:val="es-MX"/>
    </w:rPr>
  </w:style>
  <w:style w:type="character" w:customStyle="1" w:styleId="TituloCMConsultingSASChar">
    <w:name w:val="Titulo CM Consulting SAS Char"/>
    <w:basedOn w:val="ListParagraphChar"/>
    <w:link w:val="TituloCMConsultingSAS"/>
    <w:rsid w:val="00D616E5"/>
    <w:rPr>
      <w:rFonts w:ascii="Arial" w:hAnsi="Arial" w:cs="Arial"/>
      <w:b/>
      <w:color w:val="17365D" w:themeColor="text2" w:themeShade="BF"/>
      <w:sz w:val="24"/>
      <w:szCs w:val="24"/>
      <w:shd w:val="clear" w:color="auto" w:fill="DBE5F1" w:themeFill="accent1" w:themeFillTint="33"/>
      <w:lang w:val="es-MX"/>
    </w:rPr>
  </w:style>
  <w:style w:type="table" w:styleId="GridTable4-Accent1">
    <w:name w:val="Grid Table 4 Accent 1"/>
    <w:basedOn w:val="TableNormal"/>
    <w:uiPriority w:val="49"/>
    <w:rsid w:val="000839F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tuloCM">
    <w:name w:val="Título CM"/>
    <w:basedOn w:val="ListParagraph"/>
    <w:next w:val="Normal"/>
    <w:link w:val="TtuloCMChar"/>
    <w:qFormat/>
    <w:rsid w:val="009D2EBD"/>
    <w:pPr>
      <w:numPr>
        <w:numId w:val="2"/>
      </w:numPr>
    </w:pPr>
    <w:rPr>
      <w:b/>
    </w:rPr>
  </w:style>
  <w:style w:type="character" w:customStyle="1" w:styleId="TtuloCMChar">
    <w:name w:val="Título CM Char"/>
    <w:basedOn w:val="ListParagraphChar"/>
    <w:link w:val="TtuloCM"/>
    <w:rsid w:val="009D2EBD"/>
    <w:rPr>
      <w:rFonts w:ascii="Ubuntu" w:hAnsi="Ubuntu" w:cs="Arial"/>
      <w:b/>
      <w:sz w:val="24"/>
      <w:szCs w:val="24"/>
    </w:rPr>
  </w:style>
  <w:style w:type="character" w:customStyle="1" w:styleId="Heading4Char">
    <w:name w:val="Heading 4 Char"/>
    <w:basedOn w:val="DefaultParagraphFont"/>
    <w:link w:val="Heading4"/>
    <w:uiPriority w:val="9"/>
    <w:semiHidden/>
    <w:rsid w:val="006B5C6B"/>
    <w:rPr>
      <w:rFonts w:ascii="Ubuntu" w:hAnsi="Ubuntu" w:cs="Ubuntu" w:eastAsia="Ubuntu"/>
      <w:i/>
      <w:iCs/>
      <w:color w:val="365F91" w:themeColor="accent1" w:themeShade="BF"/>
      <w:sz w:val="24"/>
      <w:szCs w:val="24"/>
    </w:rPr>
  </w:style>
  <w:style w:type="character" w:customStyle="1" w:styleId="Heading5Char">
    <w:name w:val="Heading 5 Char"/>
    <w:basedOn w:val="DefaultParagraphFont"/>
    <w:link w:val="Heading5"/>
    <w:uiPriority w:val="9"/>
    <w:semiHidden/>
    <w:rsid w:val="006B5C6B"/>
    <w:rPr>
      <w:rFonts w:ascii="Ubuntu" w:hAnsi="Ubuntu" w:cs="Ubuntu" w:eastAsia="Ubuntu"/>
      <w:color w:val="365F91" w:themeColor="accent1" w:themeShade="BF"/>
      <w:sz w:val="24"/>
      <w:szCs w:val="24"/>
    </w:rPr>
  </w:style>
  <w:style w:type="paragraph" w:customStyle="1" w:styleId="CMTitulo">
    <w:name w:val="CM Titulo"/>
    <w:basedOn w:val="TtuloCMConsultingSAS"/>
    <w:next w:val="Normal"/>
    <w:autoRedefine/>
    <w:rsid w:val="00767CE2"/>
    <w:pPr>
      <w:shd w:val="clear" w:color="auto" w:fill="auto"/>
    </w:pPr>
    <w:rPr>
      <w:color w:val="0F385A"/>
    </w:rPr>
  </w:style>
  <w:style w:type="table" w:styleId="TableGridLight">
    <w:name w:val="Grid Table Light"/>
    <w:basedOn w:val="TableNormal"/>
    <w:uiPriority w:val="40"/>
    <w:rsid w:val="004730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D4A94"/>
    <w:rPr>
      <w:color w:val="605E5C"/>
      <w:shd w:val="clear" w:color="auto" w:fill="E1DFDD"/>
    </w:rPr>
  </w:style>
  <w:style w:type="paragraph" w:customStyle="1" w:styleId="PortadaCM">
    <w:name w:val="Portada CM"/>
    <w:basedOn w:val="Normal"/>
    <w:link w:val="PortadaCMChar"/>
    <w:qFormat/>
    <w:rsid w:val="00055D22"/>
    <w:pPr>
      <w:jc w:val="center"/>
    </w:pPr>
    <w:rPr>
      <w:b/>
      <w:bCs/>
      <w:sz w:val="64"/>
      <w:szCs w:val="64"/>
    </w:rPr>
  </w:style>
  <w:style w:type="paragraph" w:customStyle="1" w:styleId="SubtituloCMConsultingSAS">
    <w:name w:val="Subtitulo CM Consulting SAS"/>
    <w:basedOn w:val="ListParagraph"/>
    <w:next w:val="Normal"/>
    <w:link w:val="SubtituloCMConsultingSASChar"/>
    <w:qFormat/>
    <w:rsid w:val="00EF6F21"/>
    <w:pPr>
      <w:ind w:hanging="720"/>
    </w:pPr>
    <w:rPr>
      <w:b/>
    </w:rPr>
  </w:style>
  <w:style w:type="character" w:customStyle="1" w:styleId="PortadaCMChar">
    <w:name w:val="Portada CM Char"/>
    <w:basedOn w:val="DefaultParagraphFont"/>
    <w:link w:val="PortadaCM"/>
    <w:rsid w:val="00055D22"/>
    <w:rPr>
      <w:rFonts w:ascii="Ubuntu" w:hAnsi="Ubuntu" w:cs="Arial"/>
      <w:b/>
      <w:bCs/>
      <w:color w:val="144E8C"/>
      <w:sz w:val="64"/>
      <w:szCs w:val="64"/>
    </w:rPr>
  </w:style>
  <w:style w:type="character" w:customStyle="1" w:styleId="SubtituloCMConsultingSASChar">
    <w:name w:val="Subtitulo CM Consulting SAS Char"/>
    <w:basedOn w:val="ListParagraphChar"/>
    <w:link w:val="SubtituloCMConsultingSAS"/>
    <w:rsid w:val="00EF6F21"/>
    <w:rPr>
      <w:rFonts w:ascii="Ubuntu" w:hAnsi="Ubuntu" w:cs="Arial"/>
      <w:b/>
      <w:color w:val="144E8C"/>
      <w:sz w:val="24"/>
      <w:szCs w:val="24"/>
    </w:rPr>
  </w:style>
  <w:style w:type="table" w:styleId="GridTable5Dark-Accent1">
    <w:name w:val="Grid Table 5 Dark Accent 1"/>
    <w:basedOn w:val="TableNormal"/>
    <w:uiPriority w:val="50"/>
    <w:rsid w:val="00CA1E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ui-provider">
    <w:name w:val="ui-provider"/>
    <w:basedOn w:val="DefaultParagraphFont"/>
    <w:rsid w:val="00DD7077"/>
  </w:style>
  <w:style w:type="character" w:styleId="PlaceholderText">
    <w:name w:val="Placeholder Text"/>
    <w:basedOn w:val="DefaultParagraphFont"/>
    <w:uiPriority w:val="99"/>
    <w:semiHidden/>
    <w:rsid w:val="009923B8"/>
    <w:rPr>
      <w:color w:val="808080"/>
    </w:rPr>
  </w:style>
  <w:style w:type="character" w:customStyle="1" w:styleId="normaltextrun">
    <w:name w:val="normaltextrun"/>
    <w:basedOn w:val="DefaultParagraphFont"/>
    <w:rsid w:val="001A7FF8"/>
  </w:style>
  <w:style w:type="character" w:customStyle="1" w:styleId="eop">
    <w:name w:val="eop"/>
    <w:basedOn w:val="DefaultParagraphFont"/>
    <w:rsid w:val="001A7FF8"/>
  </w:style>
  <w:style w:type="paragraph" w:styleId="Revision">
    <w:name w:val="Revision"/>
    <w:hidden/>
    <w:uiPriority w:val="99"/>
    <w:semiHidden/>
    <w:rsid w:val="005D167C"/>
    <w:pPr>
      <w:spacing w:after="0" w:line="240" w:lineRule="auto"/>
    </w:pPr>
    <w:rPr>
      <w:rFonts w:ascii="Ubuntu" w:hAnsi="Ubuntu"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75565">
      <w:bodyDiv w:val="1"/>
      <w:marLeft w:val="0"/>
      <w:marRight w:val="0"/>
      <w:marTop w:val="0"/>
      <w:marBottom w:val="0"/>
      <w:divBdr>
        <w:top w:val="none" w:sz="0" w:space="0" w:color="auto"/>
        <w:left w:val="none" w:sz="0" w:space="0" w:color="auto"/>
        <w:bottom w:val="none" w:sz="0" w:space="0" w:color="auto"/>
        <w:right w:val="none" w:sz="0" w:space="0" w:color="auto"/>
      </w:divBdr>
    </w:div>
    <w:div w:id="78986075">
      <w:bodyDiv w:val="1"/>
      <w:marLeft w:val="0"/>
      <w:marRight w:val="0"/>
      <w:marTop w:val="0"/>
      <w:marBottom w:val="0"/>
      <w:divBdr>
        <w:top w:val="none" w:sz="0" w:space="0" w:color="auto"/>
        <w:left w:val="none" w:sz="0" w:space="0" w:color="auto"/>
        <w:bottom w:val="none" w:sz="0" w:space="0" w:color="auto"/>
        <w:right w:val="none" w:sz="0" w:space="0" w:color="auto"/>
      </w:divBdr>
    </w:div>
    <w:div w:id="167331286">
      <w:bodyDiv w:val="1"/>
      <w:marLeft w:val="0"/>
      <w:marRight w:val="0"/>
      <w:marTop w:val="0"/>
      <w:marBottom w:val="0"/>
      <w:divBdr>
        <w:top w:val="none" w:sz="0" w:space="0" w:color="auto"/>
        <w:left w:val="none" w:sz="0" w:space="0" w:color="auto"/>
        <w:bottom w:val="none" w:sz="0" w:space="0" w:color="auto"/>
        <w:right w:val="none" w:sz="0" w:space="0" w:color="auto"/>
      </w:divBdr>
    </w:div>
    <w:div w:id="170607535">
      <w:bodyDiv w:val="1"/>
      <w:marLeft w:val="0"/>
      <w:marRight w:val="0"/>
      <w:marTop w:val="0"/>
      <w:marBottom w:val="0"/>
      <w:divBdr>
        <w:top w:val="none" w:sz="0" w:space="0" w:color="auto"/>
        <w:left w:val="none" w:sz="0" w:space="0" w:color="auto"/>
        <w:bottom w:val="none" w:sz="0" w:space="0" w:color="auto"/>
        <w:right w:val="none" w:sz="0" w:space="0" w:color="auto"/>
      </w:divBdr>
    </w:div>
    <w:div w:id="201941860">
      <w:bodyDiv w:val="1"/>
      <w:marLeft w:val="0"/>
      <w:marRight w:val="0"/>
      <w:marTop w:val="0"/>
      <w:marBottom w:val="0"/>
      <w:divBdr>
        <w:top w:val="none" w:sz="0" w:space="0" w:color="auto"/>
        <w:left w:val="none" w:sz="0" w:space="0" w:color="auto"/>
        <w:bottom w:val="none" w:sz="0" w:space="0" w:color="auto"/>
        <w:right w:val="none" w:sz="0" w:space="0" w:color="auto"/>
      </w:divBdr>
    </w:div>
    <w:div w:id="268705129">
      <w:bodyDiv w:val="1"/>
      <w:marLeft w:val="0"/>
      <w:marRight w:val="0"/>
      <w:marTop w:val="0"/>
      <w:marBottom w:val="0"/>
      <w:divBdr>
        <w:top w:val="none" w:sz="0" w:space="0" w:color="auto"/>
        <w:left w:val="none" w:sz="0" w:space="0" w:color="auto"/>
        <w:bottom w:val="none" w:sz="0" w:space="0" w:color="auto"/>
        <w:right w:val="none" w:sz="0" w:space="0" w:color="auto"/>
      </w:divBdr>
    </w:div>
    <w:div w:id="367099175">
      <w:bodyDiv w:val="1"/>
      <w:marLeft w:val="0"/>
      <w:marRight w:val="0"/>
      <w:marTop w:val="0"/>
      <w:marBottom w:val="0"/>
      <w:divBdr>
        <w:top w:val="none" w:sz="0" w:space="0" w:color="auto"/>
        <w:left w:val="none" w:sz="0" w:space="0" w:color="auto"/>
        <w:bottom w:val="none" w:sz="0" w:space="0" w:color="auto"/>
        <w:right w:val="none" w:sz="0" w:space="0" w:color="auto"/>
      </w:divBdr>
    </w:div>
    <w:div w:id="452947024">
      <w:bodyDiv w:val="1"/>
      <w:marLeft w:val="0"/>
      <w:marRight w:val="0"/>
      <w:marTop w:val="0"/>
      <w:marBottom w:val="0"/>
      <w:divBdr>
        <w:top w:val="none" w:sz="0" w:space="0" w:color="auto"/>
        <w:left w:val="none" w:sz="0" w:space="0" w:color="auto"/>
        <w:bottom w:val="none" w:sz="0" w:space="0" w:color="auto"/>
        <w:right w:val="none" w:sz="0" w:space="0" w:color="auto"/>
      </w:divBdr>
      <w:divsChild>
        <w:div w:id="1707484430">
          <w:marLeft w:val="0"/>
          <w:marRight w:val="0"/>
          <w:marTop w:val="0"/>
          <w:marBottom w:val="0"/>
          <w:divBdr>
            <w:top w:val="none" w:sz="0" w:space="0" w:color="auto"/>
            <w:left w:val="none" w:sz="0" w:space="0" w:color="auto"/>
            <w:bottom w:val="none" w:sz="0" w:space="0" w:color="auto"/>
            <w:right w:val="none" w:sz="0" w:space="0" w:color="auto"/>
          </w:divBdr>
        </w:div>
      </w:divsChild>
    </w:div>
    <w:div w:id="500584321">
      <w:bodyDiv w:val="1"/>
      <w:marLeft w:val="0"/>
      <w:marRight w:val="0"/>
      <w:marTop w:val="0"/>
      <w:marBottom w:val="0"/>
      <w:divBdr>
        <w:top w:val="none" w:sz="0" w:space="0" w:color="auto"/>
        <w:left w:val="none" w:sz="0" w:space="0" w:color="auto"/>
        <w:bottom w:val="none" w:sz="0" w:space="0" w:color="auto"/>
        <w:right w:val="none" w:sz="0" w:space="0" w:color="auto"/>
      </w:divBdr>
      <w:divsChild>
        <w:div w:id="2062049602">
          <w:marLeft w:val="0"/>
          <w:marRight w:val="0"/>
          <w:marTop w:val="0"/>
          <w:marBottom w:val="0"/>
          <w:divBdr>
            <w:top w:val="none" w:sz="0" w:space="0" w:color="auto"/>
            <w:left w:val="none" w:sz="0" w:space="0" w:color="auto"/>
            <w:bottom w:val="none" w:sz="0" w:space="0" w:color="auto"/>
            <w:right w:val="none" w:sz="0" w:space="0" w:color="auto"/>
          </w:divBdr>
        </w:div>
        <w:div w:id="1092359746">
          <w:marLeft w:val="0"/>
          <w:marRight w:val="0"/>
          <w:marTop w:val="0"/>
          <w:marBottom w:val="0"/>
          <w:divBdr>
            <w:top w:val="none" w:sz="0" w:space="0" w:color="auto"/>
            <w:left w:val="none" w:sz="0" w:space="0" w:color="auto"/>
            <w:bottom w:val="none" w:sz="0" w:space="0" w:color="auto"/>
            <w:right w:val="none" w:sz="0" w:space="0" w:color="auto"/>
          </w:divBdr>
        </w:div>
        <w:div w:id="1847744983">
          <w:marLeft w:val="0"/>
          <w:marRight w:val="0"/>
          <w:marTop w:val="0"/>
          <w:marBottom w:val="0"/>
          <w:divBdr>
            <w:top w:val="none" w:sz="0" w:space="0" w:color="auto"/>
            <w:left w:val="none" w:sz="0" w:space="0" w:color="auto"/>
            <w:bottom w:val="none" w:sz="0" w:space="0" w:color="auto"/>
            <w:right w:val="none" w:sz="0" w:space="0" w:color="auto"/>
          </w:divBdr>
        </w:div>
        <w:div w:id="611782721">
          <w:marLeft w:val="0"/>
          <w:marRight w:val="0"/>
          <w:marTop w:val="0"/>
          <w:marBottom w:val="0"/>
          <w:divBdr>
            <w:top w:val="none" w:sz="0" w:space="0" w:color="auto"/>
            <w:left w:val="none" w:sz="0" w:space="0" w:color="auto"/>
            <w:bottom w:val="none" w:sz="0" w:space="0" w:color="auto"/>
            <w:right w:val="none" w:sz="0" w:space="0" w:color="auto"/>
          </w:divBdr>
        </w:div>
        <w:div w:id="128670501">
          <w:marLeft w:val="0"/>
          <w:marRight w:val="0"/>
          <w:marTop w:val="0"/>
          <w:marBottom w:val="0"/>
          <w:divBdr>
            <w:top w:val="none" w:sz="0" w:space="0" w:color="auto"/>
            <w:left w:val="none" w:sz="0" w:space="0" w:color="auto"/>
            <w:bottom w:val="none" w:sz="0" w:space="0" w:color="auto"/>
            <w:right w:val="none" w:sz="0" w:space="0" w:color="auto"/>
          </w:divBdr>
        </w:div>
        <w:div w:id="834153556">
          <w:marLeft w:val="0"/>
          <w:marRight w:val="0"/>
          <w:marTop w:val="0"/>
          <w:marBottom w:val="0"/>
          <w:divBdr>
            <w:top w:val="none" w:sz="0" w:space="0" w:color="auto"/>
            <w:left w:val="none" w:sz="0" w:space="0" w:color="auto"/>
            <w:bottom w:val="none" w:sz="0" w:space="0" w:color="auto"/>
            <w:right w:val="none" w:sz="0" w:space="0" w:color="auto"/>
          </w:divBdr>
        </w:div>
        <w:div w:id="893349962">
          <w:marLeft w:val="0"/>
          <w:marRight w:val="0"/>
          <w:marTop w:val="0"/>
          <w:marBottom w:val="0"/>
          <w:divBdr>
            <w:top w:val="none" w:sz="0" w:space="0" w:color="auto"/>
            <w:left w:val="none" w:sz="0" w:space="0" w:color="auto"/>
            <w:bottom w:val="none" w:sz="0" w:space="0" w:color="auto"/>
            <w:right w:val="none" w:sz="0" w:space="0" w:color="auto"/>
          </w:divBdr>
        </w:div>
        <w:div w:id="1620839731">
          <w:marLeft w:val="0"/>
          <w:marRight w:val="0"/>
          <w:marTop w:val="0"/>
          <w:marBottom w:val="0"/>
          <w:divBdr>
            <w:top w:val="none" w:sz="0" w:space="0" w:color="auto"/>
            <w:left w:val="none" w:sz="0" w:space="0" w:color="auto"/>
            <w:bottom w:val="none" w:sz="0" w:space="0" w:color="auto"/>
            <w:right w:val="none" w:sz="0" w:space="0" w:color="auto"/>
          </w:divBdr>
        </w:div>
        <w:div w:id="1700859800">
          <w:marLeft w:val="0"/>
          <w:marRight w:val="0"/>
          <w:marTop w:val="0"/>
          <w:marBottom w:val="0"/>
          <w:divBdr>
            <w:top w:val="none" w:sz="0" w:space="0" w:color="auto"/>
            <w:left w:val="none" w:sz="0" w:space="0" w:color="auto"/>
            <w:bottom w:val="none" w:sz="0" w:space="0" w:color="auto"/>
            <w:right w:val="none" w:sz="0" w:space="0" w:color="auto"/>
          </w:divBdr>
        </w:div>
        <w:div w:id="1032651019">
          <w:marLeft w:val="360"/>
          <w:marRight w:val="0"/>
          <w:marTop w:val="0"/>
          <w:marBottom w:val="0"/>
          <w:divBdr>
            <w:top w:val="none" w:sz="0" w:space="0" w:color="auto"/>
            <w:left w:val="none" w:sz="0" w:space="0" w:color="auto"/>
            <w:bottom w:val="none" w:sz="0" w:space="0" w:color="auto"/>
            <w:right w:val="none" w:sz="0" w:space="0" w:color="auto"/>
          </w:divBdr>
        </w:div>
        <w:div w:id="170799446">
          <w:marLeft w:val="720"/>
          <w:marRight w:val="0"/>
          <w:marTop w:val="0"/>
          <w:marBottom w:val="0"/>
          <w:divBdr>
            <w:top w:val="none" w:sz="0" w:space="0" w:color="auto"/>
            <w:left w:val="none" w:sz="0" w:space="0" w:color="auto"/>
            <w:bottom w:val="none" w:sz="0" w:space="0" w:color="auto"/>
            <w:right w:val="none" w:sz="0" w:space="0" w:color="auto"/>
          </w:divBdr>
        </w:div>
        <w:div w:id="1230576358">
          <w:marLeft w:val="720"/>
          <w:marRight w:val="0"/>
          <w:marTop w:val="0"/>
          <w:marBottom w:val="0"/>
          <w:divBdr>
            <w:top w:val="none" w:sz="0" w:space="0" w:color="auto"/>
            <w:left w:val="none" w:sz="0" w:space="0" w:color="auto"/>
            <w:bottom w:val="none" w:sz="0" w:space="0" w:color="auto"/>
            <w:right w:val="none" w:sz="0" w:space="0" w:color="auto"/>
          </w:divBdr>
        </w:div>
        <w:div w:id="208029842">
          <w:marLeft w:val="720"/>
          <w:marRight w:val="0"/>
          <w:marTop w:val="0"/>
          <w:marBottom w:val="0"/>
          <w:divBdr>
            <w:top w:val="none" w:sz="0" w:space="0" w:color="auto"/>
            <w:left w:val="none" w:sz="0" w:space="0" w:color="auto"/>
            <w:bottom w:val="none" w:sz="0" w:space="0" w:color="auto"/>
            <w:right w:val="none" w:sz="0" w:space="0" w:color="auto"/>
          </w:divBdr>
        </w:div>
        <w:div w:id="764031916">
          <w:marLeft w:val="720"/>
          <w:marRight w:val="0"/>
          <w:marTop w:val="0"/>
          <w:marBottom w:val="0"/>
          <w:divBdr>
            <w:top w:val="none" w:sz="0" w:space="0" w:color="auto"/>
            <w:left w:val="none" w:sz="0" w:space="0" w:color="auto"/>
            <w:bottom w:val="none" w:sz="0" w:space="0" w:color="auto"/>
            <w:right w:val="none" w:sz="0" w:space="0" w:color="auto"/>
          </w:divBdr>
        </w:div>
        <w:div w:id="1604723715">
          <w:marLeft w:val="360"/>
          <w:marRight w:val="0"/>
          <w:marTop w:val="0"/>
          <w:marBottom w:val="0"/>
          <w:divBdr>
            <w:top w:val="none" w:sz="0" w:space="0" w:color="auto"/>
            <w:left w:val="none" w:sz="0" w:space="0" w:color="auto"/>
            <w:bottom w:val="none" w:sz="0" w:space="0" w:color="auto"/>
            <w:right w:val="none" w:sz="0" w:space="0" w:color="auto"/>
          </w:divBdr>
        </w:div>
        <w:div w:id="207886747">
          <w:marLeft w:val="1080"/>
          <w:marRight w:val="0"/>
          <w:marTop w:val="0"/>
          <w:marBottom w:val="0"/>
          <w:divBdr>
            <w:top w:val="none" w:sz="0" w:space="0" w:color="auto"/>
            <w:left w:val="none" w:sz="0" w:space="0" w:color="auto"/>
            <w:bottom w:val="none" w:sz="0" w:space="0" w:color="auto"/>
            <w:right w:val="none" w:sz="0" w:space="0" w:color="auto"/>
          </w:divBdr>
        </w:div>
        <w:div w:id="1694259587">
          <w:marLeft w:val="1080"/>
          <w:marRight w:val="0"/>
          <w:marTop w:val="0"/>
          <w:marBottom w:val="0"/>
          <w:divBdr>
            <w:top w:val="none" w:sz="0" w:space="0" w:color="auto"/>
            <w:left w:val="none" w:sz="0" w:space="0" w:color="auto"/>
            <w:bottom w:val="none" w:sz="0" w:space="0" w:color="auto"/>
            <w:right w:val="none" w:sz="0" w:space="0" w:color="auto"/>
          </w:divBdr>
        </w:div>
        <w:div w:id="428964281">
          <w:marLeft w:val="360"/>
          <w:marRight w:val="0"/>
          <w:marTop w:val="0"/>
          <w:marBottom w:val="0"/>
          <w:divBdr>
            <w:top w:val="none" w:sz="0" w:space="0" w:color="auto"/>
            <w:left w:val="none" w:sz="0" w:space="0" w:color="auto"/>
            <w:bottom w:val="none" w:sz="0" w:space="0" w:color="auto"/>
            <w:right w:val="none" w:sz="0" w:space="0" w:color="auto"/>
          </w:divBdr>
        </w:div>
        <w:div w:id="1241058481">
          <w:marLeft w:val="1080"/>
          <w:marRight w:val="0"/>
          <w:marTop w:val="0"/>
          <w:marBottom w:val="0"/>
          <w:divBdr>
            <w:top w:val="none" w:sz="0" w:space="0" w:color="auto"/>
            <w:left w:val="none" w:sz="0" w:space="0" w:color="auto"/>
            <w:bottom w:val="none" w:sz="0" w:space="0" w:color="auto"/>
            <w:right w:val="none" w:sz="0" w:space="0" w:color="auto"/>
          </w:divBdr>
        </w:div>
        <w:div w:id="1692880003">
          <w:marLeft w:val="1080"/>
          <w:marRight w:val="0"/>
          <w:marTop w:val="0"/>
          <w:marBottom w:val="0"/>
          <w:divBdr>
            <w:top w:val="none" w:sz="0" w:space="0" w:color="auto"/>
            <w:left w:val="none" w:sz="0" w:space="0" w:color="auto"/>
            <w:bottom w:val="none" w:sz="0" w:space="0" w:color="auto"/>
            <w:right w:val="none" w:sz="0" w:space="0" w:color="auto"/>
          </w:divBdr>
        </w:div>
        <w:div w:id="1734036729">
          <w:marLeft w:val="0"/>
          <w:marRight w:val="0"/>
          <w:marTop w:val="0"/>
          <w:marBottom w:val="0"/>
          <w:divBdr>
            <w:top w:val="none" w:sz="0" w:space="0" w:color="auto"/>
            <w:left w:val="none" w:sz="0" w:space="0" w:color="auto"/>
            <w:bottom w:val="none" w:sz="0" w:space="0" w:color="auto"/>
            <w:right w:val="none" w:sz="0" w:space="0" w:color="auto"/>
          </w:divBdr>
        </w:div>
        <w:div w:id="479885751">
          <w:marLeft w:val="0"/>
          <w:marRight w:val="0"/>
          <w:marTop w:val="0"/>
          <w:marBottom w:val="0"/>
          <w:divBdr>
            <w:top w:val="none" w:sz="0" w:space="0" w:color="auto"/>
            <w:left w:val="none" w:sz="0" w:space="0" w:color="auto"/>
            <w:bottom w:val="none" w:sz="0" w:space="0" w:color="auto"/>
            <w:right w:val="none" w:sz="0" w:space="0" w:color="auto"/>
          </w:divBdr>
        </w:div>
        <w:div w:id="2077049478">
          <w:marLeft w:val="0"/>
          <w:marRight w:val="0"/>
          <w:marTop w:val="0"/>
          <w:marBottom w:val="0"/>
          <w:divBdr>
            <w:top w:val="none" w:sz="0" w:space="0" w:color="auto"/>
            <w:left w:val="none" w:sz="0" w:space="0" w:color="auto"/>
            <w:bottom w:val="none" w:sz="0" w:space="0" w:color="auto"/>
            <w:right w:val="none" w:sz="0" w:space="0" w:color="auto"/>
          </w:divBdr>
        </w:div>
        <w:div w:id="937911454">
          <w:marLeft w:val="0"/>
          <w:marRight w:val="0"/>
          <w:marTop w:val="0"/>
          <w:marBottom w:val="0"/>
          <w:divBdr>
            <w:top w:val="none" w:sz="0" w:space="0" w:color="auto"/>
            <w:left w:val="none" w:sz="0" w:space="0" w:color="auto"/>
            <w:bottom w:val="none" w:sz="0" w:space="0" w:color="auto"/>
            <w:right w:val="none" w:sz="0" w:space="0" w:color="auto"/>
          </w:divBdr>
        </w:div>
        <w:div w:id="485711410">
          <w:marLeft w:val="0"/>
          <w:marRight w:val="0"/>
          <w:marTop w:val="0"/>
          <w:marBottom w:val="0"/>
          <w:divBdr>
            <w:top w:val="none" w:sz="0" w:space="0" w:color="auto"/>
            <w:left w:val="none" w:sz="0" w:space="0" w:color="auto"/>
            <w:bottom w:val="none" w:sz="0" w:space="0" w:color="auto"/>
            <w:right w:val="none" w:sz="0" w:space="0" w:color="auto"/>
          </w:divBdr>
        </w:div>
        <w:div w:id="1007054286">
          <w:marLeft w:val="0"/>
          <w:marRight w:val="0"/>
          <w:marTop w:val="0"/>
          <w:marBottom w:val="0"/>
          <w:divBdr>
            <w:top w:val="none" w:sz="0" w:space="0" w:color="auto"/>
            <w:left w:val="none" w:sz="0" w:space="0" w:color="auto"/>
            <w:bottom w:val="none" w:sz="0" w:space="0" w:color="auto"/>
            <w:right w:val="none" w:sz="0" w:space="0" w:color="auto"/>
          </w:divBdr>
        </w:div>
      </w:divsChild>
    </w:div>
    <w:div w:id="582447679">
      <w:bodyDiv w:val="1"/>
      <w:marLeft w:val="0"/>
      <w:marRight w:val="0"/>
      <w:marTop w:val="0"/>
      <w:marBottom w:val="0"/>
      <w:divBdr>
        <w:top w:val="none" w:sz="0" w:space="0" w:color="auto"/>
        <w:left w:val="none" w:sz="0" w:space="0" w:color="auto"/>
        <w:bottom w:val="none" w:sz="0" w:space="0" w:color="auto"/>
        <w:right w:val="none" w:sz="0" w:space="0" w:color="auto"/>
      </w:divBdr>
    </w:div>
    <w:div w:id="619070798">
      <w:bodyDiv w:val="1"/>
      <w:marLeft w:val="0"/>
      <w:marRight w:val="0"/>
      <w:marTop w:val="0"/>
      <w:marBottom w:val="0"/>
      <w:divBdr>
        <w:top w:val="none" w:sz="0" w:space="0" w:color="auto"/>
        <w:left w:val="none" w:sz="0" w:space="0" w:color="auto"/>
        <w:bottom w:val="none" w:sz="0" w:space="0" w:color="auto"/>
        <w:right w:val="none" w:sz="0" w:space="0" w:color="auto"/>
      </w:divBdr>
    </w:div>
    <w:div w:id="668096347">
      <w:bodyDiv w:val="1"/>
      <w:marLeft w:val="0"/>
      <w:marRight w:val="0"/>
      <w:marTop w:val="0"/>
      <w:marBottom w:val="0"/>
      <w:divBdr>
        <w:top w:val="none" w:sz="0" w:space="0" w:color="auto"/>
        <w:left w:val="none" w:sz="0" w:space="0" w:color="auto"/>
        <w:bottom w:val="none" w:sz="0" w:space="0" w:color="auto"/>
        <w:right w:val="none" w:sz="0" w:space="0" w:color="auto"/>
      </w:divBdr>
    </w:div>
    <w:div w:id="671221052">
      <w:bodyDiv w:val="1"/>
      <w:marLeft w:val="0"/>
      <w:marRight w:val="0"/>
      <w:marTop w:val="0"/>
      <w:marBottom w:val="0"/>
      <w:divBdr>
        <w:top w:val="none" w:sz="0" w:space="0" w:color="auto"/>
        <w:left w:val="none" w:sz="0" w:space="0" w:color="auto"/>
        <w:bottom w:val="none" w:sz="0" w:space="0" w:color="auto"/>
        <w:right w:val="none" w:sz="0" w:space="0" w:color="auto"/>
      </w:divBdr>
    </w:div>
    <w:div w:id="688143719">
      <w:bodyDiv w:val="1"/>
      <w:marLeft w:val="0"/>
      <w:marRight w:val="0"/>
      <w:marTop w:val="0"/>
      <w:marBottom w:val="0"/>
      <w:divBdr>
        <w:top w:val="none" w:sz="0" w:space="0" w:color="auto"/>
        <w:left w:val="none" w:sz="0" w:space="0" w:color="auto"/>
        <w:bottom w:val="none" w:sz="0" w:space="0" w:color="auto"/>
        <w:right w:val="none" w:sz="0" w:space="0" w:color="auto"/>
      </w:divBdr>
    </w:div>
    <w:div w:id="704988556">
      <w:bodyDiv w:val="1"/>
      <w:marLeft w:val="0"/>
      <w:marRight w:val="0"/>
      <w:marTop w:val="0"/>
      <w:marBottom w:val="0"/>
      <w:divBdr>
        <w:top w:val="none" w:sz="0" w:space="0" w:color="auto"/>
        <w:left w:val="none" w:sz="0" w:space="0" w:color="auto"/>
        <w:bottom w:val="none" w:sz="0" w:space="0" w:color="auto"/>
        <w:right w:val="none" w:sz="0" w:space="0" w:color="auto"/>
      </w:divBdr>
    </w:div>
    <w:div w:id="712966473">
      <w:bodyDiv w:val="1"/>
      <w:marLeft w:val="0"/>
      <w:marRight w:val="0"/>
      <w:marTop w:val="0"/>
      <w:marBottom w:val="0"/>
      <w:divBdr>
        <w:top w:val="none" w:sz="0" w:space="0" w:color="auto"/>
        <w:left w:val="none" w:sz="0" w:space="0" w:color="auto"/>
        <w:bottom w:val="none" w:sz="0" w:space="0" w:color="auto"/>
        <w:right w:val="none" w:sz="0" w:space="0" w:color="auto"/>
      </w:divBdr>
    </w:div>
    <w:div w:id="754325550">
      <w:bodyDiv w:val="1"/>
      <w:marLeft w:val="0"/>
      <w:marRight w:val="0"/>
      <w:marTop w:val="0"/>
      <w:marBottom w:val="0"/>
      <w:divBdr>
        <w:top w:val="none" w:sz="0" w:space="0" w:color="auto"/>
        <w:left w:val="none" w:sz="0" w:space="0" w:color="auto"/>
        <w:bottom w:val="none" w:sz="0" w:space="0" w:color="auto"/>
        <w:right w:val="none" w:sz="0" w:space="0" w:color="auto"/>
      </w:divBdr>
    </w:div>
    <w:div w:id="799222874">
      <w:bodyDiv w:val="1"/>
      <w:marLeft w:val="0"/>
      <w:marRight w:val="0"/>
      <w:marTop w:val="0"/>
      <w:marBottom w:val="0"/>
      <w:divBdr>
        <w:top w:val="none" w:sz="0" w:space="0" w:color="auto"/>
        <w:left w:val="none" w:sz="0" w:space="0" w:color="auto"/>
        <w:bottom w:val="none" w:sz="0" w:space="0" w:color="auto"/>
        <w:right w:val="none" w:sz="0" w:space="0" w:color="auto"/>
      </w:divBdr>
    </w:div>
    <w:div w:id="919749656">
      <w:bodyDiv w:val="1"/>
      <w:marLeft w:val="0"/>
      <w:marRight w:val="0"/>
      <w:marTop w:val="0"/>
      <w:marBottom w:val="0"/>
      <w:divBdr>
        <w:top w:val="none" w:sz="0" w:space="0" w:color="auto"/>
        <w:left w:val="none" w:sz="0" w:space="0" w:color="auto"/>
        <w:bottom w:val="none" w:sz="0" w:space="0" w:color="auto"/>
        <w:right w:val="none" w:sz="0" w:space="0" w:color="auto"/>
      </w:divBdr>
    </w:div>
    <w:div w:id="992417952">
      <w:bodyDiv w:val="1"/>
      <w:marLeft w:val="0"/>
      <w:marRight w:val="0"/>
      <w:marTop w:val="0"/>
      <w:marBottom w:val="0"/>
      <w:divBdr>
        <w:top w:val="none" w:sz="0" w:space="0" w:color="auto"/>
        <w:left w:val="none" w:sz="0" w:space="0" w:color="auto"/>
        <w:bottom w:val="none" w:sz="0" w:space="0" w:color="auto"/>
        <w:right w:val="none" w:sz="0" w:space="0" w:color="auto"/>
      </w:divBdr>
    </w:div>
    <w:div w:id="1028216658">
      <w:bodyDiv w:val="1"/>
      <w:marLeft w:val="0"/>
      <w:marRight w:val="0"/>
      <w:marTop w:val="0"/>
      <w:marBottom w:val="0"/>
      <w:divBdr>
        <w:top w:val="none" w:sz="0" w:space="0" w:color="auto"/>
        <w:left w:val="none" w:sz="0" w:space="0" w:color="auto"/>
        <w:bottom w:val="none" w:sz="0" w:space="0" w:color="auto"/>
        <w:right w:val="none" w:sz="0" w:space="0" w:color="auto"/>
      </w:divBdr>
    </w:div>
    <w:div w:id="1057052039">
      <w:bodyDiv w:val="1"/>
      <w:marLeft w:val="0"/>
      <w:marRight w:val="0"/>
      <w:marTop w:val="0"/>
      <w:marBottom w:val="0"/>
      <w:divBdr>
        <w:top w:val="none" w:sz="0" w:space="0" w:color="auto"/>
        <w:left w:val="none" w:sz="0" w:space="0" w:color="auto"/>
        <w:bottom w:val="none" w:sz="0" w:space="0" w:color="auto"/>
        <w:right w:val="none" w:sz="0" w:space="0" w:color="auto"/>
      </w:divBdr>
    </w:div>
    <w:div w:id="1153108835">
      <w:bodyDiv w:val="1"/>
      <w:marLeft w:val="0"/>
      <w:marRight w:val="0"/>
      <w:marTop w:val="0"/>
      <w:marBottom w:val="0"/>
      <w:divBdr>
        <w:top w:val="none" w:sz="0" w:space="0" w:color="auto"/>
        <w:left w:val="none" w:sz="0" w:space="0" w:color="auto"/>
        <w:bottom w:val="none" w:sz="0" w:space="0" w:color="auto"/>
        <w:right w:val="none" w:sz="0" w:space="0" w:color="auto"/>
      </w:divBdr>
    </w:div>
    <w:div w:id="1165317853">
      <w:bodyDiv w:val="1"/>
      <w:marLeft w:val="0"/>
      <w:marRight w:val="0"/>
      <w:marTop w:val="0"/>
      <w:marBottom w:val="0"/>
      <w:divBdr>
        <w:top w:val="none" w:sz="0" w:space="0" w:color="auto"/>
        <w:left w:val="none" w:sz="0" w:space="0" w:color="auto"/>
        <w:bottom w:val="none" w:sz="0" w:space="0" w:color="auto"/>
        <w:right w:val="none" w:sz="0" w:space="0" w:color="auto"/>
      </w:divBdr>
    </w:div>
    <w:div w:id="1266813388">
      <w:bodyDiv w:val="1"/>
      <w:marLeft w:val="0"/>
      <w:marRight w:val="0"/>
      <w:marTop w:val="0"/>
      <w:marBottom w:val="0"/>
      <w:divBdr>
        <w:top w:val="none" w:sz="0" w:space="0" w:color="auto"/>
        <w:left w:val="none" w:sz="0" w:space="0" w:color="auto"/>
        <w:bottom w:val="none" w:sz="0" w:space="0" w:color="auto"/>
        <w:right w:val="none" w:sz="0" w:space="0" w:color="auto"/>
      </w:divBdr>
      <w:divsChild>
        <w:div w:id="2135051303">
          <w:marLeft w:val="0"/>
          <w:marRight w:val="0"/>
          <w:marTop w:val="0"/>
          <w:marBottom w:val="0"/>
          <w:divBdr>
            <w:top w:val="none" w:sz="0" w:space="0" w:color="auto"/>
            <w:left w:val="none" w:sz="0" w:space="0" w:color="auto"/>
            <w:bottom w:val="none" w:sz="0" w:space="0" w:color="auto"/>
            <w:right w:val="none" w:sz="0" w:space="0" w:color="auto"/>
          </w:divBdr>
        </w:div>
        <w:div w:id="300617002">
          <w:marLeft w:val="0"/>
          <w:marRight w:val="0"/>
          <w:marTop w:val="0"/>
          <w:marBottom w:val="0"/>
          <w:divBdr>
            <w:top w:val="none" w:sz="0" w:space="0" w:color="auto"/>
            <w:left w:val="none" w:sz="0" w:space="0" w:color="auto"/>
            <w:bottom w:val="none" w:sz="0" w:space="0" w:color="auto"/>
            <w:right w:val="none" w:sz="0" w:space="0" w:color="auto"/>
          </w:divBdr>
        </w:div>
        <w:div w:id="417024530">
          <w:marLeft w:val="0"/>
          <w:marRight w:val="0"/>
          <w:marTop w:val="0"/>
          <w:marBottom w:val="0"/>
          <w:divBdr>
            <w:top w:val="none" w:sz="0" w:space="0" w:color="auto"/>
            <w:left w:val="none" w:sz="0" w:space="0" w:color="auto"/>
            <w:bottom w:val="none" w:sz="0" w:space="0" w:color="auto"/>
            <w:right w:val="none" w:sz="0" w:space="0" w:color="auto"/>
          </w:divBdr>
        </w:div>
        <w:div w:id="1134104887">
          <w:marLeft w:val="0"/>
          <w:marRight w:val="0"/>
          <w:marTop w:val="0"/>
          <w:marBottom w:val="0"/>
          <w:divBdr>
            <w:top w:val="none" w:sz="0" w:space="0" w:color="auto"/>
            <w:left w:val="none" w:sz="0" w:space="0" w:color="auto"/>
            <w:bottom w:val="none" w:sz="0" w:space="0" w:color="auto"/>
            <w:right w:val="none" w:sz="0" w:space="0" w:color="auto"/>
          </w:divBdr>
        </w:div>
        <w:div w:id="2141876232">
          <w:marLeft w:val="0"/>
          <w:marRight w:val="0"/>
          <w:marTop w:val="0"/>
          <w:marBottom w:val="0"/>
          <w:divBdr>
            <w:top w:val="none" w:sz="0" w:space="0" w:color="auto"/>
            <w:left w:val="none" w:sz="0" w:space="0" w:color="auto"/>
            <w:bottom w:val="none" w:sz="0" w:space="0" w:color="auto"/>
            <w:right w:val="none" w:sz="0" w:space="0" w:color="auto"/>
          </w:divBdr>
        </w:div>
        <w:div w:id="98140043">
          <w:marLeft w:val="0"/>
          <w:marRight w:val="0"/>
          <w:marTop w:val="0"/>
          <w:marBottom w:val="0"/>
          <w:divBdr>
            <w:top w:val="none" w:sz="0" w:space="0" w:color="auto"/>
            <w:left w:val="none" w:sz="0" w:space="0" w:color="auto"/>
            <w:bottom w:val="none" w:sz="0" w:space="0" w:color="auto"/>
            <w:right w:val="none" w:sz="0" w:space="0" w:color="auto"/>
          </w:divBdr>
        </w:div>
        <w:div w:id="917985373">
          <w:marLeft w:val="0"/>
          <w:marRight w:val="0"/>
          <w:marTop w:val="0"/>
          <w:marBottom w:val="0"/>
          <w:divBdr>
            <w:top w:val="none" w:sz="0" w:space="0" w:color="auto"/>
            <w:left w:val="none" w:sz="0" w:space="0" w:color="auto"/>
            <w:bottom w:val="none" w:sz="0" w:space="0" w:color="auto"/>
            <w:right w:val="none" w:sz="0" w:space="0" w:color="auto"/>
          </w:divBdr>
        </w:div>
        <w:div w:id="22369216">
          <w:marLeft w:val="0"/>
          <w:marRight w:val="0"/>
          <w:marTop w:val="0"/>
          <w:marBottom w:val="0"/>
          <w:divBdr>
            <w:top w:val="none" w:sz="0" w:space="0" w:color="auto"/>
            <w:left w:val="none" w:sz="0" w:space="0" w:color="auto"/>
            <w:bottom w:val="none" w:sz="0" w:space="0" w:color="auto"/>
            <w:right w:val="none" w:sz="0" w:space="0" w:color="auto"/>
          </w:divBdr>
        </w:div>
        <w:div w:id="40374602">
          <w:marLeft w:val="0"/>
          <w:marRight w:val="0"/>
          <w:marTop w:val="0"/>
          <w:marBottom w:val="0"/>
          <w:divBdr>
            <w:top w:val="none" w:sz="0" w:space="0" w:color="auto"/>
            <w:left w:val="none" w:sz="0" w:space="0" w:color="auto"/>
            <w:bottom w:val="none" w:sz="0" w:space="0" w:color="auto"/>
            <w:right w:val="none" w:sz="0" w:space="0" w:color="auto"/>
          </w:divBdr>
        </w:div>
        <w:div w:id="1207836767">
          <w:marLeft w:val="0"/>
          <w:marRight w:val="0"/>
          <w:marTop w:val="0"/>
          <w:marBottom w:val="0"/>
          <w:divBdr>
            <w:top w:val="none" w:sz="0" w:space="0" w:color="auto"/>
            <w:left w:val="none" w:sz="0" w:space="0" w:color="auto"/>
            <w:bottom w:val="none" w:sz="0" w:space="0" w:color="auto"/>
            <w:right w:val="none" w:sz="0" w:space="0" w:color="auto"/>
          </w:divBdr>
        </w:div>
        <w:div w:id="1736582796">
          <w:marLeft w:val="0"/>
          <w:marRight w:val="0"/>
          <w:marTop w:val="0"/>
          <w:marBottom w:val="0"/>
          <w:divBdr>
            <w:top w:val="none" w:sz="0" w:space="0" w:color="auto"/>
            <w:left w:val="none" w:sz="0" w:space="0" w:color="auto"/>
            <w:bottom w:val="none" w:sz="0" w:space="0" w:color="auto"/>
            <w:right w:val="none" w:sz="0" w:space="0" w:color="auto"/>
          </w:divBdr>
        </w:div>
        <w:div w:id="1452094343">
          <w:marLeft w:val="0"/>
          <w:marRight w:val="0"/>
          <w:marTop w:val="0"/>
          <w:marBottom w:val="0"/>
          <w:divBdr>
            <w:top w:val="none" w:sz="0" w:space="0" w:color="auto"/>
            <w:left w:val="none" w:sz="0" w:space="0" w:color="auto"/>
            <w:bottom w:val="none" w:sz="0" w:space="0" w:color="auto"/>
            <w:right w:val="none" w:sz="0" w:space="0" w:color="auto"/>
          </w:divBdr>
        </w:div>
        <w:div w:id="1282495509">
          <w:marLeft w:val="0"/>
          <w:marRight w:val="0"/>
          <w:marTop w:val="0"/>
          <w:marBottom w:val="0"/>
          <w:divBdr>
            <w:top w:val="none" w:sz="0" w:space="0" w:color="auto"/>
            <w:left w:val="none" w:sz="0" w:space="0" w:color="auto"/>
            <w:bottom w:val="none" w:sz="0" w:space="0" w:color="auto"/>
            <w:right w:val="none" w:sz="0" w:space="0" w:color="auto"/>
          </w:divBdr>
        </w:div>
        <w:div w:id="1047486039">
          <w:marLeft w:val="0"/>
          <w:marRight w:val="0"/>
          <w:marTop w:val="0"/>
          <w:marBottom w:val="0"/>
          <w:divBdr>
            <w:top w:val="none" w:sz="0" w:space="0" w:color="auto"/>
            <w:left w:val="none" w:sz="0" w:space="0" w:color="auto"/>
            <w:bottom w:val="none" w:sz="0" w:space="0" w:color="auto"/>
            <w:right w:val="none" w:sz="0" w:space="0" w:color="auto"/>
          </w:divBdr>
        </w:div>
        <w:div w:id="1504205844">
          <w:marLeft w:val="0"/>
          <w:marRight w:val="0"/>
          <w:marTop w:val="0"/>
          <w:marBottom w:val="0"/>
          <w:divBdr>
            <w:top w:val="none" w:sz="0" w:space="0" w:color="auto"/>
            <w:left w:val="none" w:sz="0" w:space="0" w:color="auto"/>
            <w:bottom w:val="none" w:sz="0" w:space="0" w:color="auto"/>
            <w:right w:val="none" w:sz="0" w:space="0" w:color="auto"/>
          </w:divBdr>
        </w:div>
        <w:div w:id="2145004907">
          <w:marLeft w:val="0"/>
          <w:marRight w:val="0"/>
          <w:marTop w:val="0"/>
          <w:marBottom w:val="0"/>
          <w:divBdr>
            <w:top w:val="none" w:sz="0" w:space="0" w:color="auto"/>
            <w:left w:val="none" w:sz="0" w:space="0" w:color="auto"/>
            <w:bottom w:val="none" w:sz="0" w:space="0" w:color="auto"/>
            <w:right w:val="none" w:sz="0" w:space="0" w:color="auto"/>
          </w:divBdr>
        </w:div>
        <w:div w:id="1898205965">
          <w:marLeft w:val="0"/>
          <w:marRight w:val="0"/>
          <w:marTop w:val="0"/>
          <w:marBottom w:val="0"/>
          <w:divBdr>
            <w:top w:val="none" w:sz="0" w:space="0" w:color="auto"/>
            <w:left w:val="none" w:sz="0" w:space="0" w:color="auto"/>
            <w:bottom w:val="none" w:sz="0" w:space="0" w:color="auto"/>
            <w:right w:val="none" w:sz="0" w:space="0" w:color="auto"/>
          </w:divBdr>
        </w:div>
        <w:div w:id="1090614848">
          <w:marLeft w:val="0"/>
          <w:marRight w:val="0"/>
          <w:marTop w:val="0"/>
          <w:marBottom w:val="0"/>
          <w:divBdr>
            <w:top w:val="none" w:sz="0" w:space="0" w:color="auto"/>
            <w:left w:val="none" w:sz="0" w:space="0" w:color="auto"/>
            <w:bottom w:val="none" w:sz="0" w:space="0" w:color="auto"/>
            <w:right w:val="none" w:sz="0" w:space="0" w:color="auto"/>
          </w:divBdr>
        </w:div>
        <w:div w:id="562521075">
          <w:marLeft w:val="0"/>
          <w:marRight w:val="0"/>
          <w:marTop w:val="0"/>
          <w:marBottom w:val="0"/>
          <w:divBdr>
            <w:top w:val="none" w:sz="0" w:space="0" w:color="auto"/>
            <w:left w:val="none" w:sz="0" w:space="0" w:color="auto"/>
            <w:bottom w:val="none" w:sz="0" w:space="0" w:color="auto"/>
            <w:right w:val="none" w:sz="0" w:space="0" w:color="auto"/>
          </w:divBdr>
        </w:div>
        <w:div w:id="2063628827">
          <w:marLeft w:val="0"/>
          <w:marRight w:val="0"/>
          <w:marTop w:val="0"/>
          <w:marBottom w:val="0"/>
          <w:divBdr>
            <w:top w:val="none" w:sz="0" w:space="0" w:color="auto"/>
            <w:left w:val="none" w:sz="0" w:space="0" w:color="auto"/>
            <w:bottom w:val="none" w:sz="0" w:space="0" w:color="auto"/>
            <w:right w:val="none" w:sz="0" w:space="0" w:color="auto"/>
          </w:divBdr>
        </w:div>
        <w:div w:id="2133354531">
          <w:marLeft w:val="0"/>
          <w:marRight w:val="0"/>
          <w:marTop w:val="0"/>
          <w:marBottom w:val="0"/>
          <w:divBdr>
            <w:top w:val="none" w:sz="0" w:space="0" w:color="auto"/>
            <w:left w:val="none" w:sz="0" w:space="0" w:color="auto"/>
            <w:bottom w:val="none" w:sz="0" w:space="0" w:color="auto"/>
            <w:right w:val="none" w:sz="0" w:space="0" w:color="auto"/>
          </w:divBdr>
        </w:div>
        <w:div w:id="469370937">
          <w:marLeft w:val="0"/>
          <w:marRight w:val="0"/>
          <w:marTop w:val="0"/>
          <w:marBottom w:val="0"/>
          <w:divBdr>
            <w:top w:val="none" w:sz="0" w:space="0" w:color="auto"/>
            <w:left w:val="none" w:sz="0" w:space="0" w:color="auto"/>
            <w:bottom w:val="none" w:sz="0" w:space="0" w:color="auto"/>
            <w:right w:val="none" w:sz="0" w:space="0" w:color="auto"/>
          </w:divBdr>
        </w:div>
        <w:div w:id="1906837484">
          <w:marLeft w:val="0"/>
          <w:marRight w:val="0"/>
          <w:marTop w:val="0"/>
          <w:marBottom w:val="0"/>
          <w:divBdr>
            <w:top w:val="none" w:sz="0" w:space="0" w:color="auto"/>
            <w:left w:val="none" w:sz="0" w:space="0" w:color="auto"/>
            <w:bottom w:val="none" w:sz="0" w:space="0" w:color="auto"/>
            <w:right w:val="none" w:sz="0" w:space="0" w:color="auto"/>
          </w:divBdr>
        </w:div>
        <w:div w:id="1815684017">
          <w:marLeft w:val="0"/>
          <w:marRight w:val="0"/>
          <w:marTop w:val="0"/>
          <w:marBottom w:val="0"/>
          <w:divBdr>
            <w:top w:val="none" w:sz="0" w:space="0" w:color="auto"/>
            <w:left w:val="none" w:sz="0" w:space="0" w:color="auto"/>
            <w:bottom w:val="none" w:sz="0" w:space="0" w:color="auto"/>
            <w:right w:val="none" w:sz="0" w:space="0" w:color="auto"/>
          </w:divBdr>
        </w:div>
        <w:div w:id="1385836428">
          <w:marLeft w:val="0"/>
          <w:marRight w:val="0"/>
          <w:marTop w:val="0"/>
          <w:marBottom w:val="0"/>
          <w:divBdr>
            <w:top w:val="none" w:sz="0" w:space="0" w:color="auto"/>
            <w:left w:val="none" w:sz="0" w:space="0" w:color="auto"/>
            <w:bottom w:val="none" w:sz="0" w:space="0" w:color="auto"/>
            <w:right w:val="none" w:sz="0" w:space="0" w:color="auto"/>
          </w:divBdr>
        </w:div>
        <w:div w:id="894657873">
          <w:marLeft w:val="0"/>
          <w:marRight w:val="0"/>
          <w:marTop w:val="0"/>
          <w:marBottom w:val="0"/>
          <w:divBdr>
            <w:top w:val="none" w:sz="0" w:space="0" w:color="auto"/>
            <w:left w:val="none" w:sz="0" w:space="0" w:color="auto"/>
            <w:bottom w:val="none" w:sz="0" w:space="0" w:color="auto"/>
            <w:right w:val="none" w:sz="0" w:space="0" w:color="auto"/>
          </w:divBdr>
        </w:div>
        <w:div w:id="57360722">
          <w:marLeft w:val="0"/>
          <w:marRight w:val="0"/>
          <w:marTop w:val="0"/>
          <w:marBottom w:val="0"/>
          <w:divBdr>
            <w:top w:val="none" w:sz="0" w:space="0" w:color="auto"/>
            <w:left w:val="none" w:sz="0" w:space="0" w:color="auto"/>
            <w:bottom w:val="none" w:sz="0" w:space="0" w:color="auto"/>
            <w:right w:val="none" w:sz="0" w:space="0" w:color="auto"/>
          </w:divBdr>
        </w:div>
        <w:div w:id="107360974">
          <w:marLeft w:val="0"/>
          <w:marRight w:val="0"/>
          <w:marTop w:val="0"/>
          <w:marBottom w:val="0"/>
          <w:divBdr>
            <w:top w:val="none" w:sz="0" w:space="0" w:color="auto"/>
            <w:left w:val="none" w:sz="0" w:space="0" w:color="auto"/>
            <w:bottom w:val="none" w:sz="0" w:space="0" w:color="auto"/>
            <w:right w:val="none" w:sz="0" w:space="0" w:color="auto"/>
          </w:divBdr>
        </w:div>
        <w:div w:id="380204809">
          <w:marLeft w:val="0"/>
          <w:marRight w:val="0"/>
          <w:marTop w:val="0"/>
          <w:marBottom w:val="0"/>
          <w:divBdr>
            <w:top w:val="none" w:sz="0" w:space="0" w:color="auto"/>
            <w:left w:val="none" w:sz="0" w:space="0" w:color="auto"/>
            <w:bottom w:val="none" w:sz="0" w:space="0" w:color="auto"/>
            <w:right w:val="none" w:sz="0" w:space="0" w:color="auto"/>
          </w:divBdr>
        </w:div>
        <w:div w:id="1345088694">
          <w:marLeft w:val="0"/>
          <w:marRight w:val="0"/>
          <w:marTop w:val="0"/>
          <w:marBottom w:val="0"/>
          <w:divBdr>
            <w:top w:val="none" w:sz="0" w:space="0" w:color="auto"/>
            <w:left w:val="none" w:sz="0" w:space="0" w:color="auto"/>
            <w:bottom w:val="none" w:sz="0" w:space="0" w:color="auto"/>
            <w:right w:val="none" w:sz="0" w:space="0" w:color="auto"/>
          </w:divBdr>
        </w:div>
        <w:div w:id="725839359">
          <w:marLeft w:val="0"/>
          <w:marRight w:val="0"/>
          <w:marTop w:val="0"/>
          <w:marBottom w:val="0"/>
          <w:divBdr>
            <w:top w:val="none" w:sz="0" w:space="0" w:color="auto"/>
            <w:left w:val="none" w:sz="0" w:space="0" w:color="auto"/>
            <w:bottom w:val="none" w:sz="0" w:space="0" w:color="auto"/>
            <w:right w:val="none" w:sz="0" w:space="0" w:color="auto"/>
          </w:divBdr>
        </w:div>
        <w:div w:id="108934602">
          <w:marLeft w:val="0"/>
          <w:marRight w:val="0"/>
          <w:marTop w:val="0"/>
          <w:marBottom w:val="0"/>
          <w:divBdr>
            <w:top w:val="none" w:sz="0" w:space="0" w:color="auto"/>
            <w:left w:val="none" w:sz="0" w:space="0" w:color="auto"/>
            <w:bottom w:val="none" w:sz="0" w:space="0" w:color="auto"/>
            <w:right w:val="none" w:sz="0" w:space="0" w:color="auto"/>
          </w:divBdr>
        </w:div>
        <w:div w:id="310253259">
          <w:marLeft w:val="0"/>
          <w:marRight w:val="0"/>
          <w:marTop w:val="0"/>
          <w:marBottom w:val="0"/>
          <w:divBdr>
            <w:top w:val="none" w:sz="0" w:space="0" w:color="auto"/>
            <w:left w:val="none" w:sz="0" w:space="0" w:color="auto"/>
            <w:bottom w:val="none" w:sz="0" w:space="0" w:color="auto"/>
            <w:right w:val="none" w:sz="0" w:space="0" w:color="auto"/>
          </w:divBdr>
        </w:div>
        <w:div w:id="1874923886">
          <w:marLeft w:val="0"/>
          <w:marRight w:val="0"/>
          <w:marTop w:val="0"/>
          <w:marBottom w:val="0"/>
          <w:divBdr>
            <w:top w:val="none" w:sz="0" w:space="0" w:color="auto"/>
            <w:left w:val="none" w:sz="0" w:space="0" w:color="auto"/>
            <w:bottom w:val="none" w:sz="0" w:space="0" w:color="auto"/>
            <w:right w:val="none" w:sz="0" w:space="0" w:color="auto"/>
          </w:divBdr>
        </w:div>
        <w:div w:id="779492047">
          <w:marLeft w:val="0"/>
          <w:marRight w:val="0"/>
          <w:marTop w:val="0"/>
          <w:marBottom w:val="0"/>
          <w:divBdr>
            <w:top w:val="none" w:sz="0" w:space="0" w:color="auto"/>
            <w:left w:val="none" w:sz="0" w:space="0" w:color="auto"/>
            <w:bottom w:val="none" w:sz="0" w:space="0" w:color="auto"/>
            <w:right w:val="none" w:sz="0" w:space="0" w:color="auto"/>
          </w:divBdr>
        </w:div>
        <w:div w:id="125440924">
          <w:marLeft w:val="0"/>
          <w:marRight w:val="0"/>
          <w:marTop w:val="0"/>
          <w:marBottom w:val="0"/>
          <w:divBdr>
            <w:top w:val="none" w:sz="0" w:space="0" w:color="auto"/>
            <w:left w:val="none" w:sz="0" w:space="0" w:color="auto"/>
            <w:bottom w:val="none" w:sz="0" w:space="0" w:color="auto"/>
            <w:right w:val="none" w:sz="0" w:space="0" w:color="auto"/>
          </w:divBdr>
        </w:div>
        <w:div w:id="1645040166">
          <w:marLeft w:val="0"/>
          <w:marRight w:val="0"/>
          <w:marTop w:val="0"/>
          <w:marBottom w:val="0"/>
          <w:divBdr>
            <w:top w:val="none" w:sz="0" w:space="0" w:color="auto"/>
            <w:left w:val="none" w:sz="0" w:space="0" w:color="auto"/>
            <w:bottom w:val="none" w:sz="0" w:space="0" w:color="auto"/>
            <w:right w:val="none" w:sz="0" w:space="0" w:color="auto"/>
          </w:divBdr>
        </w:div>
        <w:div w:id="433331121">
          <w:marLeft w:val="0"/>
          <w:marRight w:val="0"/>
          <w:marTop w:val="0"/>
          <w:marBottom w:val="0"/>
          <w:divBdr>
            <w:top w:val="none" w:sz="0" w:space="0" w:color="auto"/>
            <w:left w:val="none" w:sz="0" w:space="0" w:color="auto"/>
            <w:bottom w:val="none" w:sz="0" w:space="0" w:color="auto"/>
            <w:right w:val="none" w:sz="0" w:space="0" w:color="auto"/>
          </w:divBdr>
        </w:div>
        <w:div w:id="1654915264">
          <w:marLeft w:val="0"/>
          <w:marRight w:val="0"/>
          <w:marTop w:val="0"/>
          <w:marBottom w:val="0"/>
          <w:divBdr>
            <w:top w:val="none" w:sz="0" w:space="0" w:color="auto"/>
            <w:left w:val="none" w:sz="0" w:space="0" w:color="auto"/>
            <w:bottom w:val="none" w:sz="0" w:space="0" w:color="auto"/>
            <w:right w:val="none" w:sz="0" w:space="0" w:color="auto"/>
          </w:divBdr>
        </w:div>
        <w:div w:id="1193806743">
          <w:marLeft w:val="0"/>
          <w:marRight w:val="0"/>
          <w:marTop w:val="0"/>
          <w:marBottom w:val="0"/>
          <w:divBdr>
            <w:top w:val="none" w:sz="0" w:space="0" w:color="auto"/>
            <w:left w:val="none" w:sz="0" w:space="0" w:color="auto"/>
            <w:bottom w:val="none" w:sz="0" w:space="0" w:color="auto"/>
            <w:right w:val="none" w:sz="0" w:space="0" w:color="auto"/>
          </w:divBdr>
        </w:div>
        <w:div w:id="838422851">
          <w:marLeft w:val="0"/>
          <w:marRight w:val="0"/>
          <w:marTop w:val="0"/>
          <w:marBottom w:val="0"/>
          <w:divBdr>
            <w:top w:val="none" w:sz="0" w:space="0" w:color="auto"/>
            <w:left w:val="none" w:sz="0" w:space="0" w:color="auto"/>
            <w:bottom w:val="none" w:sz="0" w:space="0" w:color="auto"/>
            <w:right w:val="none" w:sz="0" w:space="0" w:color="auto"/>
          </w:divBdr>
        </w:div>
        <w:div w:id="453602609">
          <w:marLeft w:val="0"/>
          <w:marRight w:val="0"/>
          <w:marTop w:val="0"/>
          <w:marBottom w:val="0"/>
          <w:divBdr>
            <w:top w:val="none" w:sz="0" w:space="0" w:color="auto"/>
            <w:left w:val="none" w:sz="0" w:space="0" w:color="auto"/>
            <w:bottom w:val="none" w:sz="0" w:space="0" w:color="auto"/>
            <w:right w:val="none" w:sz="0" w:space="0" w:color="auto"/>
          </w:divBdr>
        </w:div>
        <w:div w:id="344554262">
          <w:marLeft w:val="0"/>
          <w:marRight w:val="0"/>
          <w:marTop w:val="0"/>
          <w:marBottom w:val="0"/>
          <w:divBdr>
            <w:top w:val="none" w:sz="0" w:space="0" w:color="auto"/>
            <w:left w:val="none" w:sz="0" w:space="0" w:color="auto"/>
            <w:bottom w:val="none" w:sz="0" w:space="0" w:color="auto"/>
            <w:right w:val="none" w:sz="0" w:space="0" w:color="auto"/>
          </w:divBdr>
        </w:div>
        <w:div w:id="812870578">
          <w:marLeft w:val="0"/>
          <w:marRight w:val="0"/>
          <w:marTop w:val="0"/>
          <w:marBottom w:val="0"/>
          <w:divBdr>
            <w:top w:val="none" w:sz="0" w:space="0" w:color="auto"/>
            <w:left w:val="none" w:sz="0" w:space="0" w:color="auto"/>
            <w:bottom w:val="none" w:sz="0" w:space="0" w:color="auto"/>
            <w:right w:val="none" w:sz="0" w:space="0" w:color="auto"/>
          </w:divBdr>
        </w:div>
        <w:div w:id="553927123">
          <w:marLeft w:val="0"/>
          <w:marRight w:val="0"/>
          <w:marTop w:val="0"/>
          <w:marBottom w:val="0"/>
          <w:divBdr>
            <w:top w:val="none" w:sz="0" w:space="0" w:color="auto"/>
            <w:left w:val="none" w:sz="0" w:space="0" w:color="auto"/>
            <w:bottom w:val="none" w:sz="0" w:space="0" w:color="auto"/>
            <w:right w:val="none" w:sz="0" w:space="0" w:color="auto"/>
          </w:divBdr>
        </w:div>
        <w:div w:id="1603488772">
          <w:marLeft w:val="0"/>
          <w:marRight w:val="0"/>
          <w:marTop w:val="0"/>
          <w:marBottom w:val="0"/>
          <w:divBdr>
            <w:top w:val="none" w:sz="0" w:space="0" w:color="auto"/>
            <w:left w:val="none" w:sz="0" w:space="0" w:color="auto"/>
            <w:bottom w:val="none" w:sz="0" w:space="0" w:color="auto"/>
            <w:right w:val="none" w:sz="0" w:space="0" w:color="auto"/>
          </w:divBdr>
        </w:div>
        <w:div w:id="1201044701">
          <w:marLeft w:val="0"/>
          <w:marRight w:val="0"/>
          <w:marTop w:val="0"/>
          <w:marBottom w:val="0"/>
          <w:divBdr>
            <w:top w:val="none" w:sz="0" w:space="0" w:color="auto"/>
            <w:left w:val="none" w:sz="0" w:space="0" w:color="auto"/>
            <w:bottom w:val="none" w:sz="0" w:space="0" w:color="auto"/>
            <w:right w:val="none" w:sz="0" w:space="0" w:color="auto"/>
          </w:divBdr>
        </w:div>
      </w:divsChild>
    </w:div>
    <w:div w:id="1303580580">
      <w:bodyDiv w:val="1"/>
      <w:marLeft w:val="0"/>
      <w:marRight w:val="0"/>
      <w:marTop w:val="0"/>
      <w:marBottom w:val="0"/>
      <w:divBdr>
        <w:top w:val="none" w:sz="0" w:space="0" w:color="auto"/>
        <w:left w:val="none" w:sz="0" w:space="0" w:color="auto"/>
        <w:bottom w:val="none" w:sz="0" w:space="0" w:color="auto"/>
        <w:right w:val="none" w:sz="0" w:space="0" w:color="auto"/>
      </w:divBdr>
    </w:div>
    <w:div w:id="1392344743">
      <w:bodyDiv w:val="1"/>
      <w:marLeft w:val="0"/>
      <w:marRight w:val="0"/>
      <w:marTop w:val="0"/>
      <w:marBottom w:val="0"/>
      <w:divBdr>
        <w:top w:val="none" w:sz="0" w:space="0" w:color="auto"/>
        <w:left w:val="none" w:sz="0" w:space="0" w:color="auto"/>
        <w:bottom w:val="none" w:sz="0" w:space="0" w:color="auto"/>
        <w:right w:val="none" w:sz="0" w:space="0" w:color="auto"/>
      </w:divBdr>
    </w:div>
    <w:div w:id="1417361180">
      <w:bodyDiv w:val="1"/>
      <w:marLeft w:val="0"/>
      <w:marRight w:val="0"/>
      <w:marTop w:val="0"/>
      <w:marBottom w:val="0"/>
      <w:divBdr>
        <w:top w:val="none" w:sz="0" w:space="0" w:color="auto"/>
        <w:left w:val="none" w:sz="0" w:space="0" w:color="auto"/>
        <w:bottom w:val="none" w:sz="0" w:space="0" w:color="auto"/>
        <w:right w:val="none" w:sz="0" w:space="0" w:color="auto"/>
      </w:divBdr>
    </w:div>
    <w:div w:id="1428428337">
      <w:bodyDiv w:val="1"/>
      <w:marLeft w:val="0"/>
      <w:marRight w:val="0"/>
      <w:marTop w:val="0"/>
      <w:marBottom w:val="0"/>
      <w:divBdr>
        <w:top w:val="none" w:sz="0" w:space="0" w:color="auto"/>
        <w:left w:val="none" w:sz="0" w:space="0" w:color="auto"/>
        <w:bottom w:val="none" w:sz="0" w:space="0" w:color="auto"/>
        <w:right w:val="none" w:sz="0" w:space="0" w:color="auto"/>
      </w:divBdr>
    </w:div>
    <w:div w:id="1436706366">
      <w:bodyDiv w:val="1"/>
      <w:marLeft w:val="0"/>
      <w:marRight w:val="0"/>
      <w:marTop w:val="0"/>
      <w:marBottom w:val="0"/>
      <w:divBdr>
        <w:top w:val="none" w:sz="0" w:space="0" w:color="auto"/>
        <w:left w:val="none" w:sz="0" w:space="0" w:color="auto"/>
        <w:bottom w:val="none" w:sz="0" w:space="0" w:color="auto"/>
        <w:right w:val="none" w:sz="0" w:space="0" w:color="auto"/>
      </w:divBdr>
    </w:div>
    <w:div w:id="1460416091">
      <w:bodyDiv w:val="1"/>
      <w:marLeft w:val="0"/>
      <w:marRight w:val="0"/>
      <w:marTop w:val="0"/>
      <w:marBottom w:val="0"/>
      <w:divBdr>
        <w:top w:val="none" w:sz="0" w:space="0" w:color="auto"/>
        <w:left w:val="none" w:sz="0" w:space="0" w:color="auto"/>
        <w:bottom w:val="none" w:sz="0" w:space="0" w:color="auto"/>
        <w:right w:val="none" w:sz="0" w:space="0" w:color="auto"/>
      </w:divBdr>
    </w:div>
    <w:div w:id="1535921092">
      <w:bodyDiv w:val="1"/>
      <w:marLeft w:val="0"/>
      <w:marRight w:val="0"/>
      <w:marTop w:val="0"/>
      <w:marBottom w:val="0"/>
      <w:divBdr>
        <w:top w:val="none" w:sz="0" w:space="0" w:color="auto"/>
        <w:left w:val="none" w:sz="0" w:space="0" w:color="auto"/>
        <w:bottom w:val="none" w:sz="0" w:space="0" w:color="auto"/>
        <w:right w:val="none" w:sz="0" w:space="0" w:color="auto"/>
      </w:divBdr>
    </w:div>
    <w:div w:id="1583442720">
      <w:bodyDiv w:val="1"/>
      <w:marLeft w:val="0"/>
      <w:marRight w:val="0"/>
      <w:marTop w:val="0"/>
      <w:marBottom w:val="0"/>
      <w:divBdr>
        <w:top w:val="none" w:sz="0" w:space="0" w:color="auto"/>
        <w:left w:val="none" w:sz="0" w:space="0" w:color="auto"/>
        <w:bottom w:val="none" w:sz="0" w:space="0" w:color="auto"/>
        <w:right w:val="none" w:sz="0" w:space="0" w:color="auto"/>
      </w:divBdr>
    </w:div>
    <w:div w:id="1674917888">
      <w:bodyDiv w:val="1"/>
      <w:marLeft w:val="0"/>
      <w:marRight w:val="0"/>
      <w:marTop w:val="0"/>
      <w:marBottom w:val="0"/>
      <w:divBdr>
        <w:top w:val="none" w:sz="0" w:space="0" w:color="auto"/>
        <w:left w:val="none" w:sz="0" w:space="0" w:color="auto"/>
        <w:bottom w:val="none" w:sz="0" w:space="0" w:color="auto"/>
        <w:right w:val="none" w:sz="0" w:space="0" w:color="auto"/>
      </w:divBdr>
    </w:div>
    <w:div w:id="1688562018">
      <w:bodyDiv w:val="1"/>
      <w:marLeft w:val="0"/>
      <w:marRight w:val="0"/>
      <w:marTop w:val="0"/>
      <w:marBottom w:val="0"/>
      <w:divBdr>
        <w:top w:val="none" w:sz="0" w:space="0" w:color="auto"/>
        <w:left w:val="none" w:sz="0" w:space="0" w:color="auto"/>
        <w:bottom w:val="none" w:sz="0" w:space="0" w:color="auto"/>
        <w:right w:val="none" w:sz="0" w:space="0" w:color="auto"/>
      </w:divBdr>
      <w:divsChild>
        <w:div w:id="2144082288">
          <w:marLeft w:val="0"/>
          <w:marRight w:val="0"/>
          <w:marTop w:val="0"/>
          <w:marBottom w:val="0"/>
          <w:divBdr>
            <w:top w:val="none" w:sz="0" w:space="0" w:color="auto"/>
            <w:left w:val="none" w:sz="0" w:space="0" w:color="auto"/>
            <w:bottom w:val="none" w:sz="0" w:space="0" w:color="auto"/>
            <w:right w:val="none" w:sz="0" w:space="0" w:color="auto"/>
          </w:divBdr>
        </w:div>
        <w:div w:id="1528055332">
          <w:marLeft w:val="0"/>
          <w:marRight w:val="0"/>
          <w:marTop w:val="0"/>
          <w:marBottom w:val="0"/>
          <w:divBdr>
            <w:top w:val="none" w:sz="0" w:space="0" w:color="auto"/>
            <w:left w:val="none" w:sz="0" w:space="0" w:color="auto"/>
            <w:bottom w:val="none" w:sz="0" w:space="0" w:color="auto"/>
            <w:right w:val="none" w:sz="0" w:space="0" w:color="auto"/>
          </w:divBdr>
        </w:div>
        <w:div w:id="1878811362">
          <w:marLeft w:val="0"/>
          <w:marRight w:val="0"/>
          <w:marTop w:val="0"/>
          <w:marBottom w:val="0"/>
          <w:divBdr>
            <w:top w:val="none" w:sz="0" w:space="0" w:color="auto"/>
            <w:left w:val="none" w:sz="0" w:space="0" w:color="auto"/>
            <w:bottom w:val="none" w:sz="0" w:space="0" w:color="auto"/>
            <w:right w:val="none" w:sz="0" w:space="0" w:color="auto"/>
          </w:divBdr>
        </w:div>
        <w:div w:id="673798064">
          <w:marLeft w:val="0"/>
          <w:marRight w:val="0"/>
          <w:marTop w:val="0"/>
          <w:marBottom w:val="0"/>
          <w:divBdr>
            <w:top w:val="none" w:sz="0" w:space="0" w:color="auto"/>
            <w:left w:val="none" w:sz="0" w:space="0" w:color="auto"/>
            <w:bottom w:val="none" w:sz="0" w:space="0" w:color="auto"/>
            <w:right w:val="none" w:sz="0" w:space="0" w:color="auto"/>
          </w:divBdr>
        </w:div>
        <w:div w:id="370038653">
          <w:marLeft w:val="0"/>
          <w:marRight w:val="0"/>
          <w:marTop w:val="0"/>
          <w:marBottom w:val="0"/>
          <w:divBdr>
            <w:top w:val="none" w:sz="0" w:space="0" w:color="auto"/>
            <w:left w:val="none" w:sz="0" w:space="0" w:color="auto"/>
            <w:bottom w:val="none" w:sz="0" w:space="0" w:color="auto"/>
            <w:right w:val="none" w:sz="0" w:space="0" w:color="auto"/>
          </w:divBdr>
        </w:div>
        <w:div w:id="1800806961">
          <w:marLeft w:val="0"/>
          <w:marRight w:val="0"/>
          <w:marTop w:val="0"/>
          <w:marBottom w:val="0"/>
          <w:divBdr>
            <w:top w:val="none" w:sz="0" w:space="0" w:color="auto"/>
            <w:left w:val="none" w:sz="0" w:space="0" w:color="auto"/>
            <w:bottom w:val="none" w:sz="0" w:space="0" w:color="auto"/>
            <w:right w:val="none" w:sz="0" w:space="0" w:color="auto"/>
          </w:divBdr>
        </w:div>
        <w:div w:id="1208032574">
          <w:marLeft w:val="0"/>
          <w:marRight w:val="0"/>
          <w:marTop w:val="0"/>
          <w:marBottom w:val="0"/>
          <w:divBdr>
            <w:top w:val="none" w:sz="0" w:space="0" w:color="auto"/>
            <w:left w:val="none" w:sz="0" w:space="0" w:color="auto"/>
            <w:bottom w:val="none" w:sz="0" w:space="0" w:color="auto"/>
            <w:right w:val="none" w:sz="0" w:space="0" w:color="auto"/>
          </w:divBdr>
        </w:div>
      </w:divsChild>
    </w:div>
    <w:div w:id="1809977262">
      <w:bodyDiv w:val="1"/>
      <w:marLeft w:val="0"/>
      <w:marRight w:val="0"/>
      <w:marTop w:val="0"/>
      <w:marBottom w:val="0"/>
      <w:divBdr>
        <w:top w:val="none" w:sz="0" w:space="0" w:color="auto"/>
        <w:left w:val="none" w:sz="0" w:space="0" w:color="auto"/>
        <w:bottom w:val="none" w:sz="0" w:space="0" w:color="auto"/>
        <w:right w:val="none" w:sz="0" w:space="0" w:color="auto"/>
      </w:divBdr>
    </w:div>
    <w:div w:id="1909343069">
      <w:bodyDiv w:val="1"/>
      <w:marLeft w:val="0"/>
      <w:marRight w:val="0"/>
      <w:marTop w:val="0"/>
      <w:marBottom w:val="0"/>
      <w:divBdr>
        <w:top w:val="none" w:sz="0" w:space="0" w:color="auto"/>
        <w:left w:val="none" w:sz="0" w:space="0" w:color="auto"/>
        <w:bottom w:val="none" w:sz="0" w:space="0" w:color="auto"/>
        <w:right w:val="none" w:sz="0" w:space="0" w:color="auto"/>
      </w:divBdr>
    </w:div>
    <w:div w:id="1948348704">
      <w:bodyDiv w:val="1"/>
      <w:marLeft w:val="0"/>
      <w:marRight w:val="0"/>
      <w:marTop w:val="0"/>
      <w:marBottom w:val="0"/>
      <w:divBdr>
        <w:top w:val="none" w:sz="0" w:space="0" w:color="auto"/>
        <w:left w:val="none" w:sz="0" w:space="0" w:color="auto"/>
        <w:bottom w:val="none" w:sz="0" w:space="0" w:color="auto"/>
        <w:right w:val="none" w:sz="0" w:space="0" w:color="auto"/>
      </w:divBdr>
    </w:div>
    <w:div w:id="1951936978">
      <w:bodyDiv w:val="1"/>
      <w:marLeft w:val="0"/>
      <w:marRight w:val="0"/>
      <w:marTop w:val="0"/>
      <w:marBottom w:val="0"/>
      <w:divBdr>
        <w:top w:val="none" w:sz="0" w:space="0" w:color="auto"/>
        <w:left w:val="none" w:sz="0" w:space="0" w:color="auto"/>
        <w:bottom w:val="none" w:sz="0" w:space="0" w:color="auto"/>
        <w:right w:val="none" w:sz="0" w:space="0" w:color="auto"/>
      </w:divBdr>
    </w:div>
    <w:div w:id="2021395776">
      <w:bodyDiv w:val="1"/>
      <w:marLeft w:val="0"/>
      <w:marRight w:val="0"/>
      <w:marTop w:val="0"/>
      <w:marBottom w:val="0"/>
      <w:divBdr>
        <w:top w:val="none" w:sz="0" w:space="0" w:color="auto"/>
        <w:left w:val="none" w:sz="0" w:space="0" w:color="auto"/>
        <w:bottom w:val="none" w:sz="0" w:space="0" w:color="auto"/>
        <w:right w:val="none" w:sz="0" w:space="0" w:color="auto"/>
      </w:divBdr>
    </w:div>
    <w:div w:id="2023891775">
      <w:bodyDiv w:val="1"/>
      <w:marLeft w:val="0"/>
      <w:marRight w:val="0"/>
      <w:marTop w:val="0"/>
      <w:marBottom w:val="0"/>
      <w:divBdr>
        <w:top w:val="none" w:sz="0" w:space="0" w:color="auto"/>
        <w:left w:val="none" w:sz="0" w:space="0" w:color="auto"/>
        <w:bottom w:val="none" w:sz="0" w:space="0" w:color="auto"/>
        <w:right w:val="none" w:sz="0" w:space="0" w:color="auto"/>
      </w:divBdr>
    </w:div>
    <w:div w:id="2027440912">
      <w:bodyDiv w:val="1"/>
      <w:marLeft w:val="0"/>
      <w:marRight w:val="0"/>
      <w:marTop w:val="0"/>
      <w:marBottom w:val="0"/>
      <w:divBdr>
        <w:top w:val="none" w:sz="0" w:space="0" w:color="auto"/>
        <w:left w:val="none" w:sz="0" w:space="0" w:color="auto"/>
        <w:bottom w:val="none" w:sz="0" w:space="0" w:color="auto"/>
        <w:right w:val="none" w:sz="0" w:space="0" w:color="auto"/>
      </w:divBdr>
    </w:div>
    <w:div w:id="2090227847">
      <w:bodyDiv w:val="1"/>
      <w:marLeft w:val="0"/>
      <w:marRight w:val="0"/>
      <w:marTop w:val="0"/>
      <w:marBottom w:val="0"/>
      <w:divBdr>
        <w:top w:val="none" w:sz="0" w:space="0" w:color="auto"/>
        <w:left w:val="none" w:sz="0" w:space="0" w:color="auto"/>
        <w:bottom w:val="none" w:sz="0" w:space="0" w:color="auto"/>
        <w:right w:val="none" w:sz="0" w:space="0" w:color="auto"/>
      </w:divBdr>
    </w:div>
    <w:div w:id="2107453930">
      <w:bodyDiv w:val="1"/>
      <w:marLeft w:val="0"/>
      <w:marRight w:val="0"/>
      <w:marTop w:val="0"/>
      <w:marBottom w:val="0"/>
      <w:divBdr>
        <w:top w:val="none" w:sz="0" w:space="0" w:color="auto"/>
        <w:left w:val="none" w:sz="0" w:space="0" w:color="auto"/>
        <w:bottom w:val="none" w:sz="0" w:space="0" w:color="auto"/>
        <w:right w:val="none" w:sz="0" w:space="0" w:color="auto"/>
      </w:divBdr>
    </w:div>
    <w:div w:id="2124571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Relationships xmlns="http://schemas.openxmlformats.org/package/2006/relationships"><Relationship Id="rId3" Type="http://schemas.openxmlformats.org/officeDocument/2006/relationships/hyperlink" Target="https://www.cmconsulting.com.co" TargetMode="External"/><Relationship Id="rId2" Type="http://schemas.openxmlformats.org/officeDocument/2006/relationships/hyperlink" Target="https://www.cmconsulting.com.co" TargetMode="External"/><Relationship Id="rId1" Type="http://schemas.openxmlformats.org/officeDocument/2006/relationships/image" Target="media/image5.jpeg"/><Relationship Id="rId5" Type="http://schemas.openxmlformats.org/officeDocument/2006/relationships/hyperlink" Target="mailto:contactos@cmconsulting.com.co" TargetMode="External"/><Relationship Id="rId4" Type="http://schemas.openxmlformats.org/officeDocument/2006/relationships/hyperlink" Target="mailto:contactos@cmconsulting.com.co" TargetMode="External"/></Relationships>
</file>

<file path=word/_rels/footer2.xml.rels><?xml version="1.0" encoding="UTF-8"?><Relationships xmlns="http://schemas.openxmlformats.org/package/2006/relationships"><Relationship Id="rId3" Type="http://schemas.openxmlformats.org/officeDocument/2006/relationships/hyperlink" Target="https://www.cmconsulting.com.co" TargetMode="External"/><Relationship Id="rId2" Type="http://schemas.openxmlformats.org/officeDocument/2006/relationships/hyperlink" Target="mailto:contactos@cmconsulting.com.co" TargetMode="External"/><Relationship Id="rId1" Type="http://schemas.openxmlformats.org/officeDocument/2006/relationships/hyperlink" Target="mailto:contactos@cmconsulting.com.co" TargetMode="External"/><Relationship Id="rId5" Type="http://schemas.openxmlformats.org/officeDocument/2006/relationships/image" Target="media/image5.jpeg"/><Relationship Id="rId4" Type="http://schemas.openxmlformats.org/officeDocument/2006/relationships/hyperlink" Target="https://www.cmconsulting.com.co" TargetMode="External"/></Relationships>
</file>

<file path=word/_rels/header2.xml.rels><?xml version="1.0" encoding="UTF-8"?><Relationships xmlns="http://schemas.openxmlformats.org/package/2006/relationships"><Relationship Id="rId8" Type="http://schemas.openxmlformats.org/officeDocument/2006/relationships/hyperlink" Target="https://www.cmconsulting.com.co" TargetMode="External"/><Relationship Id="rId3" Type="http://schemas.openxmlformats.org/officeDocument/2006/relationships/image" Target="media/image3.png"/><Relationship Id="rId7" Type="http://schemas.openxmlformats.org/officeDocument/2006/relationships/hyperlink" Target="https://www.cmconsulting.com.co"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mailto:contactos@cmconsulting.com.co" TargetMode="External"/><Relationship Id="rId5" Type="http://schemas.openxmlformats.org/officeDocument/2006/relationships/hyperlink" Target="mailto:contactos@cmconsulting.com.co" TargetMode="External"/><Relationship Id="rId4" Type="http://schemas.openxmlformats.org/officeDocument/2006/relationships/image" Target="media/image4.jpeg"/></Relationships>
</file>

<file path=word/_rels/header3.xml.rels><?xml version="1.0" encoding="UTF-8"?><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Ubuntu"/>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Ubuntu"/>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Propuesta" ma:contentTypeID="0x010100AB79FB4A799C574A859405F270C445C800BC5A1C0DCB23D8479680544034113EB5" ma:contentTypeVersion="21" ma:contentTypeDescription="" ma:contentTypeScope="" ma:versionID="ce9091c7fb5770fad885180d9df75b1b">
  <xsd:schema xmlns:xsd="http://www.w3.org/2001/XMLSchema" xmlns:xs="http://www.w3.org/2001/XMLSchema" xmlns:p="http://schemas.microsoft.com/office/2006/metadata/properties" xmlns:ns1="http://schemas.microsoft.com/sharepoint/v3" xmlns:ns2="309baf5c-75d9-4812-b829-377eb05e6130" xmlns:ns3="9be3dde3-6c27-4800-84d1-c126f1ce0fd4" xmlns:ns4="8fb313a7-b256-4fae-9212-2f854ca77a24" targetNamespace="http://schemas.microsoft.com/office/2006/metadata/properties" ma:root="true" ma:fieldsID="98050bfd7b84e19de7ad8ddd1f037c0d" ns1:_="" ns2:_="" ns3:_="" ns4:_="">
    <xsd:import namespace="http://schemas.microsoft.com/sharepoint/v3"/>
    <xsd:import namespace="309baf5c-75d9-4812-b829-377eb05e6130"/>
    <xsd:import namespace="9be3dde3-6c27-4800-84d1-c126f1ce0fd4"/>
    <xsd:import namespace="8fb313a7-b256-4fae-9212-2f854ca77a24"/>
    <xsd:element name="properties">
      <xsd:complexType>
        <xsd:sequence>
          <xsd:element name="documentManagement">
            <xsd:complexType>
              <xsd:all>
                <xsd:element ref="ns2:_dlc_DocId" minOccurs="0"/>
                <xsd:element ref="ns2:_dlc_DocIdUrl" minOccurs="0"/>
                <xsd:element ref="ns2:_dlc_DocIdPersistId" minOccurs="0"/>
                <xsd:element ref="ns3:Valor" minOccurs="0"/>
                <xsd:element ref="ns3:Fecha_x0020_de_x0020_Vigencia" minOccurs="0"/>
                <xsd:element ref="ns4:MediaServiceMetadata" minOccurs="0"/>
                <xsd:element ref="ns4:MediaServiceFastMetadata" minOccurs="0"/>
                <xsd:element ref="ns4:MediaServiceAutoTags" minOccurs="0"/>
                <xsd:element ref="ns4:MediaServiceOCR" minOccurs="0"/>
                <xsd:element ref="ns4:MediaServiceDateTaken" minOccurs="0"/>
                <xsd:element ref="ns2:SharedWithUsers" minOccurs="0"/>
                <xsd:element ref="ns2:SharedWithDetails" minOccurs="0"/>
                <xsd:element ref="ns4:MediaServiceEventHashCode" minOccurs="0"/>
                <xsd:element ref="ns4:MediaServiceGenerationTime" minOccurs="0"/>
                <xsd:element ref="ns4:MediaServiceAutoKeyPoints" minOccurs="0"/>
                <xsd:element ref="ns4:MediaServiceKeyPoints" minOccurs="0"/>
                <xsd:element ref="ns4:lcf76f155ced4ddcb4097134ff3c332f" minOccurs="0"/>
                <xsd:element ref="ns2:TaxCatchAll" minOccurs="0"/>
                <xsd:element ref="ns4:MediaServiceSearchProperties" minOccurs="0"/>
                <xsd:element ref="ns4: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9" nillable="true" ma:displayName="Propiedades de la Directiva de cumplimiento unificado" ma:hidden="true" ma:internalName="_ip_UnifiedCompliancePolicyProperties">
      <xsd:simpleType>
        <xsd:restriction base="dms:Note"/>
      </xsd:simpleType>
    </xsd:element>
    <xsd:element name="_ip_UnifiedCompliancePolicyUIAction" ma:index="30"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9baf5c-75d9-4812-b829-377eb05e613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6" nillable="true" ma:displayName="Taxonomy Catch All Column" ma:hidden="true" ma:list="{86a2adee-dbd1-4314-a7d0-5df1a962f2af}" ma:internalName="TaxCatchAll" ma:showField="CatchAllData" ma:web="309baf5c-75d9-4812-b829-377eb05e613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e3dde3-6c27-4800-84d1-c126f1ce0fd4" elementFormDefault="qualified">
    <xsd:import namespace="http://schemas.microsoft.com/office/2006/documentManagement/types"/>
    <xsd:import namespace="http://schemas.microsoft.com/office/infopath/2007/PartnerControls"/>
    <xsd:element name="Valor" ma:index="11" nillable="true" ma:displayName="Valor" ma:decimals="0" ma:LCID="9226" ma:internalName="Valor">
      <xsd:simpleType>
        <xsd:restriction base="dms:Currency"/>
      </xsd:simpleType>
    </xsd:element>
    <xsd:element name="Fecha_x0020_de_x0020_Vigencia" ma:index="12" nillable="true" ma:displayName="Fecha de Vigencia" ma:format="DateOnly" ma:internalName="Fecha_x0020_de_x0020_Vigenci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fb313a7-b256-4fae-9212-2f854ca77a24"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internalName="MediaServiceAutoTags"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lcf76f155ced4ddcb4097134ff3c332f" ma:index="25" nillable="true" ma:taxonomy="true" ma:internalName="lcf76f155ced4ddcb4097134ff3c332f" ma:taxonomyFieldName="MediaServiceImageTags" ma:displayName="Etiquetas de imagen" ma:readOnly="false" ma:fieldId="{5cf76f15-5ced-4ddc-b409-7134ff3c332f}" ma:taxonomyMulti="true" ma:sspId="0dbd6635-e59c-4a1b-8318-2387fe986333"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309baf5c-75d9-4812-b829-377eb05e6130">UZ2ZAN2UWY44-1212435614-14818</_dlc_DocId>
    <_dlc_DocIdUrl xmlns="309baf5c-75d9-4812-b829-377eb05e6130">
      <Url>https://cmconsultingsas.sharepoint.com/DocsClientes/_layouts/15/DocIdRedir.aspx?ID=UZ2ZAN2UWY44-1212435614-14818</Url>
      <Description>UZ2ZAN2UWY44-1212435614-14818</Description>
    </_dlc_DocIdUrl>
    <Valor xmlns="9be3dde3-6c27-4800-84d1-c126f1ce0fd4" xsi:nil="true"/>
    <Fecha_x0020_de_x0020_Vigencia xmlns="9be3dde3-6c27-4800-84d1-c126f1ce0fd4" xsi:nil="true"/>
    <SharedWithUsers xmlns="309baf5c-75d9-4812-b829-377eb05e6130">
      <UserInfo>
        <DisplayName>Clara Montenegro</DisplayName>
        <AccountId>45</AccountId>
        <AccountType/>
      </UserInfo>
    </SharedWithUsers>
    <lcf76f155ced4ddcb4097134ff3c332f xmlns="8fb313a7-b256-4fae-9212-2f854ca77a24">
      <Terms xmlns="http://schemas.microsoft.com/office/infopath/2007/PartnerControls"/>
    </lcf76f155ced4ddcb4097134ff3c332f>
    <TaxCatchAll xmlns="309baf5c-75d9-4812-b829-377eb05e6130"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65BBC5E-69E2-4355-9E7B-2CBBC4FB9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09baf5c-75d9-4812-b829-377eb05e6130"/>
    <ds:schemaRef ds:uri="9be3dde3-6c27-4800-84d1-c126f1ce0fd4"/>
    <ds:schemaRef ds:uri="8fb313a7-b256-4fae-9212-2f854ca77a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C7EC0C-AC6F-446E-93F3-20359A935811}">
  <ds:schemaRefs>
    <ds:schemaRef ds:uri="http://schemas.openxmlformats.org/officeDocument/2006/bibliography"/>
  </ds:schemaRefs>
</ds:datastoreItem>
</file>

<file path=customXml/itemProps3.xml><?xml version="1.0" encoding="utf-8"?>
<ds:datastoreItem xmlns:ds="http://schemas.openxmlformats.org/officeDocument/2006/customXml" ds:itemID="{FE826AD0-BC40-4594-87E5-5BEAB07C1BDF}">
  <ds:schemaRefs>
    <ds:schemaRef ds:uri="http://schemas.microsoft.com/sharepoint/events"/>
  </ds:schemaRefs>
</ds:datastoreItem>
</file>

<file path=customXml/itemProps4.xml><?xml version="1.0" encoding="utf-8"?>
<ds:datastoreItem xmlns:ds="http://schemas.openxmlformats.org/officeDocument/2006/customXml" ds:itemID="{34F58C6A-46FE-4CE7-8EB3-BCD7DA958BB4}">
  <ds:schemaRefs>
    <ds:schemaRef ds:uri="http://schemas.microsoft.com/sharepoint/v3/contenttype/forms"/>
  </ds:schemaRefs>
</ds:datastoreItem>
</file>

<file path=customXml/itemProps5.xml><?xml version="1.0" encoding="utf-8"?>
<ds:datastoreItem xmlns:ds="http://schemas.openxmlformats.org/officeDocument/2006/customXml" ds:itemID="{2CD06C13-5617-4A91-824A-5A651D6A941E}">
  <ds:schemaRefs>
    <ds:schemaRef ds:uri="http://schemas.microsoft.com/office/2006/metadata/properties"/>
    <ds:schemaRef ds:uri="http://schemas.microsoft.com/office/infopath/2007/PartnerControls"/>
    <ds:schemaRef ds:uri="309baf5c-75d9-4812-b829-377eb05e6130"/>
    <ds:schemaRef ds:uri="9be3dde3-6c27-4800-84d1-c126f1ce0fd4"/>
    <ds:schemaRef ds:uri="8fb313a7-b256-4fae-9212-2f854ca77a24"/>
    <ds:schemaRef ds:uri="http://schemas.microsoft.com/sharepoint/v3"/>
  </ds:schemaRefs>
</ds:datastoreItem>
</file>

<file path=docMetadata/LabelInfo.xml><?xml version="1.0" encoding="utf-8"?>
<clbl:labelList xmlns:clbl="http://schemas.microsoft.com/office/2020/mipLabelMetadata">
  <clbl:label id="{6a3e6502-054a-4b87-aed2-875b7aa540dd}" enabled="1" method="Privileged" siteId="{f9d98544-7ea3-4fb6-81b8-22c5176d37af}"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0</CharactersWithSpaces>
  <SharedDoc>false</SharedDoc>
  <HLinks>
    <vt:vector size="138" baseType="variant">
      <vt:variant>
        <vt:i4>2031672</vt:i4>
      </vt:variant>
      <vt:variant>
        <vt:i4>62</vt:i4>
      </vt:variant>
      <vt:variant>
        <vt:i4>0</vt:i4>
      </vt:variant>
      <vt:variant>
        <vt:i4>5</vt:i4>
      </vt:variant>
      <vt:variant>
        <vt:lpwstr/>
      </vt:variant>
      <vt:variant>
        <vt:lpwstr>_Toc217383594</vt:lpwstr>
      </vt:variant>
      <vt:variant>
        <vt:i4>2031672</vt:i4>
      </vt:variant>
      <vt:variant>
        <vt:i4>56</vt:i4>
      </vt:variant>
      <vt:variant>
        <vt:i4>0</vt:i4>
      </vt:variant>
      <vt:variant>
        <vt:i4>5</vt:i4>
      </vt:variant>
      <vt:variant>
        <vt:lpwstr/>
      </vt:variant>
      <vt:variant>
        <vt:lpwstr>_Toc217383593</vt:lpwstr>
      </vt:variant>
      <vt:variant>
        <vt:i4>2031672</vt:i4>
      </vt:variant>
      <vt:variant>
        <vt:i4>50</vt:i4>
      </vt:variant>
      <vt:variant>
        <vt:i4>0</vt:i4>
      </vt:variant>
      <vt:variant>
        <vt:i4>5</vt:i4>
      </vt:variant>
      <vt:variant>
        <vt:lpwstr/>
      </vt:variant>
      <vt:variant>
        <vt:lpwstr>_Toc217383592</vt:lpwstr>
      </vt:variant>
      <vt:variant>
        <vt:i4>2031672</vt:i4>
      </vt:variant>
      <vt:variant>
        <vt:i4>44</vt:i4>
      </vt:variant>
      <vt:variant>
        <vt:i4>0</vt:i4>
      </vt:variant>
      <vt:variant>
        <vt:i4>5</vt:i4>
      </vt:variant>
      <vt:variant>
        <vt:lpwstr/>
      </vt:variant>
      <vt:variant>
        <vt:lpwstr>_Toc217383591</vt:lpwstr>
      </vt:variant>
      <vt:variant>
        <vt:i4>2031672</vt:i4>
      </vt:variant>
      <vt:variant>
        <vt:i4>38</vt:i4>
      </vt:variant>
      <vt:variant>
        <vt:i4>0</vt:i4>
      </vt:variant>
      <vt:variant>
        <vt:i4>5</vt:i4>
      </vt:variant>
      <vt:variant>
        <vt:lpwstr/>
      </vt:variant>
      <vt:variant>
        <vt:lpwstr>_Toc217383590</vt:lpwstr>
      </vt:variant>
      <vt:variant>
        <vt:i4>1966136</vt:i4>
      </vt:variant>
      <vt:variant>
        <vt:i4>32</vt:i4>
      </vt:variant>
      <vt:variant>
        <vt:i4>0</vt:i4>
      </vt:variant>
      <vt:variant>
        <vt:i4>5</vt:i4>
      </vt:variant>
      <vt:variant>
        <vt:lpwstr/>
      </vt:variant>
      <vt:variant>
        <vt:lpwstr>_Toc217383589</vt:lpwstr>
      </vt:variant>
      <vt:variant>
        <vt:i4>1966136</vt:i4>
      </vt:variant>
      <vt:variant>
        <vt:i4>26</vt:i4>
      </vt:variant>
      <vt:variant>
        <vt:i4>0</vt:i4>
      </vt:variant>
      <vt:variant>
        <vt:i4>5</vt:i4>
      </vt:variant>
      <vt:variant>
        <vt:lpwstr/>
      </vt:variant>
      <vt:variant>
        <vt:lpwstr>_Toc217383588</vt:lpwstr>
      </vt:variant>
      <vt:variant>
        <vt:i4>1966136</vt:i4>
      </vt:variant>
      <vt:variant>
        <vt:i4>20</vt:i4>
      </vt:variant>
      <vt:variant>
        <vt:i4>0</vt:i4>
      </vt:variant>
      <vt:variant>
        <vt:i4>5</vt:i4>
      </vt:variant>
      <vt:variant>
        <vt:lpwstr/>
      </vt:variant>
      <vt:variant>
        <vt:lpwstr>_Toc217383587</vt:lpwstr>
      </vt:variant>
      <vt:variant>
        <vt:i4>1966136</vt:i4>
      </vt:variant>
      <vt:variant>
        <vt:i4>14</vt:i4>
      </vt:variant>
      <vt:variant>
        <vt:i4>0</vt:i4>
      </vt:variant>
      <vt:variant>
        <vt:i4>5</vt:i4>
      </vt:variant>
      <vt:variant>
        <vt:lpwstr/>
      </vt:variant>
      <vt:variant>
        <vt:lpwstr>_Toc217383586</vt:lpwstr>
      </vt:variant>
      <vt:variant>
        <vt:i4>1966136</vt:i4>
      </vt:variant>
      <vt:variant>
        <vt:i4>8</vt:i4>
      </vt:variant>
      <vt:variant>
        <vt:i4>0</vt:i4>
      </vt:variant>
      <vt:variant>
        <vt:i4>5</vt:i4>
      </vt:variant>
      <vt:variant>
        <vt:lpwstr/>
      </vt:variant>
      <vt:variant>
        <vt:lpwstr>_Toc217383585</vt:lpwstr>
      </vt:variant>
      <vt:variant>
        <vt:i4>5701753</vt:i4>
      </vt:variant>
      <vt:variant>
        <vt:i4>3</vt:i4>
      </vt:variant>
      <vt:variant>
        <vt:i4>0</vt:i4>
      </vt:variant>
      <vt:variant>
        <vt:i4>5</vt:i4>
      </vt:variant>
      <vt:variant>
        <vt:lpwstr>mailto:andres.castro@cmconsulting.com.co</vt:lpwstr>
      </vt:variant>
      <vt:variant>
        <vt:lpwstr/>
      </vt:variant>
      <vt:variant>
        <vt:i4>2556014</vt:i4>
      </vt:variant>
      <vt:variant>
        <vt:i4>33</vt:i4>
      </vt:variant>
      <vt:variant>
        <vt:i4>0</vt:i4>
      </vt:variant>
      <vt:variant>
        <vt:i4>5</vt:i4>
      </vt:variant>
      <vt:variant>
        <vt:lpwstr>www.cmconsulting.com.co</vt:lpwstr>
      </vt:variant>
      <vt:variant>
        <vt:lpwstr/>
      </vt:variant>
      <vt:variant>
        <vt:i4>524387</vt:i4>
      </vt:variant>
      <vt:variant>
        <vt:i4>30</vt:i4>
      </vt:variant>
      <vt:variant>
        <vt:i4>0</vt:i4>
      </vt:variant>
      <vt:variant>
        <vt:i4>5</vt:i4>
      </vt:variant>
      <vt:variant>
        <vt:lpwstr>mailto:contactos@cmconsulting.com.co</vt:lpwstr>
      </vt:variant>
      <vt:variant>
        <vt:lpwstr/>
      </vt:variant>
      <vt:variant>
        <vt:i4>524387</vt:i4>
      </vt:variant>
      <vt:variant>
        <vt:i4>27</vt:i4>
      </vt:variant>
      <vt:variant>
        <vt:i4>0</vt:i4>
      </vt:variant>
      <vt:variant>
        <vt:i4>5</vt:i4>
      </vt:variant>
      <vt:variant>
        <vt:lpwstr>mailto:contactos@cmconsulting.com.co</vt:lpwstr>
      </vt:variant>
      <vt:variant>
        <vt:lpwstr/>
      </vt:variant>
      <vt:variant>
        <vt:i4>2556014</vt:i4>
      </vt:variant>
      <vt:variant>
        <vt:i4>24</vt:i4>
      </vt:variant>
      <vt:variant>
        <vt:i4>0</vt:i4>
      </vt:variant>
      <vt:variant>
        <vt:i4>5</vt:i4>
      </vt:variant>
      <vt:variant>
        <vt:lpwstr>www.cmconsulting.com.co</vt:lpwstr>
      </vt:variant>
      <vt:variant>
        <vt:lpwstr/>
      </vt:variant>
      <vt:variant>
        <vt:i4>2556014</vt:i4>
      </vt:variant>
      <vt:variant>
        <vt:i4>21</vt:i4>
      </vt:variant>
      <vt:variant>
        <vt:i4>0</vt:i4>
      </vt:variant>
      <vt:variant>
        <vt:i4>5</vt:i4>
      </vt:variant>
      <vt:variant>
        <vt:lpwstr>www.cmconsulting.com.co</vt:lpwstr>
      </vt:variant>
      <vt:variant>
        <vt:lpwstr/>
      </vt:variant>
      <vt:variant>
        <vt:i4>524387</vt:i4>
      </vt:variant>
      <vt:variant>
        <vt:i4>18</vt:i4>
      </vt:variant>
      <vt:variant>
        <vt:i4>0</vt:i4>
      </vt:variant>
      <vt:variant>
        <vt:i4>5</vt:i4>
      </vt:variant>
      <vt:variant>
        <vt:lpwstr>mailto:contactos@cmconsulting.com.co</vt:lpwstr>
      </vt:variant>
      <vt:variant>
        <vt:lpwstr/>
      </vt:variant>
      <vt:variant>
        <vt:i4>2556014</vt:i4>
      </vt:variant>
      <vt:variant>
        <vt:i4>15</vt:i4>
      </vt:variant>
      <vt:variant>
        <vt:i4>0</vt:i4>
      </vt:variant>
      <vt:variant>
        <vt:i4>5</vt:i4>
      </vt:variant>
      <vt:variant>
        <vt:lpwstr>www.cmconsulting.com.co</vt:lpwstr>
      </vt:variant>
      <vt:variant>
        <vt:lpwstr/>
      </vt:variant>
      <vt:variant>
        <vt:i4>524387</vt:i4>
      </vt:variant>
      <vt:variant>
        <vt:i4>12</vt:i4>
      </vt:variant>
      <vt:variant>
        <vt:i4>0</vt:i4>
      </vt:variant>
      <vt:variant>
        <vt:i4>5</vt:i4>
      </vt:variant>
      <vt:variant>
        <vt:lpwstr>mailto:contactos@cmconsulting.com.co</vt:lpwstr>
      </vt:variant>
      <vt:variant>
        <vt:lpwstr/>
      </vt:variant>
      <vt:variant>
        <vt:i4>524387</vt:i4>
      </vt:variant>
      <vt:variant>
        <vt:i4>9</vt:i4>
      </vt:variant>
      <vt:variant>
        <vt:i4>0</vt:i4>
      </vt:variant>
      <vt:variant>
        <vt:i4>5</vt:i4>
      </vt:variant>
      <vt:variant>
        <vt:lpwstr>mailto:contactos@cmconsulting.com.co</vt:lpwstr>
      </vt:variant>
      <vt:variant>
        <vt:lpwstr/>
      </vt:variant>
      <vt:variant>
        <vt:i4>2556014</vt:i4>
      </vt:variant>
      <vt:variant>
        <vt:i4>6</vt:i4>
      </vt:variant>
      <vt:variant>
        <vt:i4>0</vt:i4>
      </vt:variant>
      <vt:variant>
        <vt:i4>5</vt:i4>
      </vt:variant>
      <vt:variant>
        <vt:lpwstr>www.cmconsulting.com.co</vt:lpwstr>
      </vt:variant>
      <vt:variant>
        <vt:lpwstr/>
      </vt:variant>
      <vt:variant>
        <vt:i4>2556014</vt:i4>
      </vt:variant>
      <vt:variant>
        <vt:i4>3</vt:i4>
      </vt:variant>
      <vt:variant>
        <vt:i4>0</vt:i4>
      </vt:variant>
      <vt:variant>
        <vt:i4>5</vt:i4>
      </vt:variant>
      <vt:variant>
        <vt:lpwstr>www.cmconsulting.com.co</vt:lpwstr>
      </vt:variant>
      <vt:variant>
        <vt:lpwstr/>
      </vt:variant>
      <vt:variant>
        <vt:i4>524387</vt:i4>
      </vt:variant>
      <vt:variant>
        <vt:i4>0</vt:i4>
      </vt:variant>
      <vt:variant>
        <vt:i4>0</vt:i4>
      </vt:variant>
      <vt:variant>
        <vt:i4>5</vt:i4>
      </vt:variant>
      <vt:variant>
        <vt:lpwstr>mailto:contactos@cmconsulting.com.co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gollillo</dc:creator>
  <cp:lastModifiedBy>Luis Maury</cp:lastModifiedBy>
  <cp:revision>2</cp:revision>
  <cp:lastPrinted>2026-04-29T21:41:00Z</cp:lastPrinted>
  <dcterms:created xsi:type="dcterms:W3CDTF">2026-05-13T15:23:00Z</dcterms:created>
  <dcterms:modified xsi:type="dcterms:W3CDTF">2026-05-13T15:23:00Z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0x010100AB79FB4A799C574A859405F270C445C800BC5A1C0DCB23D8479680544034113EB5</vt:lpwstr>
  </property>
  <property fmtid="{D5CDD505-2E9C-101B-9397-08002B2CF9AE}" pid="3" name="_dlc_DocIdItemGuid">
    <vt:lpwstr>5adc616d-cc0c-4e27-91c7-53b9602759d5</vt:lpwstr>
  </property>
  <property fmtid="{D5CDD505-2E9C-101B-9397-08002B2CF9AE}" pid="4" name="Valor Servicio de Soporte">
    <vt:r8>0</vt:r8>
  </property>
  <property fmtid="{D5CDD505-2E9C-101B-9397-08002B2CF9AE}" pid="5" name="Meses Servicio de Soporte">
    <vt:r8>0</vt:r8>
  </property>
  <property fmtid="{D5CDD505-2E9C-101B-9397-08002B2CF9AE}" pid="6" name="MediaServiceImageTags">
    <vt:lpwstr/>
  </property>
  <property fmtid="{D5CDD505-2E9C-101B-9397-08002B2CF9AE}" pid="7" name="MSIP_Label_b355583b-8076-4f5c-b583-378d029bda1b_Enabled">
    <vt:lpwstr>true</vt:lpwstr>
  </property>
  <property fmtid="{D5CDD505-2E9C-101B-9397-08002B2CF9AE}" pid="8" name="MSIP_Label_b355583b-8076-4f5c-b583-378d029bda1b_SetDate">
    <vt:lpwstr>2024-03-13T16:52:56Z</vt:lpwstr>
  </property>
  <property fmtid="{D5CDD505-2E9C-101B-9397-08002B2CF9AE}" pid="9" name="MSIP_Label_b355583b-8076-4f5c-b583-378d029bda1b_Method">
    <vt:lpwstr>Standard</vt:lpwstr>
  </property>
  <property fmtid="{D5CDD505-2E9C-101B-9397-08002B2CF9AE}" pid="10" name="MSIP_Label_b355583b-8076-4f5c-b583-378d029bda1b_Name">
    <vt:lpwstr>General</vt:lpwstr>
  </property>
  <property fmtid="{D5CDD505-2E9C-101B-9397-08002B2CF9AE}" pid="11" name="MSIP_Label_b355583b-8076-4f5c-b583-378d029bda1b_SiteId">
    <vt:lpwstr>f9d98544-7ea3-4fb6-81b8-22c5176d37af</vt:lpwstr>
  </property>
  <property fmtid="{D5CDD505-2E9C-101B-9397-08002B2CF9AE}" pid="12" name="MSIP_Label_b355583b-8076-4f5c-b583-378d029bda1b_ActionId">
    <vt:lpwstr>a9f3ac00-bc40-4a02-92f1-b1e2065876b9</vt:lpwstr>
  </property>
  <property fmtid="{D5CDD505-2E9C-101B-9397-08002B2CF9AE}" pid="13" name="MSIP_Label_b355583b-8076-4f5c-b583-378d029bda1b_ContentBits">
    <vt:lpwstr>0</vt:lpwstr>
  </property>
  <property fmtid="{D5CDD505-2E9C-101B-9397-08002B2CF9AE}" pid="14" name="docLang">
    <vt:lpwstr>es</vt:lpwstr>
  </property>
</Properties>
</file>