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sz w:val="28"/>
        </w:rPr>
        <w:t>UNIVERSIDAD POPULAR DEL CESAR</w:t>
      </w:r>
    </w:p>
    <w:p>
      <w:pPr>
        <w:jc w:val="center"/>
      </w:pPr>
      <w:r>
        <w:rPr>
          <w:b w:val="0"/>
          <w:i w:val="0"/>
          <w:sz w:val="24"/>
        </w:rPr>
        <w:t>Programa de Ingeniería de Sistemas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48"/>
        </w:rPr>
        <w:t>REDA</w:t>
      </w:r>
    </w:p>
    <w:p>
      <w:pPr>
        <w:jc w:val="center"/>
      </w:pPr>
      <w:r>
        <w:rPr>
          <w:b w:val="0"/>
          <w:i/>
          <w:sz w:val="26"/>
        </w:rPr>
        <w:t>Red de Evaluación y Detección de Riesgos Urbanos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28"/>
        </w:rPr>
        <w:t>Entrega 2 — Implementación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  <w:t>Curso: Base de Datos I</w:t>
      </w:r>
    </w:p>
    <w:p>
      <w:pPr>
        <w:jc w:val="center"/>
      </w:pPr>
      <w:r>
        <w:rPr>
          <w:b w:val="0"/>
          <w:i w:val="0"/>
          <w:sz w:val="24"/>
        </w:rPr>
        <w:t>Integrantes: Rafael Alfonso Rivera Restrepo, Ivan Andres Rodriguez Rodriguez, Luis Eliecer Mendoza Perpiñan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  <w:t>Valledupar, Cesar — 2026</w:t>
      </w:r>
    </w:p>
    <w:p>
      <w:r>
        <w:br w:type="page"/>
      </w:r>
    </w:p>
    <w:p>
      <w:pPr>
        <w:spacing w:before="240"/>
      </w:pPr>
      <w:r>
        <w:rPr>
          <w:b/>
          <w:color w:val="2E75B6"/>
          <w:sz w:val="32"/>
        </w:rPr>
        <w:t>1. Qué contiene esta entrega</w:t>
      </w:r>
    </w:p>
    <w:p>
      <w:pPr>
        <w:jc w:val="both"/>
      </w:pPr>
      <w:r>
        <w:rPr>
          <w:b w:val="0"/>
          <w:i w:val="0"/>
        </w:rPr>
        <w:t xml:space="preserve">Esta entrega implementa en PostgreSQL 18 el diseño de la Entrega 1, ampliado por un cambio de enfoque del negocio: REDA pasa a ser un </w:t>
      </w:r>
      <w:r>
        <w:rPr>
          <w:b/>
          <w:i w:val="0"/>
        </w:rPr>
        <w:t>sistema de documentación probatoria de fallas en infraestructura pública</w:t>
      </w:r>
      <w:r>
        <w:rPr>
          <w:b w:val="0"/>
          <w:i w:val="0"/>
        </w:rPr>
        <w:t>. El ciudadano reporta condiciones (antecedentes) e incidentes (daños sufridos); el sistema vincula cada incidente con los reportes previos del mismo punto ("la entidad ya sabía") y, si el caso es viable, lo remite a un abogado. El esquema pasa de 10 a 20 tablas, y se conservan las 10 originales con sus políticas de borrado.</w:t>
      </w:r>
    </w:p>
    <w:p>
      <w:pPr>
        <w:jc w:val="both"/>
      </w:pPr>
      <w:r>
        <w:rPr>
          <w:b w:val="0"/>
          <w:i w:val="0"/>
        </w:rPr>
        <w:t xml:space="preserve">Todo lo entregado está en el repositorio, en la etiqueta </w:t>
      </w:r>
      <w:r>
        <w:rPr>
          <w:b/>
          <w:i w:val="0"/>
        </w:rPr>
        <w:t>entrega-2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https://github.com/luismendoza009/REDA-Red-de-Evaluacion-y-Detecci-n-de-Riesgos-Urbanos</w:t>
      </w:r>
    </w:p>
    <w:p>
      <w:pPr>
        <w:spacing w:before="240"/>
      </w:pPr>
      <w:r>
        <w:rPr>
          <w:b/>
          <w:color w:val="2E75B6"/>
          <w:sz w:val="32"/>
        </w:rPr>
        <w:t>2. Dónde encontrar cada requisito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969"/>
        <w:gridCol w:w="2494"/>
      </w:tblGrid>
      <w:tr>
        <w:tc>
          <w:tcPr>
            <w:tcW w:type="dxa" w:w="2608"/>
            <w:shd w:val="clear" w:color="auto" w:fill="D9E7D3"/>
          </w:tcPr>
          <w:p>
            <w:r/>
            <w:r>
              <w:rPr>
                <w:b/>
                <w:sz w:val="20"/>
              </w:rPr>
              <w:t>Requisito de la guía</w:t>
            </w:r>
          </w:p>
        </w:tc>
        <w:tc>
          <w:tcPr>
            <w:tcW w:type="dxa" w:w="3969"/>
            <w:shd w:val="clear" w:color="auto" w:fill="D9E7D3"/>
          </w:tcPr>
          <w:p>
            <w:r/>
            <w:r>
              <w:rPr>
                <w:b/>
                <w:sz w:val="20"/>
              </w:rPr>
              <w:t>Ubicación en el repositorio</w:t>
            </w:r>
          </w:p>
        </w:tc>
        <w:tc>
          <w:tcPr>
            <w:tcW w:type="dxa" w:w="2494"/>
            <w:shd w:val="clear" w:color="auto" w:fill="D9E7D3"/>
          </w:tcPr>
          <w:p>
            <w:r/>
            <w:r>
              <w:rPr>
                <w:b/>
                <w:sz w:val="20"/>
              </w:rPr>
              <w:t>Resumen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1. Correcciones de la Entrega 1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documentacion/entrega2/correcciones_entrega1.md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Qué cambió en cada tabla y por qué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2. DDL como migraciones numeradas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migraciones/001_ … 008_*.sql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8 migraciones: PK, FK con política, NOT NULL, UNIQUE, CHECK, índices y vistas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Script de construcción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scripts/migrar.ps1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Base vacía → migraciones en orden (cada una en su transacción)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3. Datos semilla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sql/semilla/*.sql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137 reportes de Valledupar, 18 incidentes, 10 casos; simulados y coherentes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Generador de la semilla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scripts/generar_semilla.py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Determinista; documentado en documentacion/datos_simulados.md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4. Auditoría de normalización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documentacion/entrega2/auditoria_normalizacion.md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DF y forma normal de las 20 tablas, con 4 excepciones justificadas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5. Banco de consultas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sql/consultas/banco_consultas.sql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10 consultas comentadas con la pregunta de negocio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Verificación de consultas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sql/consultas/verificacion_consultas.sql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Cada resultado recalculado por otro camino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6. Índices con evidencia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documentacion/entrega2/evidencia_indices.md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2 experimentos EXPLAIN ANALYZE antes/después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Salida de los planes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documentacion/entrega2/evidencia_indices.txt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Planes reales de PostgreSQL 18.6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7. Diccionario de datos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documentacion/diccionario_datos.md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Generado del esquema real con scripts/generar_diccionario.ps1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Diagrama EER actualizado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diagramas/reda_eer.drawio y .png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20 tablas, 26 relaciones, notación pata de gallo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Decisiones técnicas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documentacion/decisiones.md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Por qué de cada decisión y supuestos pendientes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Pruebas de restricciones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sql/pruebas/probar_restricciones.sql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19 inserciones inválidas que la base debe rechazar</w:t>
            </w:r>
          </w:p>
        </w:tc>
      </w:tr>
    </w:tbl>
    <w:p/>
    <w:p>
      <w:pPr>
        <w:spacing w:before="240"/>
      </w:pPr>
      <w:r>
        <w:rPr>
          <w:b/>
          <w:color w:val="2E75B6"/>
          <w:sz w:val="32"/>
        </w:rPr>
        <w:t>3. Cobertura del banco de consultas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3969"/>
            <w:shd w:val="clear" w:color="auto" w:fill="D9E7D3"/>
          </w:tcPr>
          <w:p>
            <w:r/>
            <w:r>
              <w:rPr>
                <w:b/>
                <w:sz w:val="20"/>
              </w:rPr>
              <w:t>Exigencia de la guía</w:t>
            </w:r>
          </w:p>
        </w:tc>
        <w:tc>
          <w:tcPr>
            <w:tcW w:type="dxa" w:w="5102"/>
            <w:shd w:val="clear" w:color="auto" w:fill="D9E7D3"/>
          </w:tcPr>
          <w:p>
            <w:r/>
            <w:r>
              <w:rPr>
                <w:b/>
                <w:sz w:val="20"/>
              </w:rPr>
              <w:t>Consultas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2 consultas con JOIN de 3 o más tablas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C01 (6 tablas), C02, C05, C08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reunión externa "los que no tienen"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C03 (incidentes validados sin caso), C04 (condiciones sin foto)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agregación con GROUP BY y HAVING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C06 (zonas con 3+ fallas abiertas), C10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subconsulta o CTE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C05 (CTE, antecedentes con Haversine), C07 (subconsulta), C08 (CTE)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vista creada y consultada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C09 sobre v_resumen_casos, C10 sobre v_mapa_publico</w:t>
            </w:r>
          </w:p>
        </w:tc>
      </w:tr>
    </w:tbl>
    <w:p/>
    <w:p>
      <w:pPr>
        <w:spacing w:before="240"/>
      </w:pPr>
      <w:r>
        <w:rPr>
          <w:b/>
          <w:color w:val="2E75B6"/>
          <w:sz w:val="32"/>
        </w:rPr>
        <w:t>4. Cómo se verificó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Migraciones sobre base vacía:</w:t>
      </w:r>
      <w:r>
        <w:rPr>
          <w:b w:val="0"/>
          <w:i w:val="0"/>
        </w:rPr>
        <w:t xml:space="preserve"> scripts/migrar.ps1 -Recrear crea la base desde cero y aplica las 8 migraciones sin errores; una segunda ejecución no reaplica ninguna.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Integridad declarativa:</w:t>
      </w:r>
      <w:r>
        <w:rPr>
          <w:b w:val="0"/>
          <w:i w:val="0"/>
        </w:rPr>
        <w:t xml:space="preserve"> las 19 pruebas negativas de sql/pruebas/probar_restricciones.sql son rechazadas, cada una por la restricción exacta que se esperaba (la prueba compara el nombre de la restricción).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Coherencia de la semilla:</w:t>
      </w:r>
      <w:r>
        <w:rPr>
          <w:b w:val="0"/>
          <w:i w:val="0"/>
        </w:rPr>
        <w:t xml:space="preserve"> las 11 comprobaciones de sql/pruebas/verificar_semilla.sql devuelven 0 (estado actual = último cambio del historial, hecho antes que el reporte, antecedentes dentro de 100 m, etc.).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Consultas:</w:t>
      </w:r>
      <w:r>
        <w:rPr>
          <w:b w:val="0"/>
          <w:i w:val="0"/>
        </w:rPr>
        <w:t xml:space="preserve"> las 10 verificaciones cruzadas coinciden (por ejemplo, LEFT JOIN … IS NULL = NOT EXISTS = EXCEPT; el total facturado por abogado = el total cobrado por caso). C02 y C07 se comprobaron además a mano.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Totales no inflados:</w:t>
      </w:r>
      <w:r>
        <w:rPr>
          <w:b w:val="0"/>
          <w:i w:val="0"/>
        </w:rPr>
        <w:t xml:space="preserve"> las vistas y consultas que combinan varias relaciones 1:N agregan en subconsultas antes de unir (ver v_resumen_casos y el comentario de C02).</w:t>
      </w:r>
    </w:p>
    <w:p>
      <w:pPr>
        <w:spacing w:before="240"/>
      </w:pPr>
      <w:r>
        <w:rPr>
          <w:b/>
          <w:color w:val="2E75B6"/>
          <w:sz w:val="32"/>
        </w:rPr>
        <w:t>5. Índices: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041"/>
        <w:gridCol w:w="2041"/>
        <w:gridCol w:w="1361"/>
      </w:tblGrid>
      <w:tr>
        <w:tc>
          <w:tcPr>
            <w:tcW w:type="dxa" w:w="3628"/>
            <w:shd w:val="clear" w:color="auto" w:fill="D9E7D3"/>
          </w:tcPr>
          <w:p>
            <w:r/>
            <w:r>
              <w:rPr>
                <w:b/>
                <w:sz w:val="20"/>
              </w:rPr>
              <w:t>Experimento</w:t>
            </w:r>
          </w:p>
        </w:tc>
        <w:tc>
          <w:tcPr>
            <w:tcW w:type="dxa" w:w="2041"/>
            <w:shd w:val="clear" w:color="auto" w:fill="D9E7D3"/>
          </w:tcPr>
          <w:p>
            <w:r/>
            <w:r>
              <w:rPr>
                <w:b/>
                <w:sz w:val="20"/>
              </w:rPr>
              <w:t>Antes</w:t>
            </w:r>
          </w:p>
        </w:tc>
        <w:tc>
          <w:tcPr>
            <w:tcW w:type="dxa" w:w="2041"/>
            <w:shd w:val="clear" w:color="auto" w:fill="D9E7D3"/>
          </w:tcPr>
          <w:p>
            <w:r/>
            <w:r>
              <w:rPr>
                <w:b/>
                <w:sz w:val="20"/>
              </w:rPr>
              <w:t>Después</w:t>
            </w:r>
          </w:p>
        </w:tc>
        <w:tc>
          <w:tcPr>
            <w:tcW w:type="dxa" w:w="1361"/>
            <w:shd w:val="clear" w:color="auto" w:fill="D9E7D3"/>
          </w:tcPr>
          <w:p>
            <w:r/>
            <w:r>
              <w:rPr>
                <w:b/>
                <w:sz w:val="20"/>
              </w:rPr>
              <w:t>Mejora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0"/>
              </w:rPr>
              <w:t>Búsqueda de antecedentes (índice compuesto categoría, tipo, latitud)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8,88 ms · 3 475 páginas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0,65 ms · 576 páginas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13,7× más rápido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0"/>
              </w:rPr>
              <w:t>Fotos del expediente (índice de la FK evidencias.id_reporte)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40,35 ms · Seq Scan de 400 206 filas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0,074 ms · 8 páginas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≈ 500× más rápido</w:t>
            </w:r>
          </w:p>
        </w:tc>
      </w:tr>
    </w:tbl>
    <w:p/>
    <w:p>
      <w:pPr>
        <w:jc w:val="both"/>
      </w:pPr>
      <w:r>
        <w:rPr>
          <w:b w:val="0"/>
          <w:i w:val="0"/>
        </w:rPr>
        <w:t>Las mediciones se hicieron con 200 000 reportes y 400 000 evidencias sintéticos cargados dentro de una transacción que termina en ROLLBACK, para que el volumen no contamine la base de la demo.</w:t>
      </w:r>
    </w:p>
    <w:p>
      <w:pPr>
        <w:spacing w:before="240"/>
      </w:pPr>
      <w:r>
        <w:rPr>
          <w:b/>
          <w:color w:val="2E75B6"/>
          <w:sz w:val="32"/>
        </w:rPr>
        <w:t>6. Diagrama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90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a_e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/>
        </w:rPr>
        <w:t>Figura 1. Modelo EER de REDA, Entrega 2. Archivo editable: diagramas/reda_eer.drawio.</w:t>
      </w:r>
    </w:p>
    <w:p>
      <w:pPr>
        <w:spacing w:before="240"/>
      </w:pPr>
      <w:r>
        <w:rPr>
          <w:b/>
          <w:color w:val="2E75B6"/>
          <w:sz w:val="32"/>
        </w:rPr>
        <w:t>7. Pendientes y riesgos declarados</w:t>
      </w:r>
    </w:p>
    <w:p>
      <w:pPr>
        <w:ind w:left="340"/>
        <w:jc w:val="both"/>
      </w:pPr>
      <w:r>
        <w:rPr>
          <w:b w:val="0"/>
          <w:i w:val="0"/>
        </w:rPr>
        <w:t>• Reglas que las restricciones declarativas no alcanzan y que irán como triggers en la Entrega 3: que todo reporte INCIDENTE tenga su fila en incidentes, y que los pesos de cada versión de índice sumen 1.</w:t>
      </w:r>
    </w:p>
    <w:p>
      <w:pPr>
        <w:ind w:left="340"/>
        <w:jc w:val="both"/>
      </w:pPr>
      <w:r>
        <w:rPr>
          <w:b w:val="0"/>
          <w:i w:val="0"/>
        </w:rPr>
        <w:t>• Funciones PL/pgSQL de cálculo de IRU e IVC y de búsqueda de antecedentes (Entrega 3).</w:t>
      </w:r>
    </w:p>
    <w:p>
      <w:pPr>
        <w:ind w:left="340"/>
        <w:jc w:val="both"/>
      </w:pPr>
      <w:r>
        <w:rPr>
          <w:b w:val="0"/>
          <w:i w:val="0"/>
        </w:rPr>
        <w:t>• Los datos de la semilla son simulados (documentacion/datos_simulados.md). Los nombres de barrios y entidades están por verificar contra fuentes oficiales.</w:t>
      </w:r>
    </w:p>
    <w:p>
      <w:pPr>
        <w:ind w:left="340"/>
        <w:jc w:val="both"/>
      </w:pPr>
      <w:r>
        <w:rPr>
          <w:b w:val="0"/>
          <w:i w:val="0"/>
        </w:rPr>
        <w:t>• Aspectos legales por validar con un abogado: modelo de cobro por caso remitido, plazo de caducidad de la acción de reparación directa y valor probatorio de fotos y geolocalización tomadas con una aplicación.</w:t>
      </w:r>
    </w:p>
    <w:p>
      <w:pPr>
        <w:ind w:left="340"/>
        <w:jc w:val="both"/>
      </w:pPr>
      <w:r>
        <w:rPr>
          <w:b w:val="0"/>
          <w:i w:val="0"/>
        </w:rPr>
        <w:t>• Uso de inteligencia artificial: declarado en documentacion/declaracion_uso_ia.md.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