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706" w:type="dxa"/>
        <w:jc w:val="center"/>
        <w:tblInd w:w="0" w:type="dxa"/>
        <w:tblLayout w:type="fixed"/>
        <w:tblCellMar>
          <w:top w:w="0" w:type="dxa"/>
          <w:start w:w="0" w:type="dxa"/>
          <w:bottom w:w="0" w:type="dxa"/>
          <w:end w:w="0" w:type="dxa"/>
        </w:tblCellMar>
      </w:tblPr>
      <w:tblGrid>
        <w:gridCol w:w="10170"/>
        <w:gridCol w:w="4536"/>
      </w:tblGrid>
      <w:tr>
        <w:trPr>
          <w:cantSplit/>
        </w:trPr>
        <w:tc>
          <w:tcPr>
            <w:tcW w:w="10170" w:type="dxa"/>
            <w:tcBorders/>
          </w:tcPr>
          <w:p>
            <w:pPr>
              <w:pStyle w:val="Normal"/>
              <w:spacing w:lineRule="exact" w:line="340" w:before="0" w:after="0"/>
              <w:rPr>
                <w:rFonts w:ascii="Montserrat" w:hAnsi="Montserrat"/>
                <w:b/>
                <w:color w:val="4A0D14"/>
                <w:sz w:val="25"/>
              </w:rPr>
            </w:pPr>
            <w:r>
              <w:rPr>
                <w:b/>
                <w:color w:val="4A0D14"/>
                <w:sz w:val="25"/>
              </w:rPr>
              <w:t>Ámbito federal y 32 entidades federativas</w:t>
            </w:r>
          </w:p>
        </w:tc>
        <w:tc>
          <w:tcPr>
            <w:tcW w:w="4536" w:type="dxa"/>
            <w:tcBorders/>
          </w:tcPr>
          <w:p>
            <w:pPr>
              <w:pStyle w:val="Normal"/>
              <w:spacing w:lineRule="exact" w:line="840" w:before="0" w:after="0"/>
              <w:jc w:val="end"/>
              <w:rPr/>
            </w:pPr>
            <w:r>
              <w:rPr/>
              <w:drawing>
                <wp:inline distT="0" distB="0" distL="0" distR="0">
                  <wp:extent cx="2087880" cy="403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0" t="40204" r="0" b="40204"/>
                          <a:stretch>
                            <a:fillRect/>
                          </a:stretch>
                        </pic:blipFill>
                        <pic:spPr bwMode="auto">
                          <a:xfrm>
                            <a:off x="0" y="0"/>
                            <a:ext cx="2087880" cy="403860"/>
                          </a:xfrm>
                          <a:prstGeom prst="rect">
                            <a:avLst/>
                          </a:prstGeom>
                          <a:noFill/>
                        </pic:spPr>
                      </pic:pic>
                    </a:graphicData>
                  </a:graphic>
                </wp:inline>
              </w:drawing>
            </w:r>
          </w:p>
        </w:tc>
      </w:tr>
    </w:tbl>
    <w:p>
      <w:pPr>
        <w:pStyle w:val="Title"/>
        <w:spacing w:lineRule="exact" w:line="920" w:before="860" w:after="0"/>
        <w:contextualSpacing/>
        <w:rPr>
          <w:rFonts w:ascii="Montserrat" w:hAnsi="Montserrat"/>
          <w:b/>
          <w:color w:val="4A0D14"/>
          <w:sz w:val="74"/>
        </w:rPr>
      </w:pPr>
      <w:r>
        <w:rPr>
          <w:b/>
          <w:color w:val="4A0D14"/>
          <w:sz w:val="74"/>
        </w:rPr>
        <w:t>Calendario electoral</w:t>
      </w:r>
    </w:p>
    <w:p>
      <w:pPr>
        <w:pStyle w:val="Normal"/>
        <w:spacing w:lineRule="exact" w:line="1480" w:before="0" w:after="280"/>
        <w:rPr>
          <w:rFonts w:ascii="Montserrat" w:hAnsi="Montserrat"/>
          <w:b/>
          <w:color w:val="775737"/>
          <w:sz w:val="116"/>
        </w:rPr>
      </w:pPr>
      <w:r>
        <w:rPr>
          <w:b/>
          <w:color w:val="775737"/>
          <w:sz w:val="116"/>
        </w:rPr>
        <w:t>2026–2027</w:t>
      </w:r>
    </w:p>
    <w:p>
      <w:pPr>
        <w:pStyle w:val="Normal"/>
        <w:spacing w:lineRule="exact" w:line="480" w:before="0" w:after="180"/>
        <w:rPr>
          <w:rFonts w:ascii="Montserrat" w:hAnsi="Montserrat"/>
          <w:b/>
          <w:color w:val="4A0D14"/>
          <w:sz w:val="36"/>
        </w:rPr>
      </w:pPr>
      <w:r>
        <w:rPr>
          <w:b/>
          <w:color w:val="4A0D14"/>
          <w:sz w:val="36"/>
        </w:rPr>
        <w:t>Obtención del apoyo de la ciudadanía, precampaña y campaña</w:t>
      </w:r>
    </w:p>
    <w:p>
      <w:pPr>
        <w:pStyle w:val="Normal"/>
        <w:spacing w:lineRule="exact" w:line="400" w:before="0" w:after="340"/>
        <w:rPr>
          <w:rFonts w:ascii="Montserrat" w:hAnsi="Montserrat"/>
          <w:b w:val="false"/>
          <w:color w:val="26211F"/>
          <w:sz w:val="28"/>
        </w:rPr>
      </w:pPr>
      <w:r>
        <w:rPr>
          <w:b w:val="false"/>
          <w:color w:val="26211F"/>
          <w:sz w:val="28"/>
        </w:rPr>
        <w:t>Fiscalización, jornada electoral, cómputos, asignación y resolución de medios de impugnación.</w:t>
      </w:r>
    </w:p>
    <w:p>
      <w:pPr>
        <w:pStyle w:val="Normal"/>
        <w:spacing w:lineRule="exact" w:line="400" w:before="0" w:after="120"/>
        <w:rPr>
          <w:rFonts w:ascii="Montserrat" w:hAnsi="Montserrat"/>
          <w:b/>
          <w:color w:val="4A0D14"/>
          <w:sz w:val="28"/>
        </w:rPr>
      </w:pPr>
      <w:r>
        <w:rPr>
          <w:b/>
          <w:color w:val="4A0D14"/>
          <w:sz w:val="28"/>
        </w:rPr>
        <w:t>Noviembre de 2026 a diciembre de 2027</w:t>
      </w:r>
    </w:p>
    <w:p>
      <w:pPr>
        <w:pStyle w:val="Normal"/>
        <w:spacing w:lineRule="exact" w:line="360" w:before="0" w:after="0"/>
        <w:rPr>
          <w:rFonts w:ascii="Montserrat" w:hAnsi="Montserrat"/>
          <w:b w:val="false"/>
          <w:color w:val="26211F"/>
          <w:sz w:val="25"/>
        </w:rPr>
      </w:pPr>
      <w:r>
        <w:rPr>
          <w:b w:val="false"/>
          <w:color w:val="26211F"/>
          <w:sz w:val="25"/>
        </w:rPr>
        <w:t>Fechas, actuaciones, entidades y cargos en cada hoja mensual.</w:t>
      </w:r>
      <w:r>
        <w:br w:type="page"/>
      </w:r>
    </w:p>
    <w:p>
      <w:pPr>
        <w:pStyle w:val="Heading1"/>
        <w:spacing w:lineRule="exact" w:line="700" w:before="0" w:after="200"/>
        <w:rPr>
          <w:rFonts w:ascii="Montserrat" w:hAnsi="Montserrat"/>
          <w:b/>
          <w:color w:val="4A0D14"/>
          <w:sz w:val="56"/>
        </w:rPr>
      </w:pPr>
      <w:r>
        <w:rPr>
          <w:b/>
          <w:color w:val="4A0D14"/>
          <w:sz w:val="56"/>
        </w:rPr>
        <w:t>Índice</w:t>
      </w:r>
    </w:p>
    <w:p>
      <w:pPr>
        <w:pStyle w:val="Normal"/>
        <w:spacing w:lineRule="exact" w:line="400" w:before="0" w:after="40"/>
        <w:rPr>
          <w:rFonts w:ascii="Montserrat" w:hAnsi="Montserrat"/>
          <w:b/>
          <w:color w:val="4A0D14"/>
          <w:sz w:val="28"/>
        </w:rPr>
      </w:pPr>
      <w:r>
        <w:rPr>
          <w:b/>
          <w:color w:val="4A0D14"/>
          <w:sz w:val="28"/>
        </w:rPr>
        <w:t>Elecciones y cargos por entidad</w:t>
      </w:r>
    </w:p>
    <w:p>
      <w:pPr>
        <w:pStyle w:val="Normal"/>
        <w:spacing w:lineRule="exact" w:line="360" w:before="0" w:after="320"/>
        <w:rPr>
          <w:rFonts w:ascii="Montserrat" w:hAnsi="Montserrat"/>
          <w:b w:val="false"/>
          <w:color w:val="26211F"/>
          <w:sz w:val="25"/>
        </w:rPr>
      </w:pPr>
      <w:r>
        <w:rPr>
          <w:b w:val="false"/>
          <w:color w:val="26211F"/>
          <w:sz w:val="25"/>
        </w:rPr>
        <w:t>Mapa nacional y ámbito federal · Página 3</w:t>
      </w:r>
    </w:p>
    <w:tbl>
      <w:tblPr>
        <w:tblW w:w="14706" w:type="dxa"/>
        <w:jc w:val="center"/>
        <w:tblInd w:w="0" w:type="dxa"/>
        <w:tblLayout w:type="fixed"/>
        <w:tblCellMar>
          <w:top w:w="0" w:type="dxa"/>
          <w:start w:w="0" w:type="dxa"/>
          <w:bottom w:w="0" w:type="dxa"/>
          <w:end w:w="0" w:type="dxa"/>
        </w:tblCellMar>
      </w:tblPr>
      <w:tblGrid>
        <w:gridCol w:w="7182"/>
        <w:gridCol w:w="341"/>
        <w:gridCol w:w="7183"/>
      </w:tblGrid>
      <w:tr>
        <w:trPr>
          <w:cantSplit/>
        </w:trPr>
        <w:tc>
          <w:tcPr>
            <w:tcW w:w="7182" w:type="dxa"/>
            <w:tcBorders/>
          </w:tcPr>
          <w:p>
            <w:pPr>
              <w:pStyle w:val="Normal"/>
              <w:spacing w:lineRule="exact" w:line="20" w:before="0" w:after="0"/>
              <w:rPr/>
            </w:pPr>
            <w:r>
              <w:rPr/>
            </w:r>
          </w:p>
          <w:tbl>
            <w:tblPr>
              <w:tblW w:w="7183" w:type="dxa"/>
              <w:jc w:val="center"/>
              <w:tblInd w:w="0" w:type="dxa"/>
              <w:tblLayout w:type="fixed"/>
              <w:tblCellMar>
                <w:top w:w="100" w:type="dxa"/>
                <w:start w:w="110" w:type="dxa"/>
                <w:bottom w:w="100" w:type="dxa"/>
                <w:end w:w="110" w:type="dxa"/>
              </w:tblCellMar>
            </w:tblPr>
            <w:tblGrid>
              <w:gridCol w:w="5936"/>
              <w:gridCol w:w="1247"/>
            </w:tblGrid>
            <w:tr>
              <w:trPr>
                <w:cantSplit/>
              </w:trPr>
              <w:tc>
                <w:tcPr>
                  <w:tcW w:w="5936" w:type="dxa"/>
                  <w:tcBorders>
                    <w:top w:val="single" w:sz="2" w:space="0" w:color="DED6D1"/>
                    <w:start w:val="single" w:sz="2" w:space="0" w:color="DED6D1"/>
                    <w:bottom w:val="single" w:sz="2" w:space="0" w:color="DED6D1"/>
                    <w:end w:val="single" w:sz="2" w:space="0" w:color="DED6D1"/>
                  </w:tcBorders>
                  <w:shd w:fill="4A0D14" w:val="clear"/>
                </w:tcPr>
                <w:p>
                  <w:pPr>
                    <w:pStyle w:val="Normal"/>
                    <w:spacing w:lineRule="exact" w:line="340" w:before="0" w:after="0"/>
                    <w:rPr>
                      <w:rFonts w:ascii="Montserrat" w:hAnsi="Montserrat"/>
                      <w:b/>
                      <w:color w:val="FFFFFF"/>
                      <w:sz w:val="25"/>
                    </w:rPr>
                  </w:pPr>
                  <w:r>
                    <w:rPr>
                      <w:b/>
                      <w:color w:val="FFFFFF"/>
                      <w:sz w:val="25"/>
                    </w:rPr>
                    <w:t>Mes</w:t>
                  </w:r>
                </w:p>
              </w:tc>
              <w:tc>
                <w:tcPr>
                  <w:tcW w:w="1247" w:type="dxa"/>
                  <w:tcBorders>
                    <w:top w:val="single" w:sz="2" w:space="0" w:color="DED6D1"/>
                    <w:start w:val="single" w:sz="2" w:space="0" w:color="DED6D1"/>
                    <w:bottom w:val="single" w:sz="2" w:space="0" w:color="DED6D1"/>
                    <w:end w:val="single" w:sz="2" w:space="0" w:color="DED6D1"/>
                  </w:tcBorders>
                  <w:shd w:fill="4A0D14" w:val="clear"/>
                </w:tcPr>
                <w:p>
                  <w:pPr>
                    <w:pStyle w:val="Normal"/>
                    <w:spacing w:lineRule="exact" w:line="340" w:before="0" w:after="0"/>
                    <w:rPr>
                      <w:rFonts w:ascii="Montserrat" w:hAnsi="Montserrat"/>
                      <w:b/>
                      <w:color w:val="FFFFFF"/>
                      <w:sz w:val="25"/>
                    </w:rPr>
                  </w:pPr>
                  <w:r>
                    <w:rPr>
                      <w:b/>
                      <w:color w:val="FFFFFF"/>
                      <w:sz w:val="25"/>
                    </w:rPr>
                    <w:t>Página</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Noviembre 2026</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4</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Diciembre 2026</w:t>
                  </w:r>
                </w:p>
              </w:tc>
              <w:tc>
                <w:tcPr>
                  <w:tcW w:w="1247"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5</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Enero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6</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Febrero 2027</w:t>
                  </w:r>
                </w:p>
              </w:tc>
              <w:tc>
                <w:tcPr>
                  <w:tcW w:w="1247"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7</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Marzo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8</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Abril 2027</w:t>
                  </w:r>
                </w:p>
              </w:tc>
              <w:tc>
                <w:tcPr>
                  <w:tcW w:w="1247"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9</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Mayo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10</w:t>
                  </w:r>
                </w:p>
              </w:tc>
            </w:tr>
          </w:tbl>
          <w:p>
            <w:pPr>
              <w:pStyle w:val="Normal"/>
              <w:spacing w:lineRule="exact" w:line="20" w:before="0" w:after="0"/>
              <w:rPr/>
            </w:pPr>
            <w:r>
              <w:rPr/>
            </w:r>
          </w:p>
        </w:tc>
        <w:tc>
          <w:tcPr>
            <w:tcW w:w="341" w:type="dxa"/>
            <w:tcBorders/>
          </w:tcPr>
          <w:p>
            <w:pPr>
              <w:pStyle w:val="Normal"/>
              <w:spacing w:lineRule="exact" w:line="20" w:before="0" w:after="0"/>
              <w:rPr/>
            </w:pPr>
            <w:r>
              <w:rPr/>
            </w:r>
          </w:p>
        </w:tc>
        <w:tc>
          <w:tcPr>
            <w:tcW w:w="7183" w:type="dxa"/>
            <w:tcBorders/>
          </w:tcPr>
          <w:p>
            <w:pPr>
              <w:pStyle w:val="Normal"/>
              <w:spacing w:lineRule="exact" w:line="20" w:before="0" w:after="0"/>
              <w:rPr/>
            </w:pPr>
            <w:r>
              <w:rPr/>
            </w:r>
          </w:p>
          <w:tbl>
            <w:tblPr>
              <w:tblW w:w="7183" w:type="dxa"/>
              <w:jc w:val="center"/>
              <w:tblInd w:w="0" w:type="dxa"/>
              <w:tblLayout w:type="fixed"/>
              <w:tblCellMar>
                <w:top w:w="100" w:type="dxa"/>
                <w:start w:w="110" w:type="dxa"/>
                <w:bottom w:w="100" w:type="dxa"/>
                <w:end w:w="110" w:type="dxa"/>
              </w:tblCellMar>
            </w:tblPr>
            <w:tblGrid>
              <w:gridCol w:w="5936"/>
              <w:gridCol w:w="1247"/>
            </w:tblGrid>
            <w:tr>
              <w:trPr>
                <w:cantSplit/>
              </w:trPr>
              <w:tc>
                <w:tcPr>
                  <w:tcW w:w="5936" w:type="dxa"/>
                  <w:tcBorders>
                    <w:top w:val="single" w:sz="2" w:space="0" w:color="DED6D1"/>
                    <w:start w:val="single" w:sz="2" w:space="0" w:color="DED6D1"/>
                    <w:bottom w:val="single" w:sz="2" w:space="0" w:color="DED6D1"/>
                    <w:end w:val="single" w:sz="2" w:space="0" w:color="DED6D1"/>
                  </w:tcBorders>
                  <w:shd w:fill="4A0D14" w:val="clear"/>
                </w:tcPr>
                <w:p>
                  <w:pPr>
                    <w:pStyle w:val="Normal"/>
                    <w:spacing w:lineRule="exact" w:line="340" w:before="0" w:after="0"/>
                    <w:rPr>
                      <w:rFonts w:ascii="Montserrat" w:hAnsi="Montserrat"/>
                      <w:b/>
                      <w:color w:val="FFFFFF"/>
                      <w:sz w:val="25"/>
                    </w:rPr>
                  </w:pPr>
                  <w:r>
                    <w:rPr>
                      <w:b/>
                      <w:color w:val="FFFFFF"/>
                      <w:sz w:val="25"/>
                    </w:rPr>
                    <w:t>Mes</w:t>
                  </w:r>
                </w:p>
              </w:tc>
              <w:tc>
                <w:tcPr>
                  <w:tcW w:w="1247" w:type="dxa"/>
                  <w:tcBorders>
                    <w:top w:val="single" w:sz="2" w:space="0" w:color="DED6D1"/>
                    <w:start w:val="single" w:sz="2" w:space="0" w:color="DED6D1"/>
                    <w:bottom w:val="single" w:sz="2" w:space="0" w:color="DED6D1"/>
                    <w:end w:val="single" w:sz="2" w:space="0" w:color="DED6D1"/>
                  </w:tcBorders>
                  <w:shd w:fill="4A0D14" w:val="clear"/>
                </w:tcPr>
                <w:p>
                  <w:pPr>
                    <w:pStyle w:val="Normal"/>
                    <w:spacing w:lineRule="exact" w:line="340" w:before="0" w:after="0"/>
                    <w:rPr>
                      <w:rFonts w:ascii="Montserrat" w:hAnsi="Montserrat"/>
                      <w:b/>
                      <w:color w:val="FFFFFF"/>
                      <w:sz w:val="25"/>
                    </w:rPr>
                  </w:pPr>
                  <w:r>
                    <w:rPr>
                      <w:b/>
                      <w:color w:val="FFFFFF"/>
                      <w:sz w:val="25"/>
                    </w:rPr>
                    <w:t>Página</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Junio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11</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Julio 2027</w:t>
                  </w:r>
                </w:p>
              </w:tc>
              <w:tc>
                <w:tcPr>
                  <w:tcW w:w="1247"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12</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Agosto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13</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Septiembre 2027</w:t>
                  </w:r>
                </w:p>
              </w:tc>
              <w:tc>
                <w:tcPr>
                  <w:tcW w:w="1247"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14</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Octubre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15</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Noviembre 2027</w:t>
                  </w:r>
                </w:p>
              </w:tc>
              <w:tc>
                <w:tcPr>
                  <w:tcW w:w="1247"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16</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Diciembre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17</w:t>
                  </w:r>
                </w:p>
              </w:tc>
            </w:tr>
          </w:tbl>
          <w:p>
            <w:pPr>
              <w:pStyle w:val="Normal"/>
              <w:spacing w:lineRule="exact" w:line="20" w:before="0" w:after="0"/>
              <w:rPr/>
            </w:pPr>
            <w:r>
              <w:rPr/>
            </w:r>
          </w:p>
        </w:tc>
      </w:tr>
    </w:tbl>
    <w:p>
      <w:pPr>
        <w:pStyle w:val="Normal"/>
        <w:spacing w:lineRule="exact" w:line="360" w:before="300" w:after="0"/>
        <w:rPr>
          <w:rFonts w:ascii="Montserrat" w:hAnsi="Montserrat"/>
          <w:b w:val="false"/>
          <w:color w:val="26211F"/>
          <w:sz w:val="25"/>
        </w:rPr>
      </w:pPr>
      <w:r>
        <w:rPr>
          <w:b w:val="false"/>
          <w:color w:val="26211F"/>
          <w:sz w:val="25"/>
        </w:rPr>
        <w:t>Cada hoja reúne las fechas del mes y el ámbito de aplicación de sus actuaciones.</w:t>
      </w:r>
    </w:p>
    <w:p>
      <w:pPr>
        <w:pStyle w:val="Normal"/>
        <w:spacing w:lineRule="exact" w:line="360" w:before="240" w:after="0"/>
        <w:rPr>
          <w:rFonts w:ascii="Montserrat" w:hAnsi="Montserrat"/>
          <w:b/>
          <w:color w:val="4A0D14"/>
          <w:sz w:val="26"/>
        </w:rPr>
      </w:pPr>
      <w:r>
        <w:rPr>
          <w:b/>
          <w:color w:val="4A0D14"/>
          <w:sz w:val="26"/>
        </w:rPr>
        <w:t>Fuentes normativas y plazos de resolución</w:t>
      </w:r>
    </w:p>
    <w:p>
      <w:pPr>
        <w:pStyle w:val="Normal"/>
        <w:spacing w:lineRule="exact" w:line="360" w:before="0" w:after="0"/>
        <w:rPr>
          <w:rFonts w:ascii="Montserrat" w:hAnsi="Montserrat"/>
          <w:b w:val="false"/>
          <w:color w:val="26211F"/>
          <w:sz w:val="25"/>
        </w:rPr>
      </w:pPr>
      <w:r>
        <w:rPr>
          <w:b w:val="false"/>
          <w:color w:val="26211F"/>
          <w:sz w:val="25"/>
        </w:rPr>
        <w:t>Acuerdos, fundamentos y reglas de los plazos · Desde la página 18</w:t>
      </w:r>
    </w:p>
    <w:p>
      <w:pPr>
        <w:pStyle w:val="Normal"/>
        <w:spacing w:lineRule="exact" w:line="360" w:before="80" w:after="0"/>
        <w:rPr>
          <w:rFonts w:ascii="Montserrat" w:hAnsi="Montserrat"/>
          <w:b w:val="false"/>
          <w:color w:val="26211F"/>
          <w:sz w:val="25"/>
        </w:rPr>
      </w:pPr>
      <w:r>
        <w:rPr>
          <w:b w:val="false"/>
          <w:color w:val="26211F"/>
          <w:sz w:val="25"/>
        </w:rPr>
        <w:t>Extractos normativos · Textos de las disposiciones aplicables · Desde la página 34</w:t>
      </w:r>
      <w:r>
        <w:br w:type="page"/>
      </w:r>
    </w:p>
    <w:p>
      <w:pPr>
        <w:pStyle w:val="Title"/>
        <w:keepLines/>
        <w:spacing w:lineRule="exact" w:line="480" w:before="0" w:after="20"/>
        <w:contextualSpacing/>
        <w:rPr>
          <w:rFonts w:ascii="Montserrat" w:hAnsi="Montserrat"/>
          <w:b/>
          <w:color w:val="4A0D14"/>
          <w:sz w:val="44"/>
        </w:rPr>
      </w:pPr>
      <w:r>
        <w:rPr>
          <w:b/>
          <w:color w:val="4A0D14"/>
          <w:sz w:val="44"/>
        </w:rPr>
        <w:t>Elecciones de 2027 por entidad</w:t>
      </w:r>
    </w:p>
    <w:p>
      <w:pPr>
        <w:pStyle w:val="Normal"/>
        <w:keepLines/>
        <w:spacing w:lineRule="exact" w:line="268" w:before="0" w:after="80"/>
        <w:rPr>
          <w:rFonts w:ascii="Montserrat" w:hAnsi="Montserrat"/>
          <w:b/>
          <w:color w:val="26211F"/>
          <w:sz w:val="23"/>
        </w:rPr>
      </w:pPr>
      <w:r>
        <w:rPr>
          <w:b/>
          <w:color w:val="26211F"/>
          <w:sz w:val="23"/>
        </w:rPr>
        <w:t>Jornada electoral 6 de junio de 2027</w:t>
      </w:r>
    </w:p>
    <w:tbl>
      <w:tblPr>
        <w:tblW w:w="14479" w:type="dxa"/>
        <w:jc w:val="start"/>
        <w:tblInd w:w="0" w:type="dxa"/>
        <w:tblLayout w:type="fixed"/>
        <w:tblCellMar>
          <w:top w:w="0" w:type="dxa"/>
          <w:start w:w="0" w:type="dxa"/>
          <w:bottom w:w="0" w:type="dxa"/>
          <w:end w:w="0" w:type="dxa"/>
        </w:tblCellMar>
      </w:tblPr>
      <w:tblGrid>
        <w:gridCol w:w="7879"/>
        <w:gridCol w:w="340"/>
        <w:gridCol w:w="6260"/>
      </w:tblGrid>
      <w:tr>
        <w:trPr/>
        <w:tc>
          <w:tcPr>
            <w:tcW w:w="7879" w:type="dxa"/>
            <w:tcBorders/>
          </w:tcPr>
          <w:p>
            <w:pPr>
              <w:pStyle w:val="Normal"/>
              <w:keepLines/>
              <w:spacing w:lineRule="atLeast" w:line="20" w:before="0" w:after="0"/>
              <w:rPr/>
            </w:pPr>
            <w:r>
              <w:rPr/>
              <w:drawing>
                <wp:inline distT="0" distB="0" distL="0" distR="0">
                  <wp:extent cx="4860290" cy="3183890"/>
                  <wp:effectExtent l="0" t="0" r="0" b="0"/>
                  <wp:docPr id="2" name="Picture 2" descr="Mapa nacional con las 32 entidades. Guinda: elección de gubernatura. Beige: otros cargos locales sin elección de gubernatura. Los números corresponden al directorio de esta h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pa nacional con las 32 entidades. Guinda: elección de gubernatura. Beige: otros cargos locales sin elección de gubernatura. Los números corresponden al directorio de esta hoja."/>
                          <pic:cNvPicPr>
                            <a:picLocks noChangeAspect="1" noChangeArrowheads="1"/>
                          </pic:cNvPicPr>
                        </pic:nvPicPr>
                        <pic:blipFill>
                          <a:blip r:embed="rId3"/>
                          <a:stretch>
                            <a:fillRect/>
                          </a:stretch>
                        </pic:blipFill>
                        <pic:spPr bwMode="auto">
                          <a:xfrm>
                            <a:off x="0" y="0"/>
                            <a:ext cx="4860290" cy="3183890"/>
                          </a:xfrm>
                          <a:prstGeom prst="rect">
                            <a:avLst/>
                          </a:prstGeom>
                          <a:noFill/>
                        </pic:spPr>
                      </pic:pic>
                    </a:graphicData>
                  </a:graphic>
                </wp:inline>
              </w:drawing>
            </w:r>
          </w:p>
          <w:tbl>
            <w:tblPr>
              <w:tblW w:w="7880" w:type="dxa"/>
              <w:jc w:val="start"/>
              <w:tblInd w:w="0" w:type="dxa"/>
              <w:tblLayout w:type="fixed"/>
              <w:tblCellMar>
                <w:top w:w="0" w:type="dxa"/>
                <w:start w:w="0" w:type="dxa"/>
                <w:bottom w:w="0" w:type="dxa"/>
                <w:end w:w="0" w:type="dxa"/>
              </w:tblCellMar>
            </w:tblPr>
            <w:tblGrid>
              <w:gridCol w:w="282"/>
              <w:gridCol w:w="171"/>
              <w:gridCol w:w="7427"/>
            </w:tblGrid>
            <w:tr>
              <w:trPr>
                <w:cantSplit/>
              </w:trPr>
              <w:tc>
                <w:tcPr>
                  <w:tcW w:w="282" w:type="dxa"/>
                  <w:tcBorders/>
                  <w:vAlign w:val="center"/>
                </w:tcPr>
                <w:p>
                  <w:pPr>
                    <w:pStyle w:val="Normal"/>
                    <w:keepLines/>
                    <w:spacing w:lineRule="exact" w:line="20" w:before="0" w:after="0"/>
                    <w:rPr/>
                  </w:pPr>
                  <w:r>
                    <w:rPr/>
                  </w:r>
                </w:p>
                <w:tbl>
                  <w:tblPr>
                    <w:tblW w:w="227" w:type="dxa"/>
                    <w:jc w:val="start"/>
                    <w:tblInd w:w="0" w:type="dxa"/>
                    <w:tblLayout w:type="fixed"/>
                    <w:tblCellMar>
                      <w:top w:w="0" w:type="dxa"/>
                      <w:start w:w="0" w:type="dxa"/>
                      <w:bottom w:w="0" w:type="dxa"/>
                      <w:end w:w="0" w:type="dxa"/>
                    </w:tblCellMar>
                  </w:tblPr>
                  <w:tblGrid>
                    <w:gridCol w:w="227"/>
                  </w:tblGrid>
                  <w:tr>
                    <w:trPr>
                      <w:trHeight w:val="227" w:hRule="exact"/>
                      <w:cantSplit/>
                    </w:trPr>
                    <w:tc>
                      <w:tcPr>
                        <w:tcW w:w="227" w:type="dxa"/>
                        <w:tcBorders/>
                        <w:shd w:fill="4A0D14" w:val="clear"/>
                      </w:tcPr>
                      <w:p>
                        <w:pPr>
                          <w:pStyle w:val="Normal"/>
                          <w:keepLines/>
                          <w:spacing w:lineRule="exact" w:line="20" w:before="0" w:after="0"/>
                          <w:rPr/>
                        </w:pPr>
                        <w:r>
                          <w:rPr/>
                        </w:r>
                      </w:p>
                    </w:tc>
                  </w:tr>
                </w:tbl>
                <w:p>
                  <w:pPr>
                    <w:pStyle w:val="Normal"/>
                    <w:keepLines/>
                    <w:spacing w:lineRule="exact" w:line="20" w:before="0" w:after="0"/>
                    <w:rPr/>
                  </w:pPr>
                  <w:r>
                    <w:rPr/>
                  </w:r>
                </w:p>
              </w:tc>
              <w:tc>
                <w:tcPr>
                  <w:tcW w:w="171" w:type="dxa"/>
                  <w:tcBorders/>
                </w:tcPr>
                <w:p>
                  <w:pPr>
                    <w:pStyle w:val="Normal"/>
                    <w:keepLines/>
                    <w:spacing w:lineRule="exact" w:line="20" w:before="0" w:after="0"/>
                    <w:rPr/>
                  </w:pPr>
                  <w:r>
                    <w:rPr/>
                  </w:r>
                </w:p>
              </w:tc>
              <w:tc>
                <w:tcPr>
                  <w:tcW w:w="7427" w:type="dxa"/>
                  <w:tcBorders/>
                </w:tcPr>
                <w:p>
                  <w:pPr>
                    <w:pStyle w:val="Normal"/>
                    <w:keepLines/>
                    <w:spacing w:lineRule="exact" w:line="268" w:before="0" w:after="0"/>
                    <w:rPr>
                      <w:rFonts w:ascii="Montserrat" w:hAnsi="Montserrat"/>
                      <w:b w:val="false"/>
                      <w:color w:val="26211F"/>
                      <w:sz w:val="23"/>
                    </w:rPr>
                  </w:pPr>
                  <w:r>
                    <w:rPr>
                      <w:b w:val="false"/>
                      <w:color w:val="26211F"/>
                      <w:sz w:val="23"/>
                    </w:rPr>
                    <w:t>Entidades con elección de gubernatura</w:t>
                  </w:r>
                </w:p>
              </w:tc>
            </w:tr>
            <w:tr>
              <w:trPr>
                <w:cantSplit/>
              </w:trPr>
              <w:tc>
                <w:tcPr>
                  <w:tcW w:w="282" w:type="dxa"/>
                  <w:tcBorders/>
                  <w:vAlign w:val="center"/>
                </w:tcPr>
                <w:p>
                  <w:pPr>
                    <w:pStyle w:val="Normal"/>
                    <w:keepLines/>
                    <w:spacing w:lineRule="exact" w:line="20" w:before="0" w:after="0"/>
                    <w:rPr/>
                  </w:pPr>
                  <w:r>
                    <w:rPr/>
                  </w:r>
                </w:p>
                <w:tbl>
                  <w:tblPr>
                    <w:tblW w:w="227" w:type="dxa"/>
                    <w:jc w:val="start"/>
                    <w:tblInd w:w="0" w:type="dxa"/>
                    <w:tblLayout w:type="fixed"/>
                    <w:tblCellMar>
                      <w:top w:w="0" w:type="dxa"/>
                      <w:start w:w="0" w:type="dxa"/>
                      <w:bottom w:w="0" w:type="dxa"/>
                      <w:end w:w="0" w:type="dxa"/>
                    </w:tblCellMar>
                  </w:tblPr>
                  <w:tblGrid>
                    <w:gridCol w:w="227"/>
                  </w:tblGrid>
                  <w:tr>
                    <w:trPr>
                      <w:trHeight w:val="227" w:hRule="exact"/>
                      <w:cantSplit/>
                    </w:trPr>
                    <w:tc>
                      <w:tcPr>
                        <w:tcW w:w="227" w:type="dxa"/>
                        <w:tcBorders/>
                        <w:shd w:fill="E9E0D3" w:val="clear"/>
                      </w:tcPr>
                      <w:p>
                        <w:pPr>
                          <w:pStyle w:val="Normal"/>
                          <w:keepLines/>
                          <w:spacing w:lineRule="exact" w:line="20" w:before="0" w:after="0"/>
                          <w:rPr/>
                        </w:pPr>
                        <w:r>
                          <w:rPr/>
                        </w:r>
                      </w:p>
                    </w:tc>
                  </w:tr>
                </w:tbl>
                <w:p>
                  <w:pPr>
                    <w:pStyle w:val="Normal"/>
                    <w:keepLines/>
                    <w:spacing w:lineRule="exact" w:line="20" w:before="0" w:after="0"/>
                    <w:rPr/>
                  </w:pPr>
                  <w:r>
                    <w:rPr/>
                  </w:r>
                </w:p>
              </w:tc>
              <w:tc>
                <w:tcPr>
                  <w:tcW w:w="171" w:type="dxa"/>
                  <w:tcBorders/>
                </w:tcPr>
                <w:p>
                  <w:pPr>
                    <w:pStyle w:val="Normal"/>
                    <w:keepLines/>
                    <w:spacing w:lineRule="exact" w:line="20" w:before="0" w:after="0"/>
                    <w:rPr/>
                  </w:pPr>
                  <w:r>
                    <w:rPr/>
                  </w:r>
                </w:p>
              </w:tc>
              <w:tc>
                <w:tcPr>
                  <w:tcW w:w="7427" w:type="dxa"/>
                  <w:tcBorders/>
                </w:tcPr>
                <w:p>
                  <w:pPr>
                    <w:pStyle w:val="Normal"/>
                    <w:keepLines/>
                    <w:spacing w:lineRule="exact" w:line="268" w:before="0" w:after="0"/>
                    <w:rPr>
                      <w:rFonts w:ascii="Montserrat" w:hAnsi="Montserrat"/>
                      <w:b w:val="false"/>
                      <w:color w:val="26211F"/>
                      <w:sz w:val="23"/>
                    </w:rPr>
                  </w:pPr>
                  <w:r>
                    <w:rPr>
                      <w:b w:val="false"/>
                      <w:color w:val="26211F"/>
                      <w:sz w:val="23"/>
                    </w:rPr>
                    <w:t>Entidades con elección de otros cargos locales, sin elección de gubernatura</w:t>
                  </w:r>
                </w:p>
              </w:tc>
            </w:tr>
          </w:tbl>
          <w:p>
            <w:pPr>
              <w:pStyle w:val="Normal"/>
              <w:keepLines/>
              <w:spacing w:lineRule="exact" w:line="20" w:before="0" w:after="0"/>
              <w:rPr/>
            </w:pPr>
            <w:r>
              <w:rPr/>
            </w:r>
          </w:p>
          <w:p>
            <w:pPr>
              <w:pStyle w:val="Normal"/>
              <w:keepLines/>
              <w:spacing w:lineRule="exact" w:line="300" w:before="20" w:after="20"/>
              <w:rPr>
                <w:rFonts w:ascii="Montserrat" w:hAnsi="Montserrat"/>
                <w:b/>
                <w:color w:val="4A0D14"/>
                <w:sz w:val="25"/>
              </w:rPr>
            </w:pPr>
            <w:r>
              <w:rPr>
                <w:b/>
                <w:color w:val="4A0D14"/>
                <w:sz w:val="25"/>
              </w:rPr>
              <w:t>Cargos de elección local</w:t>
            </w:r>
          </w:p>
          <w:p>
            <w:pPr>
              <w:pStyle w:val="Normal"/>
              <w:keepLines/>
              <w:spacing w:lineRule="exact" w:line="262" w:before="0" w:after="0"/>
              <w:rPr/>
            </w:pPr>
            <w:r>
              <w:rPr>
                <w:b/>
                <w:color w:val="4A0D14"/>
                <w:sz w:val="23"/>
              </w:rPr>
              <w:t xml:space="preserve">G  </w:t>
            </w:r>
            <w:r>
              <w:rPr>
                <w:b w:val="false"/>
                <w:color w:val="26211F"/>
                <w:sz w:val="23"/>
              </w:rPr>
              <w:t>Gubernatura</w:t>
            </w:r>
          </w:p>
          <w:p>
            <w:pPr>
              <w:pStyle w:val="Normal"/>
              <w:keepLines/>
              <w:spacing w:lineRule="exact" w:line="262" w:before="0" w:after="0"/>
              <w:rPr/>
            </w:pPr>
            <w:r>
              <w:rPr>
                <w:b/>
                <w:color w:val="4A0D14"/>
                <w:sz w:val="23"/>
              </w:rPr>
              <w:t xml:space="preserve">D  </w:t>
            </w:r>
            <w:r>
              <w:rPr>
                <w:b w:val="false"/>
                <w:color w:val="26211F"/>
                <w:sz w:val="23"/>
              </w:rPr>
              <w:t>Diputaciones locales</w:t>
            </w:r>
          </w:p>
          <w:p>
            <w:pPr>
              <w:pStyle w:val="Normal"/>
              <w:keepLines/>
              <w:spacing w:lineRule="exact" w:line="262" w:before="0" w:after="0"/>
              <w:rPr/>
            </w:pPr>
            <w:r>
              <w:rPr>
                <w:b/>
                <w:color w:val="4A0D14"/>
                <w:sz w:val="23"/>
              </w:rPr>
              <w:t xml:space="preserve">P  </w:t>
            </w:r>
            <w:r>
              <w:rPr>
                <w:b w:val="false"/>
                <w:color w:val="26211F"/>
                <w:sz w:val="23"/>
              </w:rPr>
              <w:t>Presidencias municipales</w:t>
            </w:r>
          </w:p>
          <w:p>
            <w:pPr>
              <w:pStyle w:val="Normal"/>
              <w:keepLines/>
              <w:spacing w:lineRule="exact" w:line="262" w:before="0" w:after="0"/>
              <w:rPr/>
            </w:pPr>
            <w:r>
              <w:rPr>
                <w:b/>
                <w:color w:val="4A0D14"/>
                <w:sz w:val="23"/>
              </w:rPr>
              <w:t xml:space="preserve">A  </w:t>
            </w:r>
            <w:r>
              <w:rPr>
                <w:b w:val="false"/>
                <w:color w:val="26211F"/>
                <w:sz w:val="23"/>
              </w:rPr>
              <w:t>Alcaldías</w:t>
            </w:r>
          </w:p>
          <w:p>
            <w:pPr>
              <w:pStyle w:val="Normal"/>
              <w:keepLines/>
              <w:spacing w:lineRule="exact" w:line="262" w:before="0" w:after="0"/>
              <w:rPr/>
            </w:pPr>
            <w:r>
              <w:rPr>
                <w:b/>
                <w:color w:val="4A0D14"/>
                <w:sz w:val="23"/>
              </w:rPr>
              <w:t xml:space="preserve">C  </w:t>
            </w:r>
            <w:r>
              <w:rPr>
                <w:b w:val="false"/>
                <w:color w:val="26211F"/>
                <w:sz w:val="23"/>
              </w:rPr>
              <w:t>Concejalías</w:t>
            </w:r>
          </w:p>
          <w:p>
            <w:pPr>
              <w:pStyle w:val="Normal"/>
              <w:keepLines/>
              <w:spacing w:lineRule="exact" w:line="262" w:before="0" w:after="0"/>
              <w:rPr/>
            </w:pPr>
            <w:r>
              <w:rPr>
                <w:b/>
                <w:color w:val="4A0D14"/>
                <w:sz w:val="23"/>
              </w:rPr>
              <w:t xml:space="preserve">J  </w:t>
            </w:r>
            <w:r>
              <w:rPr>
                <w:b w:val="false"/>
                <w:color w:val="26211F"/>
                <w:sz w:val="23"/>
              </w:rPr>
              <w:t>Juntas municipales</w:t>
            </w:r>
          </w:p>
          <w:p>
            <w:pPr>
              <w:pStyle w:val="Normal"/>
              <w:keepLines/>
              <w:spacing w:lineRule="exact" w:line="262" w:before="0" w:after="0"/>
              <w:rPr/>
            </w:pPr>
            <w:r>
              <w:rPr>
                <w:b/>
                <w:color w:val="4A0D14"/>
                <w:sz w:val="23"/>
              </w:rPr>
              <w:t xml:space="preserve">S  </w:t>
            </w:r>
            <w:r>
              <w:rPr>
                <w:b w:val="false"/>
                <w:color w:val="26211F"/>
                <w:sz w:val="23"/>
              </w:rPr>
              <w:t>Sindicaturas</w:t>
            </w:r>
          </w:p>
          <w:p>
            <w:pPr>
              <w:pStyle w:val="Normal"/>
              <w:keepLines/>
              <w:spacing w:lineRule="exact" w:line="262" w:before="0" w:after="0"/>
              <w:rPr/>
            </w:pPr>
            <w:r>
              <w:rPr>
                <w:b/>
                <w:color w:val="4A0D14"/>
                <w:sz w:val="23"/>
              </w:rPr>
              <w:t xml:space="preserve">R  </w:t>
            </w:r>
            <w:r>
              <w:rPr>
                <w:b w:val="false"/>
                <w:color w:val="26211F"/>
                <w:sz w:val="23"/>
              </w:rPr>
              <w:t>Regidurías</w:t>
            </w:r>
          </w:p>
          <w:p>
            <w:pPr>
              <w:pStyle w:val="Normal"/>
              <w:keepLines/>
              <w:spacing w:lineRule="exact" w:line="262" w:before="0" w:after="0"/>
              <w:rPr/>
            </w:pPr>
            <w:r>
              <w:rPr>
                <w:b/>
                <w:color w:val="4A0D14"/>
                <w:sz w:val="23"/>
              </w:rPr>
              <w:t xml:space="preserve">COM  </w:t>
            </w:r>
            <w:r>
              <w:rPr>
                <w:b w:val="false"/>
                <w:color w:val="26211F"/>
                <w:sz w:val="23"/>
              </w:rPr>
              <w:t>Presidencias de Comunidad</w:t>
            </w:r>
          </w:p>
          <w:p>
            <w:pPr>
              <w:pStyle w:val="Normal"/>
              <w:keepLines/>
              <w:spacing w:lineRule="exact" w:line="262" w:before="0" w:after="0"/>
              <w:rPr/>
            </w:pPr>
            <w:r>
              <w:rPr>
                <w:b/>
                <w:color w:val="4A0D14"/>
                <w:sz w:val="23"/>
              </w:rPr>
              <w:t xml:space="preserve">AC  </w:t>
            </w:r>
            <w:r>
              <w:rPr>
                <w:b w:val="false"/>
                <w:color w:val="26211F"/>
                <w:sz w:val="23"/>
              </w:rPr>
              <w:t>Ayuntamiento Capital</w:t>
            </w:r>
          </w:p>
          <w:p>
            <w:pPr>
              <w:pStyle w:val="Normal"/>
              <w:keepLines/>
              <w:spacing w:lineRule="exact" w:line="262" w:before="0" w:after="0"/>
              <w:rPr/>
            </w:pPr>
            <w:r>
              <w:rPr>
                <w:b/>
                <w:color w:val="4A0D14"/>
                <w:sz w:val="23"/>
              </w:rPr>
              <w:t xml:space="preserve">AY  </w:t>
            </w:r>
            <w:r>
              <w:rPr>
                <w:b w:val="false"/>
                <w:color w:val="26211F"/>
                <w:sz w:val="23"/>
              </w:rPr>
              <w:t>Ayuntamientos (Mayores a 40,000 habitantes)</w:t>
            </w:r>
          </w:p>
          <w:p>
            <w:pPr>
              <w:pStyle w:val="Normal"/>
              <w:keepLines/>
              <w:spacing w:lineRule="exact" w:line="262" w:before="0" w:after="0"/>
              <w:rPr/>
            </w:pPr>
            <w:r>
              <w:rPr>
                <w:b/>
                <w:color w:val="4A0D14"/>
                <w:sz w:val="23"/>
              </w:rPr>
              <w:t xml:space="preserve">AN  </w:t>
            </w:r>
            <w:r>
              <w:rPr>
                <w:b w:val="false"/>
                <w:color w:val="26211F"/>
                <w:sz w:val="23"/>
              </w:rPr>
              <w:t>Ayuntamientos (Menores a 40,000 habitantes)</w:t>
            </w:r>
          </w:p>
          <w:p>
            <w:pPr>
              <w:pStyle w:val="Normal"/>
              <w:keepLines/>
              <w:spacing w:lineRule="exact" w:line="268" w:before="80" w:after="0"/>
              <w:rPr/>
            </w:pPr>
            <w:r>
              <w:rPr>
                <w:b/>
                <w:color w:val="4A0D14"/>
                <w:sz w:val="23"/>
              </w:rPr>
              <w:t xml:space="preserve">Elección federal  </w:t>
            </w:r>
            <w:r>
              <w:rPr>
                <w:b w:val="false"/>
                <w:color w:val="26211F"/>
                <w:sz w:val="23"/>
              </w:rPr>
              <w:t>Diputaciones Federales en las 32 entidades federativas.</w:t>
            </w:r>
          </w:p>
        </w:tc>
        <w:tc>
          <w:tcPr>
            <w:tcW w:w="340" w:type="dxa"/>
            <w:tcBorders/>
          </w:tcPr>
          <w:p>
            <w:pPr>
              <w:pStyle w:val="Normal"/>
              <w:keepLines/>
              <w:spacing w:lineRule="exact" w:line="20" w:before="0" w:after="0"/>
              <w:rPr/>
            </w:pPr>
            <w:r>
              <w:rPr/>
            </w:r>
          </w:p>
        </w:tc>
        <w:tc>
          <w:tcPr>
            <w:tcW w:w="6260" w:type="dxa"/>
            <w:tcBorders/>
          </w:tcPr>
          <w:p>
            <w:pPr>
              <w:pStyle w:val="Normal"/>
              <w:keepLines/>
              <w:spacing w:lineRule="exact" w:line="20" w:before="0" w:after="0"/>
              <w:rPr/>
            </w:pPr>
            <w:r>
              <w:rPr/>
            </w:r>
          </w:p>
          <w:tbl>
            <w:tblPr>
              <w:tblW w:w="6258" w:type="dxa"/>
              <w:jc w:val="start"/>
              <w:tblInd w:w="0" w:type="dxa"/>
              <w:tblLayout w:type="fixed"/>
              <w:tblCellMar>
                <w:top w:w="0" w:type="dxa"/>
                <w:start w:w="0" w:type="dxa"/>
                <w:bottom w:w="0" w:type="dxa"/>
                <w:end w:w="0" w:type="dxa"/>
              </w:tblCellMar>
            </w:tblPr>
            <w:tblGrid>
              <w:gridCol w:w="3060"/>
              <w:gridCol w:w="3198"/>
            </w:tblGrid>
            <w:tr>
              <w:trPr>
                <w:cantSplit/>
              </w:trPr>
              <w:tc>
                <w:tcPr>
                  <w:tcW w:w="3060" w:type="dxa"/>
                  <w:tcBorders/>
                </w:tcPr>
                <w:p>
                  <w:pPr>
                    <w:pStyle w:val="Normal"/>
                    <w:keepLines/>
                    <w:spacing w:lineRule="exact" w:line="268" w:before="0" w:after="40"/>
                    <w:rPr>
                      <w:rFonts w:ascii="Montserrat" w:hAnsi="Montserrat"/>
                      <w:b/>
                      <w:color w:val="4A0D14"/>
                      <w:sz w:val="23"/>
                    </w:rPr>
                  </w:pPr>
                  <w:r>
                    <w:rPr>
                      <w:b/>
                      <w:color w:val="4A0D14"/>
                      <w:sz w:val="23"/>
                    </w:rPr>
                    <w:t>Entidad y cargos</w:t>
                  </w:r>
                </w:p>
              </w:tc>
              <w:tc>
                <w:tcPr>
                  <w:tcW w:w="3198" w:type="dxa"/>
                  <w:tcBorders/>
                </w:tcPr>
                <w:p>
                  <w:pPr>
                    <w:pStyle w:val="Normal"/>
                    <w:keepLines/>
                    <w:spacing w:lineRule="exact" w:line="268" w:before="0" w:after="40"/>
                    <w:rPr>
                      <w:rFonts w:ascii="Montserrat" w:hAnsi="Montserrat"/>
                      <w:b/>
                      <w:color w:val="4A0D14"/>
                      <w:sz w:val="23"/>
                    </w:rPr>
                  </w:pPr>
                  <w:r>
                    <w:rPr>
                      <w:b/>
                      <w:color w:val="4A0D14"/>
                      <w:sz w:val="23"/>
                    </w:rPr>
                    <w:t>Entidad y cargos</w:t>
                  </w:r>
                </w:p>
              </w:tc>
            </w:tr>
            <w:tr>
              <w:trPr>
                <w:cantSplit/>
              </w:trPr>
              <w:tc>
                <w:tcPr>
                  <w:tcW w:w="3060" w:type="dxa"/>
                  <w:tcBorders/>
                </w:tcPr>
                <w:p>
                  <w:pPr>
                    <w:pStyle w:val="Normal"/>
                    <w:keepLines/>
                    <w:spacing w:lineRule="exact" w:line="268" w:before="0" w:after="0"/>
                    <w:rPr/>
                  </w:pPr>
                  <w:r>
                    <w:rPr>
                      <w:b/>
                      <w:color w:val="4A0D14"/>
                      <w:sz w:val="23"/>
                    </w:rPr>
                    <w:t xml:space="preserve">01  </w:t>
                  </w:r>
                  <w:r>
                    <w:rPr>
                      <w:b/>
                      <w:color w:val="26211F"/>
                      <w:sz w:val="23"/>
                    </w:rPr>
                    <w:t>Aguascalientes</w:t>
                  </w:r>
                </w:p>
                <w:p>
                  <w:pPr>
                    <w:pStyle w:val="Normal"/>
                    <w:keepLines/>
                    <w:spacing w:lineRule="exact" w:line="268" w:before="0" w:after="0"/>
                    <w:rPr>
                      <w:rFonts w:ascii="Montserrat" w:hAnsi="Montserrat"/>
                      <w:b w:val="false"/>
                      <w:color w:val="26211F"/>
                      <w:sz w:val="23"/>
                    </w:rPr>
                  </w:pPr>
                  <w:r>
                    <w:rPr>
                      <w:b w:val="false"/>
                      <w:color w:val="26211F"/>
                      <w:sz w:val="23"/>
                    </w:rPr>
                    <w:t>G · D · AC · AY · AN</w:t>
                  </w:r>
                </w:p>
              </w:tc>
              <w:tc>
                <w:tcPr>
                  <w:tcW w:w="3198" w:type="dxa"/>
                  <w:tcBorders/>
                </w:tcPr>
                <w:p>
                  <w:pPr>
                    <w:pStyle w:val="Normal"/>
                    <w:keepLines/>
                    <w:spacing w:lineRule="exact" w:line="268" w:before="0" w:after="0"/>
                    <w:rPr/>
                  </w:pPr>
                  <w:r>
                    <w:rPr>
                      <w:b/>
                      <w:color w:val="4A0D14"/>
                      <w:sz w:val="23"/>
                    </w:rPr>
                    <w:t xml:space="preserve">17  </w:t>
                  </w:r>
                  <w:r>
                    <w:rPr>
                      <w:b/>
                      <w:color w:val="26211F"/>
                      <w:sz w:val="23"/>
                    </w:rPr>
                    <w:t>Morelos</w:t>
                  </w:r>
                </w:p>
                <w:p>
                  <w:pPr>
                    <w:pStyle w:val="Normal"/>
                    <w:keepLines/>
                    <w:spacing w:lineRule="exact" w:line="268" w:before="0" w:after="0"/>
                    <w:rPr>
                      <w:rFonts w:ascii="Montserrat" w:hAnsi="Montserrat"/>
                      <w:b w:val="false"/>
                      <w:color w:val="26211F"/>
                      <w:sz w:val="23"/>
                    </w:rPr>
                  </w:pPr>
                  <w:r>
                    <w:rPr>
                      <w:b w:val="false"/>
                      <w:color w:val="26211F"/>
                      <w:sz w:val="23"/>
                    </w:rPr>
                    <w:t>D · P</w:t>
                  </w:r>
                </w:p>
              </w:tc>
            </w:tr>
            <w:tr>
              <w:trPr>
                <w:cantSplit/>
              </w:trPr>
              <w:tc>
                <w:tcPr>
                  <w:tcW w:w="3060" w:type="dxa"/>
                  <w:tcBorders/>
                </w:tcPr>
                <w:p>
                  <w:pPr>
                    <w:pStyle w:val="Normal"/>
                    <w:keepLines/>
                    <w:spacing w:lineRule="exact" w:line="268" w:before="0" w:after="0"/>
                    <w:rPr/>
                  </w:pPr>
                  <w:r>
                    <w:rPr>
                      <w:b/>
                      <w:color w:val="4A0D14"/>
                      <w:sz w:val="23"/>
                    </w:rPr>
                    <w:t xml:space="preserve">02  </w:t>
                  </w:r>
                  <w:r>
                    <w:rPr>
                      <w:b/>
                      <w:color w:val="26211F"/>
                      <w:sz w:val="23"/>
                    </w:rPr>
                    <w:t>Baja California</w:t>
                  </w:r>
                </w:p>
                <w:p>
                  <w:pPr>
                    <w:pStyle w:val="Normal"/>
                    <w:keepLines/>
                    <w:spacing w:lineRule="exact" w:line="268" w:before="0" w:after="0"/>
                    <w:rPr>
                      <w:rFonts w:ascii="Montserrat" w:hAnsi="Montserrat"/>
                      <w:b w:val="false"/>
                      <w:color w:val="26211F"/>
                      <w:sz w:val="23"/>
                    </w:rPr>
                  </w:pPr>
                  <w:r>
                    <w:rPr>
                      <w:b w:val="false"/>
                      <w:color w:val="26211F"/>
                      <w:sz w:val="23"/>
                    </w:rPr>
                    <w:t>G · D · P</w:t>
                  </w:r>
                </w:p>
              </w:tc>
              <w:tc>
                <w:tcPr>
                  <w:tcW w:w="3198" w:type="dxa"/>
                  <w:tcBorders/>
                </w:tcPr>
                <w:p>
                  <w:pPr>
                    <w:pStyle w:val="Normal"/>
                    <w:keepLines/>
                    <w:spacing w:lineRule="exact" w:line="268" w:before="0" w:after="0"/>
                    <w:rPr/>
                  </w:pPr>
                  <w:r>
                    <w:rPr>
                      <w:b/>
                      <w:color w:val="4A0D14"/>
                      <w:sz w:val="23"/>
                    </w:rPr>
                    <w:t xml:space="preserve">18  </w:t>
                  </w:r>
                  <w:r>
                    <w:rPr>
                      <w:b/>
                      <w:color w:val="26211F"/>
                      <w:sz w:val="23"/>
                    </w:rPr>
                    <w:t>Nayarit</w:t>
                  </w:r>
                </w:p>
                <w:p>
                  <w:pPr>
                    <w:pStyle w:val="Normal"/>
                    <w:keepLines/>
                    <w:spacing w:lineRule="exact" w:line="268" w:before="0" w:after="0"/>
                    <w:rPr>
                      <w:rFonts w:ascii="Montserrat" w:hAnsi="Montserrat"/>
                      <w:b w:val="false"/>
                      <w:color w:val="26211F"/>
                      <w:sz w:val="23"/>
                    </w:rPr>
                  </w:pPr>
                  <w:r>
                    <w:rPr>
                      <w:b w:val="false"/>
                      <w:color w:val="26211F"/>
                      <w:sz w:val="23"/>
                    </w:rPr>
                    <w:t>G · D · P · R</w:t>
                  </w:r>
                </w:p>
              </w:tc>
            </w:tr>
            <w:tr>
              <w:trPr>
                <w:cantSplit/>
              </w:trPr>
              <w:tc>
                <w:tcPr>
                  <w:tcW w:w="3060" w:type="dxa"/>
                  <w:tcBorders/>
                </w:tcPr>
                <w:p>
                  <w:pPr>
                    <w:pStyle w:val="Normal"/>
                    <w:keepLines/>
                    <w:spacing w:lineRule="exact" w:line="268" w:before="0" w:after="0"/>
                    <w:rPr/>
                  </w:pPr>
                  <w:r>
                    <w:rPr>
                      <w:b/>
                      <w:color w:val="4A0D14"/>
                      <w:sz w:val="23"/>
                    </w:rPr>
                    <w:t xml:space="preserve">03  </w:t>
                  </w:r>
                  <w:r>
                    <w:rPr>
                      <w:b/>
                      <w:color w:val="26211F"/>
                      <w:sz w:val="23"/>
                    </w:rPr>
                    <w:t>Baja California Sur</w:t>
                  </w:r>
                </w:p>
                <w:p>
                  <w:pPr>
                    <w:pStyle w:val="Normal"/>
                    <w:keepLines/>
                    <w:spacing w:lineRule="exact" w:line="268" w:before="0" w:after="0"/>
                    <w:rPr>
                      <w:rFonts w:ascii="Montserrat" w:hAnsi="Montserrat"/>
                      <w:b w:val="false"/>
                      <w:color w:val="26211F"/>
                      <w:sz w:val="23"/>
                    </w:rPr>
                  </w:pPr>
                  <w:r>
                    <w:rPr>
                      <w:b w:val="false"/>
                      <w:color w:val="26211F"/>
                      <w:sz w:val="23"/>
                    </w:rPr>
                    <w:t>G · D · P</w:t>
                  </w:r>
                </w:p>
              </w:tc>
              <w:tc>
                <w:tcPr>
                  <w:tcW w:w="3198" w:type="dxa"/>
                  <w:tcBorders/>
                </w:tcPr>
                <w:p>
                  <w:pPr>
                    <w:pStyle w:val="Normal"/>
                    <w:keepLines/>
                    <w:spacing w:lineRule="exact" w:line="268" w:before="0" w:after="0"/>
                    <w:rPr/>
                  </w:pPr>
                  <w:r>
                    <w:rPr>
                      <w:b/>
                      <w:color w:val="4A0D14"/>
                      <w:sz w:val="23"/>
                    </w:rPr>
                    <w:t xml:space="preserve">19  </w:t>
                  </w:r>
                  <w:r>
                    <w:rPr>
                      <w:b/>
                      <w:color w:val="26211F"/>
                      <w:sz w:val="23"/>
                    </w:rPr>
                    <w:t>Nuevo León</w:t>
                  </w:r>
                </w:p>
                <w:p>
                  <w:pPr>
                    <w:pStyle w:val="Normal"/>
                    <w:keepLines/>
                    <w:spacing w:lineRule="exact" w:line="268" w:before="0" w:after="0"/>
                    <w:rPr>
                      <w:rFonts w:ascii="Montserrat" w:hAnsi="Montserrat"/>
                      <w:b w:val="false"/>
                      <w:color w:val="26211F"/>
                      <w:sz w:val="23"/>
                    </w:rPr>
                  </w:pPr>
                  <w:r>
                    <w:rPr>
                      <w:b w:val="false"/>
                      <w:color w:val="26211F"/>
                      <w:sz w:val="23"/>
                    </w:rPr>
                    <w:t>G · D · P</w:t>
                  </w:r>
                </w:p>
              </w:tc>
            </w:tr>
            <w:tr>
              <w:trPr>
                <w:cantSplit/>
              </w:trPr>
              <w:tc>
                <w:tcPr>
                  <w:tcW w:w="3060" w:type="dxa"/>
                  <w:tcBorders/>
                </w:tcPr>
                <w:p>
                  <w:pPr>
                    <w:pStyle w:val="Normal"/>
                    <w:keepLines/>
                    <w:spacing w:lineRule="exact" w:line="268" w:before="0" w:after="0"/>
                    <w:rPr/>
                  </w:pPr>
                  <w:r>
                    <w:rPr>
                      <w:b/>
                      <w:color w:val="4A0D14"/>
                      <w:sz w:val="23"/>
                    </w:rPr>
                    <w:t xml:space="preserve">04  </w:t>
                  </w:r>
                  <w:r>
                    <w:rPr>
                      <w:b/>
                      <w:color w:val="26211F"/>
                      <w:sz w:val="23"/>
                    </w:rPr>
                    <w:t>Campeche</w:t>
                  </w:r>
                </w:p>
                <w:p>
                  <w:pPr>
                    <w:pStyle w:val="Normal"/>
                    <w:keepLines/>
                    <w:spacing w:lineRule="exact" w:line="268" w:before="0" w:after="0"/>
                    <w:rPr>
                      <w:rFonts w:ascii="Montserrat" w:hAnsi="Montserrat"/>
                      <w:b w:val="false"/>
                      <w:color w:val="26211F"/>
                      <w:sz w:val="23"/>
                    </w:rPr>
                  </w:pPr>
                  <w:r>
                    <w:rPr>
                      <w:b w:val="false"/>
                      <w:color w:val="26211F"/>
                      <w:sz w:val="23"/>
                    </w:rPr>
                    <w:t>G · D · P · J</w:t>
                  </w:r>
                </w:p>
              </w:tc>
              <w:tc>
                <w:tcPr>
                  <w:tcW w:w="3198" w:type="dxa"/>
                  <w:tcBorders/>
                </w:tcPr>
                <w:p>
                  <w:pPr>
                    <w:pStyle w:val="Normal"/>
                    <w:keepLines/>
                    <w:spacing w:lineRule="exact" w:line="268" w:before="0" w:after="0"/>
                    <w:rPr/>
                  </w:pPr>
                  <w:r>
                    <w:rPr>
                      <w:b/>
                      <w:color w:val="4A0D14"/>
                      <w:sz w:val="23"/>
                    </w:rPr>
                    <w:t xml:space="preserve">20  </w:t>
                  </w:r>
                  <w:r>
                    <w:rPr>
                      <w:b/>
                      <w:color w:val="26211F"/>
                      <w:sz w:val="23"/>
                    </w:rPr>
                    <w:t>Oaxaca</w:t>
                  </w:r>
                </w:p>
                <w:p>
                  <w:pPr>
                    <w:pStyle w:val="Normal"/>
                    <w:keepLines/>
                    <w:spacing w:lineRule="exact" w:line="268" w:before="0" w:after="0"/>
                    <w:rPr>
                      <w:rFonts w:ascii="Montserrat" w:hAnsi="Montserrat"/>
                      <w:b w:val="false"/>
                      <w:color w:val="26211F"/>
                      <w:sz w:val="23"/>
                    </w:rPr>
                  </w:pPr>
                  <w:r>
                    <w:rPr>
                      <w:b w:val="false"/>
                      <w:color w:val="26211F"/>
                      <w:sz w:val="23"/>
                    </w:rPr>
                    <w:t>D · C</w:t>
                  </w:r>
                </w:p>
              </w:tc>
            </w:tr>
            <w:tr>
              <w:trPr>
                <w:cantSplit/>
              </w:trPr>
              <w:tc>
                <w:tcPr>
                  <w:tcW w:w="3060" w:type="dxa"/>
                  <w:tcBorders/>
                </w:tcPr>
                <w:p>
                  <w:pPr>
                    <w:pStyle w:val="Normal"/>
                    <w:keepLines/>
                    <w:spacing w:lineRule="exact" w:line="268" w:before="0" w:after="0"/>
                    <w:rPr/>
                  </w:pPr>
                  <w:r>
                    <w:rPr>
                      <w:b/>
                      <w:color w:val="4A0D14"/>
                      <w:sz w:val="23"/>
                    </w:rPr>
                    <w:t xml:space="preserve">05  </w:t>
                  </w:r>
                  <w:r>
                    <w:rPr>
                      <w:b/>
                      <w:color w:val="26211F"/>
                      <w:sz w:val="23"/>
                    </w:rPr>
                    <w:t>Coahuila</w:t>
                  </w:r>
                </w:p>
                <w:p>
                  <w:pPr>
                    <w:pStyle w:val="Normal"/>
                    <w:keepLines/>
                    <w:spacing w:lineRule="exact" w:line="268" w:before="0" w:after="0"/>
                    <w:rPr>
                      <w:rFonts w:ascii="Montserrat" w:hAnsi="Montserrat"/>
                      <w:b w:val="false"/>
                      <w:color w:val="26211F"/>
                      <w:sz w:val="23"/>
                    </w:rPr>
                  </w:pPr>
                  <w:r>
                    <w:rPr>
                      <w:b w:val="false"/>
                      <w:color w:val="26211F"/>
                      <w:sz w:val="23"/>
                    </w:rPr>
                    <w:t>P</w:t>
                  </w:r>
                </w:p>
              </w:tc>
              <w:tc>
                <w:tcPr>
                  <w:tcW w:w="3198" w:type="dxa"/>
                  <w:tcBorders/>
                </w:tcPr>
                <w:p>
                  <w:pPr>
                    <w:pStyle w:val="Normal"/>
                    <w:keepLines/>
                    <w:spacing w:lineRule="exact" w:line="268" w:before="0" w:after="0"/>
                    <w:rPr/>
                  </w:pPr>
                  <w:r>
                    <w:rPr>
                      <w:b/>
                      <w:color w:val="4A0D14"/>
                      <w:sz w:val="23"/>
                    </w:rPr>
                    <w:t xml:space="preserve">21  </w:t>
                  </w:r>
                  <w:r>
                    <w:rPr>
                      <w:b/>
                      <w:color w:val="26211F"/>
                      <w:sz w:val="23"/>
                    </w:rPr>
                    <w:t>Puebla</w:t>
                  </w:r>
                </w:p>
                <w:p>
                  <w:pPr>
                    <w:pStyle w:val="Normal"/>
                    <w:keepLines/>
                    <w:spacing w:lineRule="exact" w:line="268" w:before="0" w:after="0"/>
                    <w:rPr>
                      <w:rFonts w:ascii="Montserrat" w:hAnsi="Montserrat"/>
                      <w:b w:val="false"/>
                      <w:color w:val="26211F"/>
                      <w:sz w:val="23"/>
                    </w:rPr>
                  </w:pPr>
                  <w:r>
                    <w:rPr>
                      <w:b w:val="false"/>
                      <w:color w:val="26211F"/>
                      <w:sz w:val="23"/>
                    </w:rPr>
                    <w:t>D · P</w:t>
                  </w:r>
                </w:p>
              </w:tc>
            </w:tr>
            <w:tr>
              <w:trPr>
                <w:cantSplit/>
              </w:trPr>
              <w:tc>
                <w:tcPr>
                  <w:tcW w:w="3060" w:type="dxa"/>
                  <w:tcBorders/>
                </w:tcPr>
                <w:p>
                  <w:pPr>
                    <w:pStyle w:val="Normal"/>
                    <w:keepLines/>
                    <w:spacing w:lineRule="exact" w:line="268" w:before="0" w:after="0"/>
                    <w:rPr/>
                  </w:pPr>
                  <w:r>
                    <w:rPr>
                      <w:b/>
                      <w:color w:val="4A0D14"/>
                      <w:sz w:val="23"/>
                    </w:rPr>
                    <w:t xml:space="preserve">06  </w:t>
                  </w:r>
                  <w:r>
                    <w:rPr>
                      <w:b/>
                      <w:color w:val="26211F"/>
                      <w:sz w:val="23"/>
                    </w:rPr>
                    <w:t>Colima</w:t>
                  </w:r>
                </w:p>
                <w:p>
                  <w:pPr>
                    <w:pStyle w:val="Normal"/>
                    <w:keepLines/>
                    <w:spacing w:lineRule="exact" w:line="268" w:before="0" w:after="0"/>
                    <w:rPr>
                      <w:rFonts w:ascii="Montserrat" w:hAnsi="Montserrat"/>
                      <w:b w:val="false"/>
                      <w:color w:val="26211F"/>
                      <w:sz w:val="23"/>
                    </w:rPr>
                  </w:pPr>
                  <w:r>
                    <w:rPr>
                      <w:b w:val="false"/>
                      <w:color w:val="26211F"/>
                      <w:sz w:val="23"/>
                    </w:rPr>
                    <w:t>G · D · P</w:t>
                  </w:r>
                </w:p>
              </w:tc>
              <w:tc>
                <w:tcPr>
                  <w:tcW w:w="3198" w:type="dxa"/>
                  <w:tcBorders/>
                </w:tcPr>
                <w:p>
                  <w:pPr>
                    <w:pStyle w:val="Normal"/>
                    <w:keepLines/>
                    <w:spacing w:lineRule="exact" w:line="268" w:before="0" w:after="0"/>
                    <w:rPr/>
                  </w:pPr>
                  <w:r>
                    <w:rPr>
                      <w:b/>
                      <w:color w:val="4A0D14"/>
                      <w:sz w:val="23"/>
                    </w:rPr>
                    <w:t xml:space="preserve">22  </w:t>
                  </w:r>
                  <w:r>
                    <w:rPr>
                      <w:b/>
                      <w:color w:val="26211F"/>
                      <w:sz w:val="23"/>
                    </w:rPr>
                    <w:t>Querétaro</w:t>
                  </w:r>
                </w:p>
                <w:p>
                  <w:pPr>
                    <w:pStyle w:val="Normal"/>
                    <w:keepLines/>
                    <w:spacing w:lineRule="exact" w:line="268" w:before="0" w:after="0"/>
                    <w:rPr>
                      <w:rFonts w:ascii="Montserrat" w:hAnsi="Montserrat"/>
                      <w:b w:val="false"/>
                      <w:color w:val="26211F"/>
                      <w:sz w:val="23"/>
                    </w:rPr>
                  </w:pPr>
                  <w:r>
                    <w:rPr>
                      <w:b w:val="false"/>
                      <w:color w:val="26211F"/>
                      <w:sz w:val="23"/>
                    </w:rPr>
                    <w:t>G · D · P</w:t>
                  </w:r>
                </w:p>
              </w:tc>
            </w:tr>
            <w:tr>
              <w:trPr>
                <w:cantSplit/>
              </w:trPr>
              <w:tc>
                <w:tcPr>
                  <w:tcW w:w="3060" w:type="dxa"/>
                  <w:tcBorders/>
                </w:tcPr>
                <w:p>
                  <w:pPr>
                    <w:pStyle w:val="Normal"/>
                    <w:keepLines/>
                    <w:spacing w:lineRule="exact" w:line="268" w:before="0" w:after="0"/>
                    <w:rPr/>
                  </w:pPr>
                  <w:r>
                    <w:rPr>
                      <w:b/>
                      <w:color w:val="4A0D14"/>
                      <w:sz w:val="23"/>
                    </w:rPr>
                    <w:t xml:space="preserve">07  </w:t>
                  </w:r>
                  <w:r>
                    <w:rPr>
                      <w:b/>
                      <w:color w:val="26211F"/>
                      <w:sz w:val="23"/>
                    </w:rPr>
                    <w:t>Chiapas</w:t>
                  </w:r>
                </w:p>
                <w:p>
                  <w:pPr>
                    <w:pStyle w:val="Normal"/>
                    <w:keepLines/>
                    <w:spacing w:lineRule="exact" w:line="268" w:before="0" w:after="0"/>
                    <w:rPr>
                      <w:rFonts w:ascii="Montserrat" w:hAnsi="Montserrat"/>
                      <w:b w:val="false"/>
                      <w:color w:val="26211F"/>
                      <w:sz w:val="23"/>
                    </w:rPr>
                  </w:pPr>
                  <w:r>
                    <w:rPr>
                      <w:b w:val="false"/>
                      <w:color w:val="26211F"/>
                      <w:sz w:val="23"/>
                    </w:rPr>
                    <w:t>D · P</w:t>
                  </w:r>
                </w:p>
              </w:tc>
              <w:tc>
                <w:tcPr>
                  <w:tcW w:w="3198" w:type="dxa"/>
                  <w:tcBorders/>
                </w:tcPr>
                <w:p>
                  <w:pPr>
                    <w:pStyle w:val="Normal"/>
                    <w:keepLines/>
                    <w:spacing w:lineRule="exact" w:line="268" w:before="0" w:after="0"/>
                    <w:rPr/>
                  </w:pPr>
                  <w:r>
                    <w:rPr>
                      <w:b/>
                      <w:color w:val="4A0D14"/>
                      <w:sz w:val="23"/>
                    </w:rPr>
                    <w:t xml:space="preserve">23  </w:t>
                  </w:r>
                  <w:r>
                    <w:rPr>
                      <w:b/>
                      <w:color w:val="26211F"/>
                      <w:sz w:val="23"/>
                    </w:rPr>
                    <w:t>Quintana Roo</w:t>
                  </w:r>
                </w:p>
                <w:p>
                  <w:pPr>
                    <w:pStyle w:val="Normal"/>
                    <w:keepLines/>
                    <w:spacing w:lineRule="exact" w:line="268" w:before="0" w:after="0"/>
                    <w:rPr>
                      <w:rFonts w:ascii="Montserrat" w:hAnsi="Montserrat"/>
                      <w:b w:val="false"/>
                      <w:color w:val="26211F"/>
                      <w:sz w:val="23"/>
                    </w:rPr>
                  </w:pPr>
                  <w:r>
                    <w:rPr>
                      <w:b w:val="false"/>
                      <w:color w:val="26211F"/>
                      <w:sz w:val="23"/>
                    </w:rPr>
                    <w:t>G · D · P</w:t>
                  </w:r>
                </w:p>
              </w:tc>
            </w:tr>
            <w:tr>
              <w:trPr>
                <w:cantSplit/>
              </w:trPr>
              <w:tc>
                <w:tcPr>
                  <w:tcW w:w="3060" w:type="dxa"/>
                  <w:tcBorders/>
                </w:tcPr>
                <w:p>
                  <w:pPr>
                    <w:pStyle w:val="Normal"/>
                    <w:keepLines/>
                    <w:spacing w:lineRule="exact" w:line="268" w:before="0" w:after="0"/>
                    <w:rPr/>
                  </w:pPr>
                  <w:r>
                    <w:rPr>
                      <w:b/>
                      <w:color w:val="4A0D14"/>
                      <w:sz w:val="23"/>
                    </w:rPr>
                    <w:t xml:space="preserve">08  </w:t>
                  </w:r>
                  <w:r>
                    <w:rPr>
                      <w:b/>
                      <w:color w:val="26211F"/>
                      <w:sz w:val="23"/>
                    </w:rPr>
                    <w:t>Chihuahua</w:t>
                  </w:r>
                </w:p>
                <w:p>
                  <w:pPr>
                    <w:pStyle w:val="Normal"/>
                    <w:keepLines/>
                    <w:spacing w:lineRule="exact" w:line="268" w:before="0" w:after="0"/>
                    <w:rPr>
                      <w:rFonts w:ascii="Montserrat" w:hAnsi="Montserrat"/>
                      <w:b w:val="false"/>
                      <w:color w:val="26211F"/>
                      <w:sz w:val="23"/>
                    </w:rPr>
                  </w:pPr>
                  <w:r>
                    <w:rPr>
                      <w:b w:val="false"/>
                      <w:color w:val="26211F"/>
                      <w:sz w:val="23"/>
                    </w:rPr>
                    <w:t>G · D · P · S</w:t>
                  </w:r>
                </w:p>
              </w:tc>
              <w:tc>
                <w:tcPr>
                  <w:tcW w:w="3198" w:type="dxa"/>
                  <w:tcBorders/>
                </w:tcPr>
                <w:p>
                  <w:pPr>
                    <w:pStyle w:val="Normal"/>
                    <w:keepLines/>
                    <w:spacing w:lineRule="exact" w:line="268" w:before="0" w:after="0"/>
                    <w:rPr/>
                  </w:pPr>
                  <w:r>
                    <w:rPr>
                      <w:b/>
                      <w:color w:val="4A0D14"/>
                      <w:sz w:val="23"/>
                    </w:rPr>
                    <w:t xml:space="preserve">24  </w:t>
                  </w:r>
                  <w:r>
                    <w:rPr>
                      <w:b/>
                      <w:color w:val="26211F"/>
                      <w:sz w:val="23"/>
                    </w:rPr>
                    <w:t>San Luis Potosí</w:t>
                  </w:r>
                </w:p>
                <w:p>
                  <w:pPr>
                    <w:pStyle w:val="Normal"/>
                    <w:keepLines/>
                    <w:spacing w:lineRule="exact" w:line="268" w:before="0" w:after="0"/>
                    <w:rPr>
                      <w:rFonts w:ascii="Montserrat" w:hAnsi="Montserrat"/>
                      <w:b w:val="false"/>
                      <w:color w:val="26211F"/>
                      <w:sz w:val="23"/>
                    </w:rPr>
                  </w:pPr>
                  <w:r>
                    <w:rPr>
                      <w:b w:val="false"/>
                      <w:color w:val="26211F"/>
                      <w:sz w:val="23"/>
                    </w:rPr>
                    <w:t>G · D · P</w:t>
                  </w:r>
                </w:p>
              </w:tc>
            </w:tr>
            <w:tr>
              <w:trPr>
                <w:cantSplit/>
              </w:trPr>
              <w:tc>
                <w:tcPr>
                  <w:tcW w:w="3060" w:type="dxa"/>
                  <w:tcBorders/>
                </w:tcPr>
                <w:p>
                  <w:pPr>
                    <w:pStyle w:val="Normal"/>
                    <w:keepLines/>
                    <w:spacing w:lineRule="exact" w:line="268" w:before="0" w:after="0"/>
                    <w:rPr/>
                  </w:pPr>
                  <w:r>
                    <w:rPr>
                      <w:b/>
                      <w:color w:val="4A0D14"/>
                      <w:sz w:val="23"/>
                    </w:rPr>
                    <w:t xml:space="preserve">09  </w:t>
                  </w:r>
                  <w:r>
                    <w:rPr>
                      <w:b/>
                      <w:color w:val="26211F"/>
                      <w:sz w:val="23"/>
                    </w:rPr>
                    <w:t>Ciudad de México</w:t>
                  </w:r>
                </w:p>
                <w:p>
                  <w:pPr>
                    <w:pStyle w:val="Normal"/>
                    <w:keepLines/>
                    <w:spacing w:lineRule="exact" w:line="268" w:before="0" w:after="0"/>
                    <w:rPr>
                      <w:rFonts w:ascii="Montserrat" w:hAnsi="Montserrat"/>
                      <w:b w:val="false"/>
                      <w:color w:val="26211F"/>
                      <w:sz w:val="23"/>
                    </w:rPr>
                  </w:pPr>
                  <w:r>
                    <w:rPr>
                      <w:b w:val="false"/>
                      <w:color w:val="26211F"/>
                      <w:sz w:val="23"/>
                    </w:rPr>
                    <w:t>D · A</w:t>
                  </w:r>
                </w:p>
              </w:tc>
              <w:tc>
                <w:tcPr>
                  <w:tcW w:w="3198" w:type="dxa"/>
                  <w:tcBorders/>
                </w:tcPr>
                <w:p>
                  <w:pPr>
                    <w:pStyle w:val="Normal"/>
                    <w:keepLines/>
                    <w:spacing w:lineRule="exact" w:line="268" w:before="0" w:after="0"/>
                    <w:rPr/>
                  </w:pPr>
                  <w:r>
                    <w:rPr>
                      <w:b/>
                      <w:color w:val="4A0D14"/>
                      <w:sz w:val="23"/>
                    </w:rPr>
                    <w:t xml:space="preserve">25  </w:t>
                  </w:r>
                  <w:r>
                    <w:rPr>
                      <w:b/>
                      <w:color w:val="26211F"/>
                      <w:sz w:val="23"/>
                    </w:rPr>
                    <w:t>Sinaloa</w:t>
                  </w:r>
                </w:p>
                <w:p>
                  <w:pPr>
                    <w:pStyle w:val="Normal"/>
                    <w:keepLines/>
                    <w:spacing w:lineRule="exact" w:line="268" w:before="0" w:after="0"/>
                    <w:rPr>
                      <w:rFonts w:ascii="Montserrat" w:hAnsi="Montserrat"/>
                      <w:b w:val="false"/>
                      <w:color w:val="26211F"/>
                      <w:sz w:val="23"/>
                    </w:rPr>
                  </w:pPr>
                  <w:r>
                    <w:rPr>
                      <w:b w:val="false"/>
                      <w:color w:val="26211F"/>
                      <w:sz w:val="23"/>
                    </w:rPr>
                    <w:t>G · D · P</w:t>
                  </w:r>
                </w:p>
              </w:tc>
            </w:tr>
            <w:tr>
              <w:trPr>
                <w:cantSplit/>
              </w:trPr>
              <w:tc>
                <w:tcPr>
                  <w:tcW w:w="3060" w:type="dxa"/>
                  <w:tcBorders/>
                </w:tcPr>
                <w:p>
                  <w:pPr>
                    <w:pStyle w:val="Normal"/>
                    <w:keepLines/>
                    <w:spacing w:lineRule="exact" w:line="268" w:before="0" w:after="0"/>
                    <w:rPr/>
                  </w:pPr>
                  <w:r>
                    <w:rPr>
                      <w:b/>
                      <w:color w:val="4A0D14"/>
                      <w:sz w:val="23"/>
                    </w:rPr>
                    <w:t xml:space="preserve">10  </w:t>
                  </w:r>
                  <w:r>
                    <w:rPr>
                      <w:b/>
                      <w:color w:val="26211F"/>
                      <w:sz w:val="23"/>
                    </w:rPr>
                    <w:t>Durango</w:t>
                  </w:r>
                </w:p>
                <w:p>
                  <w:pPr>
                    <w:pStyle w:val="Normal"/>
                    <w:keepLines/>
                    <w:spacing w:lineRule="exact" w:line="268" w:before="0" w:after="0"/>
                    <w:rPr>
                      <w:rFonts w:ascii="Montserrat" w:hAnsi="Montserrat"/>
                      <w:b w:val="false"/>
                      <w:color w:val="26211F"/>
                      <w:sz w:val="23"/>
                    </w:rPr>
                  </w:pPr>
                  <w:r>
                    <w:rPr>
                      <w:b w:val="false"/>
                      <w:color w:val="26211F"/>
                      <w:sz w:val="23"/>
                    </w:rPr>
                    <w:t>D</w:t>
                  </w:r>
                </w:p>
              </w:tc>
              <w:tc>
                <w:tcPr>
                  <w:tcW w:w="3198" w:type="dxa"/>
                  <w:tcBorders/>
                </w:tcPr>
                <w:p>
                  <w:pPr>
                    <w:pStyle w:val="Normal"/>
                    <w:keepLines/>
                    <w:spacing w:lineRule="exact" w:line="268" w:before="0" w:after="0"/>
                    <w:rPr/>
                  </w:pPr>
                  <w:r>
                    <w:rPr>
                      <w:b/>
                      <w:color w:val="4A0D14"/>
                      <w:sz w:val="23"/>
                    </w:rPr>
                    <w:t xml:space="preserve">26  </w:t>
                  </w:r>
                  <w:r>
                    <w:rPr>
                      <w:b/>
                      <w:color w:val="26211F"/>
                      <w:sz w:val="23"/>
                    </w:rPr>
                    <w:t>Sonora</w:t>
                  </w:r>
                </w:p>
                <w:p>
                  <w:pPr>
                    <w:pStyle w:val="Normal"/>
                    <w:keepLines/>
                    <w:spacing w:lineRule="exact" w:line="268" w:before="0" w:after="0"/>
                    <w:rPr>
                      <w:rFonts w:ascii="Montserrat" w:hAnsi="Montserrat"/>
                      <w:b w:val="false"/>
                      <w:color w:val="26211F"/>
                      <w:sz w:val="23"/>
                    </w:rPr>
                  </w:pPr>
                  <w:r>
                    <w:rPr>
                      <w:b w:val="false"/>
                      <w:color w:val="26211F"/>
                      <w:sz w:val="23"/>
                    </w:rPr>
                    <w:t>G · D · P</w:t>
                  </w:r>
                </w:p>
              </w:tc>
            </w:tr>
            <w:tr>
              <w:trPr>
                <w:cantSplit/>
              </w:trPr>
              <w:tc>
                <w:tcPr>
                  <w:tcW w:w="3060" w:type="dxa"/>
                  <w:tcBorders/>
                </w:tcPr>
                <w:p>
                  <w:pPr>
                    <w:pStyle w:val="Normal"/>
                    <w:keepLines/>
                    <w:spacing w:lineRule="exact" w:line="268" w:before="0" w:after="0"/>
                    <w:rPr/>
                  </w:pPr>
                  <w:r>
                    <w:rPr>
                      <w:b/>
                      <w:color w:val="4A0D14"/>
                      <w:sz w:val="23"/>
                    </w:rPr>
                    <w:t xml:space="preserve">11  </w:t>
                  </w:r>
                  <w:r>
                    <w:rPr>
                      <w:b/>
                      <w:color w:val="26211F"/>
                      <w:sz w:val="23"/>
                    </w:rPr>
                    <w:t>Guanajuato</w:t>
                  </w:r>
                </w:p>
                <w:p>
                  <w:pPr>
                    <w:pStyle w:val="Normal"/>
                    <w:keepLines/>
                    <w:spacing w:lineRule="exact" w:line="268" w:before="0" w:after="0"/>
                    <w:rPr>
                      <w:rFonts w:ascii="Montserrat" w:hAnsi="Montserrat"/>
                      <w:b w:val="false"/>
                      <w:color w:val="26211F"/>
                      <w:sz w:val="23"/>
                    </w:rPr>
                  </w:pPr>
                  <w:r>
                    <w:rPr>
                      <w:b w:val="false"/>
                      <w:color w:val="26211F"/>
                      <w:sz w:val="23"/>
                    </w:rPr>
                    <w:t>D · P</w:t>
                  </w:r>
                </w:p>
              </w:tc>
              <w:tc>
                <w:tcPr>
                  <w:tcW w:w="3198" w:type="dxa"/>
                  <w:tcBorders/>
                </w:tcPr>
                <w:p>
                  <w:pPr>
                    <w:pStyle w:val="Normal"/>
                    <w:keepLines/>
                    <w:spacing w:lineRule="exact" w:line="268" w:before="0" w:after="0"/>
                    <w:rPr/>
                  </w:pPr>
                  <w:r>
                    <w:rPr>
                      <w:b/>
                      <w:color w:val="4A0D14"/>
                      <w:sz w:val="23"/>
                    </w:rPr>
                    <w:t xml:space="preserve">27  </w:t>
                  </w:r>
                  <w:r>
                    <w:rPr>
                      <w:b/>
                      <w:color w:val="26211F"/>
                      <w:sz w:val="23"/>
                    </w:rPr>
                    <w:t>Tabasco</w:t>
                  </w:r>
                </w:p>
                <w:p>
                  <w:pPr>
                    <w:pStyle w:val="Normal"/>
                    <w:keepLines/>
                    <w:spacing w:lineRule="exact" w:line="268" w:before="0" w:after="0"/>
                    <w:rPr>
                      <w:rFonts w:ascii="Montserrat" w:hAnsi="Montserrat"/>
                      <w:b w:val="false"/>
                      <w:color w:val="26211F"/>
                      <w:sz w:val="23"/>
                    </w:rPr>
                  </w:pPr>
                  <w:r>
                    <w:rPr>
                      <w:b w:val="false"/>
                      <w:color w:val="26211F"/>
                      <w:sz w:val="23"/>
                    </w:rPr>
                    <w:t>D · P</w:t>
                  </w:r>
                </w:p>
              </w:tc>
            </w:tr>
            <w:tr>
              <w:trPr>
                <w:cantSplit/>
              </w:trPr>
              <w:tc>
                <w:tcPr>
                  <w:tcW w:w="3060" w:type="dxa"/>
                  <w:tcBorders/>
                </w:tcPr>
                <w:p>
                  <w:pPr>
                    <w:pStyle w:val="Normal"/>
                    <w:keepLines/>
                    <w:spacing w:lineRule="exact" w:line="268" w:before="0" w:after="0"/>
                    <w:rPr/>
                  </w:pPr>
                  <w:r>
                    <w:rPr>
                      <w:b/>
                      <w:color w:val="4A0D14"/>
                      <w:sz w:val="23"/>
                    </w:rPr>
                    <w:t xml:space="preserve">12  </w:t>
                  </w:r>
                  <w:r>
                    <w:rPr>
                      <w:b/>
                      <w:color w:val="26211F"/>
                      <w:sz w:val="23"/>
                    </w:rPr>
                    <w:t>Guerrero</w:t>
                  </w:r>
                </w:p>
                <w:p>
                  <w:pPr>
                    <w:pStyle w:val="Normal"/>
                    <w:keepLines/>
                    <w:spacing w:lineRule="exact" w:line="268" w:before="0" w:after="0"/>
                    <w:rPr>
                      <w:rFonts w:ascii="Montserrat" w:hAnsi="Montserrat"/>
                      <w:b w:val="false"/>
                      <w:color w:val="26211F"/>
                      <w:sz w:val="23"/>
                    </w:rPr>
                  </w:pPr>
                  <w:r>
                    <w:rPr>
                      <w:b w:val="false"/>
                      <w:color w:val="26211F"/>
                      <w:sz w:val="23"/>
                    </w:rPr>
                    <w:t>G · D · P</w:t>
                  </w:r>
                </w:p>
              </w:tc>
              <w:tc>
                <w:tcPr>
                  <w:tcW w:w="3198" w:type="dxa"/>
                  <w:tcBorders/>
                </w:tcPr>
                <w:p>
                  <w:pPr>
                    <w:pStyle w:val="Normal"/>
                    <w:keepLines/>
                    <w:spacing w:lineRule="exact" w:line="268" w:before="0" w:after="0"/>
                    <w:rPr/>
                  </w:pPr>
                  <w:r>
                    <w:rPr>
                      <w:b/>
                      <w:color w:val="4A0D14"/>
                      <w:sz w:val="23"/>
                    </w:rPr>
                    <w:t xml:space="preserve">28  </w:t>
                  </w:r>
                  <w:r>
                    <w:rPr>
                      <w:b/>
                      <w:color w:val="26211F"/>
                      <w:sz w:val="23"/>
                    </w:rPr>
                    <w:t>Tamaulipas</w:t>
                  </w:r>
                </w:p>
                <w:p>
                  <w:pPr>
                    <w:pStyle w:val="Normal"/>
                    <w:keepLines/>
                    <w:spacing w:lineRule="exact" w:line="268" w:before="0" w:after="0"/>
                    <w:rPr>
                      <w:rFonts w:ascii="Montserrat" w:hAnsi="Montserrat"/>
                      <w:b w:val="false"/>
                      <w:color w:val="26211F"/>
                      <w:sz w:val="23"/>
                    </w:rPr>
                  </w:pPr>
                  <w:r>
                    <w:rPr>
                      <w:b w:val="false"/>
                      <w:color w:val="26211F"/>
                      <w:sz w:val="23"/>
                    </w:rPr>
                    <w:t>D · P</w:t>
                  </w:r>
                </w:p>
              </w:tc>
            </w:tr>
            <w:tr>
              <w:trPr>
                <w:cantSplit/>
              </w:trPr>
              <w:tc>
                <w:tcPr>
                  <w:tcW w:w="3060" w:type="dxa"/>
                  <w:tcBorders/>
                </w:tcPr>
                <w:p>
                  <w:pPr>
                    <w:pStyle w:val="Normal"/>
                    <w:keepLines/>
                    <w:spacing w:lineRule="exact" w:line="268" w:before="0" w:after="0"/>
                    <w:rPr/>
                  </w:pPr>
                  <w:r>
                    <w:rPr>
                      <w:b/>
                      <w:color w:val="4A0D14"/>
                      <w:sz w:val="23"/>
                    </w:rPr>
                    <w:t xml:space="preserve">13  </w:t>
                  </w:r>
                  <w:r>
                    <w:rPr>
                      <w:b/>
                      <w:color w:val="26211F"/>
                      <w:sz w:val="23"/>
                    </w:rPr>
                    <w:t>Hidalgo</w:t>
                  </w:r>
                </w:p>
                <w:p>
                  <w:pPr>
                    <w:pStyle w:val="Normal"/>
                    <w:keepLines/>
                    <w:spacing w:lineRule="exact" w:line="268" w:before="0" w:after="0"/>
                    <w:rPr>
                      <w:rFonts w:ascii="Montserrat" w:hAnsi="Montserrat"/>
                      <w:b w:val="false"/>
                      <w:color w:val="26211F"/>
                      <w:sz w:val="23"/>
                    </w:rPr>
                  </w:pPr>
                  <w:r>
                    <w:rPr>
                      <w:b w:val="false"/>
                      <w:color w:val="26211F"/>
                      <w:sz w:val="23"/>
                    </w:rPr>
                    <w:t>D · P</w:t>
                  </w:r>
                </w:p>
              </w:tc>
              <w:tc>
                <w:tcPr>
                  <w:tcW w:w="3198" w:type="dxa"/>
                  <w:tcBorders/>
                </w:tcPr>
                <w:p>
                  <w:pPr>
                    <w:pStyle w:val="Normal"/>
                    <w:keepLines/>
                    <w:spacing w:lineRule="exact" w:line="268" w:before="0" w:after="0"/>
                    <w:rPr/>
                  </w:pPr>
                  <w:r>
                    <w:rPr>
                      <w:b/>
                      <w:color w:val="4A0D14"/>
                      <w:sz w:val="23"/>
                    </w:rPr>
                    <w:t xml:space="preserve">29  </w:t>
                  </w:r>
                  <w:r>
                    <w:rPr>
                      <w:b/>
                      <w:color w:val="26211F"/>
                      <w:sz w:val="23"/>
                    </w:rPr>
                    <w:t>Tlaxcala</w:t>
                  </w:r>
                </w:p>
                <w:p>
                  <w:pPr>
                    <w:pStyle w:val="Normal"/>
                    <w:keepLines/>
                    <w:spacing w:lineRule="exact" w:line="268" w:before="0" w:after="0"/>
                    <w:rPr>
                      <w:rFonts w:ascii="Montserrat" w:hAnsi="Montserrat"/>
                      <w:b w:val="false"/>
                      <w:color w:val="26211F"/>
                      <w:sz w:val="23"/>
                    </w:rPr>
                  </w:pPr>
                  <w:r>
                    <w:rPr>
                      <w:b w:val="false"/>
                      <w:color w:val="26211F"/>
                      <w:sz w:val="23"/>
                    </w:rPr>
                    <w:t>G · D · P · COM</w:t>
                  </w:r>
                </w:p>
              </w:tc>
            </w:tr>
            <w:tr>
              <w:trPr>
                <w:cantSplit/>
              </w:trPr>
              <w:tc>
                <w:tcPr>
                  <w:tcW w:w="3060" w:type="dxa"/>
                  <w:tcBorders/>
                </w:tcPr>
                <w:p>
                  <w:pPr>
                    <w:pStyle w:val="Normal"/>
                    <w:keepLines/>
                    <w:spacing w:lineRule="exact" w:line="268" w:before="0" w:after="0"/>
                    <w:rPr/>
                  </w:pPr>
                  <w:r>
                    <w:rPr>
                      <w:b/>
                      <w:color w:val="4A0D14"/>
                      <w:sz w:val="23"/>
                    </w:rPr>
                    <w:t xml:space="preserve">14  </w:t>
                  </w:r>
                  <w:r>
                    <w:rPr>
                      <w:b/>
                      <w:color w:val="26211F"/>
                      <w:sz w:val="23"/>
                    </w:rPr>
                    <w:t>Jalisco</w:t>
                  </w:r>
                </w:p>
                <w:p>
                  <w:pPr>
                    <w:pStyle w:val="Normal"/>
                    <w:keepLines/>
                    <w:spacing w:lineRule="exact" w:line="268" w:before="0" w:after="0"/>
                    <w:rPr>
                      <w:rFonts w:ascii="Montserrat" w:hAnsi="Montserrat"/>
                      <w:b w:val="false"/>
                      <w:color w:val="26211F"/>
                      <w:sz w:val="23"/>
                    </w:rPr>
                  </w:pPr>
                  <w:r>
                    <w:rPr>
                      <w:b w:val="false"/>
                      <w:color w:val="26211F"/>
                      <w:sz w:val="23"/>
                    </w:rPr>
                    <w:t>D · P</w:t>
                  </w:r>
                </w:p>
              </w:tc>
              <w:tc>
                <w:tcPr>
                  <w:tcW w:w="3198" w:type="dxa"/>
                  <w:tcBorders/>
                </w:tcPr>
                <w:p>
                  <w:pPr>
                    <w:pStyle w:val="Normal"/>
                    <w:keepLines/>
                    <w:spacing w:lineRule="exact" w:line="268" w:before="0" w:after="0"/>
                    <w:rPr/>
                  </w:pPr>
                  <w:r>
                    <w:rPr>
                      <w:b/>
                      <w:color w:val="4A0D14"/>
                      <w:sz w:val="23"/>
                    </w:rPr>
                    <w:t xml:space="preserve">30  </w:t>
                  </w:r>
                  <w:r>
                    <w:rPr>
                      <w:b/>
                      <w:color w:val="26211F"/>
                      <w:sz w:val="23"/>
                    </w:rPr>
                    <w:t>Veracruz</w:t>
                  </w:r>
                </w:p>
                <w:p>
                  <w:pPr>
                    <w:pStyle w:val="Normal"/>
                    <w:keepLines/>
                    <w:spacing w:lineRule="exact" w:line="268" w:before="0" w:after="0"/>
                    <w:rPr>
                      <w:rFonts w:ascii="Montserrat" w:hAnsi="Montserrat"/>
                      <w:b w:val="false"/>
                      <w:color w:val="26211F"/>
                      <w:sz w:val="23"/>
                    </w:rPr>
                  </w:pPr>
                  <w:r>
                    <w:rPr>
                      <w:b w:val="false"/>
                      <w:color w:val="26211F"/>
                      <w:sz w:val="23"/>
                    </w:rPr>
                    <w:t>D</w:t>
                  </w:r>
                </w:p>
              </w:tc>
            </w:tr>
            <w:tr>
              <w:trPr>
                <w:cantSplit/>
              </w:trPr>
              <w:tc>
                <w:tcPr>
                  <w:tcW w:w="3060" w:type="dxa"/>
                  <w:tcBorders/>
                </w:tcPr>
                <w:p>
                  <w:pPr>
                    <w:pStyle w:val="Normal"/>
                    <w:keepLines/>
                    <w:spacing w:lineRule="exact" w:line="268" w:before="0" w:after="0"/>
                    <w:rPr/>
                  </w:pPr>
                  <w:r>
                    <w:rPr>
                      <w:b/>
                      <w:color w:val="4A0D14"/>
                      <w:sz w:val="23"/>
                    </w:rPr>
                    <w:t xml:space="preserve">15  </w:t>
                  </w:r>
                  <w:r>
                    <w:rPr>
                      <w:b/>
                      <w:color w:val="26211F"/>
                      <w:sz w:val="23"/>
                    </w:rPr>
                    <w:t>Estado de México</w:t>
                  </w:r>
                </w:p>
                <w:p>
                  <w:pPr>
                    <w:pStyle w:val="Normal"/>
                    <w:keepLines/>
                    <w:spacing w:lineRule="exact" w:line="268" w:before="0" w:after="0"/>
                    <w:rPr>
                      <w:rFonts w:ascii="Montserrat" w:hAnsi="Montserrat"/>
                      <w:b w:val="false"/>
                      <w:color w:val="26211F"/>
                      <w:sz w:val="23"/>
                    </w:rPr>
                  </w:pPr>
                  <w:r>
                    <w:rPr>
                      <w:b w:val="false"/>
                      <w:color w:val="26211F"/>
                      <w:sz w:val="23"/>
                    </w:rPr>
                    <w:t>D · P</w:t>
                  </w:r>
                </w:p>
              </w:tc>
              <w:tc>
                <w:tcPr>
                  <w:tcW w:w="3198" w:type="dxa"/>
                  <w:tcBorders/>
                </w:tcPr>
                <w:p>
                  <w:pPr>
                    <w:pStyle w:val="Normal"/>
                    <w:keepLines/>
                    <w:spacing w:lineRule="exact" w:line="268" w:before="0" w:after="0"/>
                    <w:rPr/>
                  </w:pPr>
                  <w:r>
                    <w:rPr>
                      <w:b/>
                      <w:color w:val="4A0D14"/>
                      <w:sz w:val="23"/>
                    </w:rPr>
                    <w:t xml:space="preserve">31  </w:t>
                  </w:r>
                  <w:r>
                    <w:rPr>
                      <w:b/>
                      <w:color w:val="26211F"/>
                      <w:sz w:val="23"/>
                    </w:rPr>
                    <w:t>Yucatán</w:t>
                  </w:r>
                </w:p>
                <w:p>
                  <w:pPr>
                    <w:pStyle w:val="Normal"/>
                    <w:keepLines/>
                    <w:spacing w:lineRule="exact" w:line="268" w:before="0" w:after="0"/>
                    <w:rPr>
                      <w:rFonts w:ascii="Montserrat" w:hAnsi="Montserrat"/>
                      <w:b w:val="false"/>
                      <w:color w:val="26211F"/>
                      <w:sz w:val="23"/>
                    </w:rPr>
                  </w:pPr>
                  <w:r>
                    <w:rPr>
                      <w:b w:val="false"/>
                      <w:color w:val="26211F"/>
                      <w:sz w:val="23"/>
                    </w:rPr>
                    <w:t>D · P</w:t>
                  </w:r>
                </w:p>
              </w:tc>
            </w:tr>
            <w:tr>
              <w:trPr>
                <w:cantSplit/>
              </w:trPr>
              <w:tc>
                <w:tcPr>
                  <w:tcW w:w="3060" w:type="dxa"/>
                  <w:tcBorders/>
                </w:tcPr>
                <w:p>
                  <w:pPr>
                    <w:pStyle w:val="Normal"/>
                    <w:keepLines/>
                    <w:spacing w:lineRule="exact" w:line="268" w:before="0" w:after="0"/>
                    <w:rPr/>
                  </w:pPr>
                  <w:r>
                    <w:rPr>
                      <w:b/>
                      <w:color w:val="4A0D14"/>
                      <w:sz w:val="23"/>
                    </w:rPr>
                    <w:t xml:space="preserve">16  </w:t>
                  </w:r>
                  <w:r>
                    <w:rPr>
                      <w:b/>
                      <w:color w:val="26211F"/>
                      <w:sz w:val="23"/>
                    </w:rPr>
                    <w:t>Michoacán</w:t>
                  </w:r>
                </w:p>
                <w:p>
                  <w:pPr>
                    <w:pStyle w:val="Normal"/>
                    <w:keepLines/>
                    <w:spacing w:lineRule="exact" w:line="268" w:before="0" w:after="0"/>
                    <w:rPr>
                      <w:rFonts w:ascii="Montserrat" w:hAnsi="Montserrat"/>
                      <w:b w:val="false"/>
                      <w:color w:val="26211F"/>
                      <w:sz w:val="23"/>
                    </w:rPr>
                  </w:pPr>
                  <w:r>
                    <w:rPr>
                      <w:b w:val="false"/>
                      <w:color w:val="26211F"/>
                      <w:sz w:val="23"/>
                    </w:rPr>
                    <w:t>G · D · P</w:t>
                  </w:r>
                </w:p>
              </w:tc>
              <w:tc>
                <w:tcPr>
                  <w:tcW w:w="3198" w:type="dxa"/>
                  <w:tcBorders/>
                </w:tcPr>
                <w:p>
                  <w:pPr>
                    <w:pStyle w:val="Normal"/>
                    <w:keepLines/>
                    <w:spacing w:lineRule="exact" w:line="268" w:before="0" w:after="0"/>
                    <w:rPr/>
                  </w:pPr>
                  <w:r>
                    <w:rPr>
                      <w:b/>
                      <w:color w:val="4A0D14"/>
                      <w:sz w:val="23"/>
                    </w:rPr>
                    <w:t xml:space="preserve">32  </w:t>
                  </w:r>
                  <w:r>
                    <w:rPr>
                      <w:b/>
                      <w:color w:val="26211F"/>
                      <w:sz w:val="23"/>
                    </w:rPr>
                    <w:t>Zacatecas</w:t>
                  </w:r>
                </w:p>
                <w:p>
                  <w:pPr>
                    <w:pStyle w:val="Normal"/>
                    <w:keepLines/>
                    <w:spacing w:lineRule="exact" w:line="268" w:before="0" w:after="0"/>
                    <w:rPr>
                      <w:rFonts w:ascii="Montserrat" w:hAnsi="Montserrat"/>
                      <w:b w:val="false"/>
                      <w:color w:val="26211F"/>
                      <w:sz w:val="23"/>
                    </w:rPr>
                  </w:pPr>
                  <w:r>
                    <w:rPr>
                      <w:b w:val="false"/>
                      <w:color w:val="26211F"/>
                      <w:sz w:val="23"/>
                    </w:rPr>
                    <w:t>G · D · P</w:t>
                  </w:r>
                </w:p>
              </w:tc>
            </w:tr>
          </w:tbl>
          <w:p>
            <w:pPr>
              <w:pStyle w:val="Normal"/>
              <w:keepLines/>
              <w:spacing w:lineRule="exact" w:line="20" w:before="0" w:after="0"/>
              <w:rPr/>
            </w:pPr>
            <w:r>
              <w:rPr/>
            </w:r>
          </w:p>
        </w:tc>
      </w:tr>
    </w:tbl>
    <w:p>
      <w:pPr>
        <w:pStyle w:val="Normal"/>
        <w:keepLines/>
        <w:spacing w:lineRule="exact" w:line="240" w:before="0" w:after="0"/>
        <w:rPr>
          <w:rFonts w:ascii="Montserrat" w:hAnsi="Montserrat"/>
          <w:b w:val="false"/>
          <w:color w:val="26211F"/>
          <w:sz w:val="21"/>
        </w:rPr>
      </w:pPr>
      <w:r>
        <w:rPr>
          <w:b w:val="false"/>
          <w:color w:val="26211F"/>
          <w:sz w:val="21"/>
        </w:rPr>
        <w:t>Cartografía: INEGI, Marco Geoestadístico, diciembre de 2025.</w:t>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Noviembre 2026</w:t>
      </w:r>
      <w:r>
        <w:rPr>
          <w:rFonts w:eastAsia="Calendario Sans" w:cs="Calendario Sans" w:ascii="Calendario Sans" w:hAnsi="Calendario Sans"/>
          <w:b w:val="false"/>
          <w:color w:val="26211F"/>
          <w:sz w:val="23"/>
        </w:rPr>
        <w:t xml:space="preserve">   Con anexo 1</w:t>
      </w:r>
    </w:p>
    <w:tbl>
      <w:tblPr>
        <w:tblW w:w="14707" w:type="dxa"/>
        <w:jc w:val="start"/>
        <w:tblInd w:w="-10" w:type="dxa"/>
        <w:tblLayout w:type="fixed"/>
        <w:tblCellMar>
          <w:top w:w="0" w:type="dxa"/>
          <w:start w:w="40" w:type="dxa"/>
          <w:bottom w:w="0" w:type="dxa"/>
          <w:end w:w="4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4</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5</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6</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8</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9</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10</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11</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Guerrero · Gubernatura</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13</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14</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15</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16</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18</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19</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20</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21</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22</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23</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24</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25</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26</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27</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28</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29</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30</w:t>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r>
    </w:tbl>
    <w:p>
      <w:pPr>
        <w:pStyle w:val="Normal"/>
        <w:keepNext w:val="false"/>
        <w:keepLines w:val="false"/>
        <w:widowControl w:val="false"/>
        <w:spacing w:lineRule="exact" w:line="300" w:before="100" w:after="60"/>
        <w:rPr>
          <w:rFonts w:ascii="Montserrat" w:hAnsi="Montserrat" w:eastAsia="Montserrat" w:cs="Montserrat"/>
          <w:b/>
          <w:color w:val="4A0D14"/>
          <w:sz w:val="26"/>
        </w:rPr>
      </w:pPr>
      <w:r>
        <w:rPr>
          <w:rFonts w:eastAsia="Montserrat" w:cs="Montserrat"/>
          <w:b/>
          <w:color w:val="4A0D14"/>
          <w:sz w:val="26"/>
        </w:rPr>
        <w:t>12 de noviembre · Guerrero · Gubernatura</w:t>
      </w:r>
    </w:p>
    <w:p>
      <w:pPr>
        <w:pStyle w:val="Normal"/>
        <w:keepNext w:val="false"/>
        <w:keepLines w:val="false"/>
        <w:widowControl w:val="false"/>
        <w:spacing w:lineRule="exact" w:line="242" w:before="0" w:after="8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Inician la obtención del apoyo de la ciudadanía y la precampaña. Esta fecha corresponde únicamente a Guerrero, para la elección de gubernatura.</w:t>
      </w:r>
    </w:p>
    <w:p>
      <w:pPr>
        <w:pStyle w:val="Normal"/>
        <w:keepNext w:val="false"/>
        <w:keepLines w:val="false"/>
        <w:widowControl w:val="false"/>
        <w:spacing w:lineRule="exact" w:line="242" w:before="0" w:after="40"/>
        <w:rPr>
          <w:rFonts w:ascii="Montserrat" w:hAnsi="Montserrat" w:eastAsia="Montserrat" w:cs="Montserrat"/>
          <w:b/>
          <w:color w:val="4A0D14"/>
          <w:sz w:val="23"/>
        </w:rPr>
      </w:pPr>
      <w:r>
        <w:rPr>
          <w:rFonts w:eastAsia="Montserrat" w:cs="Montserrat"/>
          <w:b/>
          <w:color w:val="4A0D14"/>
          <w:sz w:val="23"/>
        </w:rPr>
        <w:t>Estados que integran el bloque 1</w:t>
      </w:r>
    </w:p>
    <w:tbl>
      <w:tblPr>
        <w:tblW w:w="14707" w:type="dxa"/>
        <w:jc w:val="start"/>
        <w:tblInd w:w="0" w:type="dxa"/>
        <w:tblLayout w:type="fixed"/>
        <w:tblCellMar>
          <w:top w:w="30" w:type="dxa"/>
          <w:start w:w="40" w:type="dxa"/>
          <w:bottom w:w="30" w:type="dxa"/>
          <w:end w:w="40" w:type="dxa"/>
        </w:tblCellMar>
      </w:tblPr>
      <w:tblGrid>
        <w:gridCol w:w="7240"/>
        <w:gridCol w:w="226"/>
        <w:gridCol w:w="7241"/>
      </w:tblGrid>
      <w:tr>
        <w:trPr>
          <w:cantSplit/>
        </w:trPr>
        <w:tc>
          <w:tcPr>
            <w:tcW w:w="7240" w:type="dxa"/>
            <w:tcBorders/>
            <w:shd w:fill="F6F3EE" w:val="clear"/>
          </w:tcPr>
          <w:p>
            <w:pPr>
              <w:pStyle w:val="Normal"/>
              <w:keepNext w:val="false"/>
              <w:keepLines w:val="false"/>
              <w:widowControl w:val="false"/>
              <w:spacing w:lineRule="exact" w:line="242" w:before="0" w:after="2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Obtención del apoyo de la ciudadanía</w:t>
            </w:r>
          </w:p>
          <w:p>
            <w:pPr>
              <w:pStyle w:val="Normal"/>
              <w:keepNext w:val="false"/>
              <w:keepLines w:val="false"/>
              <w:widowControl w:val="false"/>
              <w:spacing w:lineRule="exact" w:line="242"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Chihuahua, Colima, Guerrero, Nuevo León, Sonora.</w:t>
            </w:r>
          </w:p>
        </w:tc>
        <w:tc>
          <w:tcPr>
            <w:tcW w:w="226"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7241" w:type="dxa"/>
            <w:tcBorders/>
            <w:shd w:fill="F6F3EE" w:val="clear"/>
          </w:tcPr>
          <w:p>
            <w:pPr>
              <w:pStyle w:val="Normal"/>
              <w:keepNext w:val="false"/>
              <w:keepLines w:val="false"/>
              <w:widowControl w:val="false"/>
              <w:spacing w:lineRule="exact" w:line="242" w:before="0" w:after="2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Precampaña</w:t>
            </w:r>
          </w:p>
          <w:p>
            <w:pPr>
              <w:pStyle w:val="Normal"/>
              <w:keepNext w:val="false"/>
              <w:keepLines w:val="false"/>
              <w:widowControl w:val="false"/>
              <w:spacing w:lineRule="exact" w:line="242"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Chihuahua, Colima, Guerrero, Sonora.</w:t>
            </w:r>
          </w:p>
        </w:tc>
      </w:tr>
    </w:tbl>
    <w:p>
      <w:pPr>
        <w:pStyle w:val="Normal"/>
        <w:keepNext w:val="false"/>
        <w:keepLines w:val="false"/>
        <w:widowControl w:val="false"/>
        <w:spacing w:lineRule="exact" w:line="242" w:before="6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Cada estado y cargo tiene su propia fecha de inicio; los demás inicios del bloque se muestran en diciembre. Los cargos de cada fecha se indican en esa misma hoja.</w:t>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Diciembre 2026</w:t>
      </w:r>
      <w:r>
        <w:rPr>
          <w:rFonts w:eastAsia="Calendario Sans" w:cs="Calendario Sans" w:ascii="Calendario Sans" w:hAnsi="Calendario Sans"/>
          <w:b w:val="false"/>
          <w:color w:val="26211F"/>
          <w:sz w:val="23"/>
        </w:rPr>
        <w:t xml:space="preserve">   Con anexo 1</w:t>
      </w:r>
    </w:p>
    <w:tbl>
      <w:tblPr>
        <w:tblW w:w="14707" w:type="dxa"/>
        <w:jc w:val="start"/>
        <w:tblInd w:w="-10" w:type="dxa"/>
        <w:tblLayout w:type="fixed"/>
        <w:tblCellMar>
          <w:top w:w="0" w:type="dxa"/>
          <w:start w:w="40" w:type="dxa"/>
          <w:bottom w:w="0" w:type="dxa"/>
          <w:end w:w="4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Baja California Sur</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 y precampaña</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4</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5</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6</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7</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8</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9</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10</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11</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12</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Colima, Guerrero</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13</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 y precampaña</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14</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Baja California</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15</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16</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Guerrero</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18</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19</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Chihuahua</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 y precampaña</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20</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21</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22</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Colima, Sonora</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 y precampaña</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23</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Campeche, Durango</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24</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25</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26</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27</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28</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29</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Durango</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30</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31</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w:t>
            </w:r>
          </w:p>
        </w:tc>
        <w:tc>
          <w:tcPr>
            <w:tcW w:w="6304" w:type="dxa"/>
            <w:gridSpan w:val="3"/>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14"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Cargos · AL: Alcaldías; DF: Diputaciones Federales; DL: Diputaciones locales; G: Gubernatura; JM: Juntas municipales; PM: Presidencias municipales; S: Sindicaturas.</w:t>
            </w:r>
          </w:p>
        </w:tc>
      </w:tr>
      <w:tr>
        <w:trPr>
          <w:trHeight w:val="109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Integrantes generales de los bloques · </w:t>
            </w:r>
            <w:r>
              <w:rPr>
                <w:rFonts w:eastAsia="Calendario Sans" w:cs="Calendario Sans" w:ascii="Calendario Sans" w:hAnsi="Calendario Sans"/>
                <w:b w:val="false"/>
                <w:color w:val="26211F"/>
                <w:sz w:val="21"/>
              </w:rPr>
              <w:t>Apoyo y precampaña · bloque 1: Chihuahua, Colima, Guerrero, Sonora. Sólo apoyo: Nuevo León. Apoyo · bloque 3: Ámbito federal, Aguascalientes, Baja California, Chiapas, Ciudad de México, Coahuila, Guanajuato, Hidalgo, Estado de México, Michoacán, Morelos, Nayarit, Oaxaca, Querétaro, Quintana Roo, San Luis Potosí, Sinaloa, Tamaulipas, Tlaxcala, Yucatán, Zacatecas. Apoyo · bloque 4: Puebla, Tabasco, Veracruz.</w:t>
            </w:r>
          </w:p>
        </w:tc>
      </w:tr>
    </w:tbl>
    <w:p>
      <w:pPr>
        <w:pStyle w:val="Normal"/>
        <w:keepNext w:val="false"/>
        <w:keepLines w:val="false"/>
        <w:widowControl w:val="false"/>
        <w:spacing w:lineRule="exact" w:line="214" w:before="40" w:after="4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Apoyo: obtención del apoyo de la ciudadanía. Los cargos son locales, salvo el ámbito federal indicado.</w:t>
      </w:r>
    </w:p>
    <w:p>
      <w:pPr>
        <w:pStyle w:val="Normal"/>
        <w:keepNext w:val="false"/>
        <w:keepLines w:val="false"/>
        <w:widowControl w:val="false"/>
        <w:spacing w:lineRule="exact" w:line="240" w:before="20" w:after="4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Estados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 1 · Apoyo · bloque 4a. </w:t>
            </w:r>
            <w:r>
              <w:rPr>
                <w:rFonts w:eastAsia="Calendario Sans" w:cs="Calendario Sans" w:ascii="Calendario Sans" w:hAnsi="Calendario Sans"/>
                <w:b w:val="false"/>
                <w:color w:val="26211F"/>
                <w:sz w:val="21"/>
              </w:rPr>
              <w:t>Baja California Sur: DL, G,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2 · Apoyo y Precampaña · bloque 1. </w:t>
            </w:r>
            <w:r>
              <w:rPr>
                <w:rFonts w:eastAsia="Calendario Sans" w:cs="Calendario Sans" w:ascii="Calendario Sans" w:hAnsi="Calendario Sans"/>
                <w:b w:val="false"/>
                <w:color w:val="26211F"/>
                <w:sz w:val="21"/>
              </w:rPr>
              <w:t>Apoyo y Precampaña · Chihuahua, Sonora: G; Apoyo · Nuevo León: DL, G, PM; Precampaña · Guerrero: DL.</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12 · Apoyo · bloque 1. </w:t>
            </w:r>
            <w:r>
              <w:rPr>
                <w:rFonts w:eastAsia="Calendario Sans" w:cs="Calendario Sans" w:ascii="Calendario Sans" w:hAnsi="Calendario Sans"/>
                <w:b w:val="false"/>
                <w:color w:val="26211F"/>
                <w:sz w:val="21"/>
              </w:rPr>
              <w:t>Colima: G; Guerrero: DL,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13 · Apoyo y Precampaña · bloque 2. </w:t>
            </w:r>
            <w:r>
              <w:rPr>
                <w:rFonts w:eastAsia="Calendario Sans" w:cs="Calendario Sans" w:ascii="Calendario Sans" w:hAnsi="Calendario Sans"/>
                <w:b w:val="false"/>
                <w:color w:val="26211F"/>
                <w:sz w:val="21"/>
              </w:rPr>
              <w:t>Apoyo · Campeche: G; Apoyo y Precampaña · Jalisco: DL, PM; Precampaña · Nuevo León: DL, G, PM.</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 14 · Apoyo · bloque 3. </w:t>
            </w:r>
            <w:r>
              <w:rPr>
                <w:rFonts w:eastAsia="Calendario Sans" w:cs="Calendario Sans" w:ascii="Calendario Sans" w:hAnsi="Calendario Sans"/>
                <w:b w:val="false"/>
                <w:color w:val="26211F"/>
                <w:sz w:val="21"/>
              </w:rPr>
              <w:t>Baja California: G.</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15 · Apoyo · bloque 3. </w:t>
            </w:r>
            <w:r>
              <w:rPr>
                <w:rFonts w:eastAsia="Calendario Sans" w:cs="Calendario Sans" w:ascii="Calendario Sans" w:hAnsi="Calendario Sans"/>
                <w:b w:val="false"/>
                <w:color w:val="26211F"/>
                <w:sz w:val="21"/>
              </w:rPr>
              <w:t>Ciudad de México: AL, DL; Ámbito federal: DF.</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16 · Precampaña · bloque 1. </w:t>
            </w:r>
            <w:r>
              <w:rPr>
                <w:rFonts w:eastAsia="Calendario Sans" w:cs="Calendario Sans" w:ascii="Calendario Sans" w:hAnsi="Calendario Sans"/>
                <w:b w:val="false"/>
                <w:color w:val="26211F"/>
                <w:sz w:val="21"/>
              </w:rPr>
              <w:t>Guerrero: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19 · Apoyo y Precampaña · bloque 1. </w:t>
            </w:r>
            <w:r>
              <w:rPr>
                <w:rFonts w:eastAsia="Calendario Sans" w:cs="Calendario Sans" w:ascii="Calendario Sans" w:hAnsi="Calendario Sans"/>
                <w:b w:val="false"/>
                <w:color w:val="26211F"/>
                <w:sz w:val="21"/>
              </w:rPr>
              <w:t>Chihuahua: DL, PM, S.</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22 · Apoyo y Precampaña · bloque 1. </w:t>
            </w:r>
            <w:r>
              <w:rPr>
                <w:rFonts w:eastAsia="Calendario Sans" w:cs="Calendario Sans" w:ascii="Calendario Sans" w:hAnsi="Calendario Sans"/>
                <w:b w:val="false"/>
                <w:color w:val="26211F"/>
                <w:sz w:val="21"/>
              </w:rPr>
              <w:t>Apoyo y Precampaña · Colima, Sonora: DL, PM; Precampaña · Colima: G.</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 23 · Apoyo · bloque 2. </w:t>
            </w:r>
            <w:r>
              <w:rPr>
                <w:rFonts w:eastAsia="Calendario Sans" w:cs="Calendario Sans" w:ascii="Calendario Sans" w:hAnsi="Calendario Sans"/>
                <w:b w:val="false"/>
                <w:color w:val="26211F"/>
                <w:sz w:val="21"/>
              </w:rPr>
              <w:t>Campeche: DL, JM, PM; Durango: DL.</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29 · Precampaña · bloque 2. </w:t>
            </w:r>
            <w:r>
              <w:rPr>
                <w:rFonts w:eastAsia="Calendario Sans" w:cs="Calendario Sans" w:ascii="Calendario Sans" w:hAnsi="Calendario Sans"/>
                <w:b w:val="false"/>
                <w:color w:val="26211F"/>
                <w:sz w:val="21"/>
              </w:rPr>
              <w:t>Durango: DL.</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30 · Apoyo · bloque 3. </w:t>
            </w:r>
            <w:r>
              <w:rPr>
                <w:rFonts w:eastAsia="Calendario Sans" w:cs="Calendario Sans" w:ascii="Calendario Sans" w:hAnsi="Calendario Sans"/>
                <w:b w:val="false"/>
                <w:color w:val="26211F"/>
                <w:sz w:val="21"/>
              </w:rPr>
              <w:t>Baja California, Guanajuato: PM; Estado de México, Hidalgo: DL.</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31 · Apoyo · bloque 3. </w:t>
            </w:r>
            <w:r>
              <w:rPr>
                <w:rFonts w:eastAsia="Calendario Sans" w:cs="Calendario Sans" w:ascii="Calendario Sans" w:hAnsi="Calendario Sans"/>
                <w:b w:val="false"/>
                <w:color w:val="26211F"/>
                <w:sz w:val="21"/>
              </w:rPr>
              <w:t>Coahuila: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31 · Apoyo · bloque 4. </w:t>
            </w:r>
            <w:r>
              <w:rPr>
                <w:rFonts w:eastAsia="Calendario Sans" w:cs="Calendario Sans" w:ascii="Calendario Sans" w:hAnsi="Calendario Sans"/>
                <w:b w:val="false"/>
                <w:color w:val="26211F"/>
                <w:sz w:val="21"/>
              </w:rPr>
              <w:t>Puebla: DL, PM.</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Enero 2027</w:t>
      </w:r>
      <w:r>
        <w:rPr>
          <w:rFonts w:eastAsia="Calendario Sans" w:cs="Calendario Sans" w:ascii="Calendario Sans" w:hAnsi="Calendario Sans"/>
          <w:b w:val="false"/>
          <w:color w:val="26211F"/>
          <w:sz w:val="23"/>
        </w:rPr>
        <w:t xml:space="preserve">   Con obtención del apoyo de la ciudadanía</w:t>
      </w:r>
    </w:p>
    <w:tbl>
      <w:tblPr>
        <w:tblW w:w="14707" w:type="dxa"/>
        <w:jc w:val="start"/>
        <w:tblInd w:w="-10" w:type="dxa"/>
        <w:tblLayout w:type="fixed"/>
        <w:tblCellMar>
          <w:top w:w="0" w:type="dxa"/>
          <w:start w:w="20" w:type="dxa"/>
          <w:bottom w:w="0" w:type="dxa"/>
          <w:end w:w="2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100" w:hRule="exact"/>
          <w:cantSplit/>
        </w:trPr>
        <w:tc>
          <w:tcPr>
            <w:tcW w:w="8403" w:type="dxa"/>
            <w:gridSpan w:val="4"/>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210"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Apoyo: obtención del apoyo de la ciudadanía. EO: errores y omisiones. G: Gubernatura; MC: Presidencia municipal (Capital); DL: Diputaciones locales; PM: Presidencias municipales; AL: Alcaldías; DF: Diputaciones Federales; S: Sindicaturas; PM+: Presidencias municipales (+40,000 habitantes); CON: Concejalías; JM: Juntas municipales; PM-: Presidencias municipales (-40,000 habitantes); R: Regidurías; COM: Presidencias de comunidad. Los cargos son locales salvo el ámbito federal.</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4</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 y precampaña</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5</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6</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7</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 y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8</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9</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 y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10</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 apoyo y precampaña</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11</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12</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13</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14</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 y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Yucatán</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16</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17</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18</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 y precampaña</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19</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San Luis Potosí</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 y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20</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21</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 apoyo y precampaña</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22</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23</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24</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 y precampaña</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25</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26</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27</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28</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Notificación EO</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29</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30</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apoyo y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31</w:t>
            </w:r>
          </w:p>
        </w:tc>
      </w:tr>
      <w:tr>
        <w:trPr>
          <w:trHeight w:val="110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210" w:before="0" w:after="0"/>
              <w:rPr>
                <w:rFonts w:ascii="Calendario Sans" w:hAnsi="Calendario Sans" w:eastAsia="Calendario Sans" w:cs="Calendario Sans"/>
                <w:b/>
                <w:color w:val="4A0D14"/>
                <w:sz w:val="21"/>
              </w:rPr>
            </w:pPr>
            <w:r>
              <w:rPr>
                <w:rFonts w:eastAsia="Calendario Sans" w:cs="Calendario Sans" w:ascii="Calendario Sans" w:hAnsi="Calendario Sans"/>
                <w:b/>
                <w:color w:val="4A0D14"/>
                <w:sz w:val="21"/>
              </w:rPr>
              <w:t>Integrantes de los bloques completos · Los inicios y actos corresponden sólo a los ámbitos de cada fecha.</w:t>
            </w:r>
          </w:p>
          <w:tbl>
            <w:tblPr>
              <w:tblW w:w="14616" w:type="dxa"/>
              <w:jc w:val="start"/>
              <w:tblInd w:w="0" w:type="dxa"/>
              <w:tblLayout w:type="fixed"/>
              <w:tblCellMar>
                <w:top w:w="0" w:type="dxa"/>
                <w:start w:w="0" w:type="dxa"/>
                <w:bottom w:w="0" w:type="dxa"/>
                <w:end w:w="0" w:type="dxa"/>
              </w:tblCellMar>
            </w:tblPr>
            <w:tblGrid>
              <w:gridCol w:w="10771"/>
              <w:gridCol w:w="170"/>
              <w:gridCol w:w="3675"/>
            </w:tblGrid>
            <w:tr>
              <w:trPr>
                <w:cantSplit/>
              </w:trPr>
              <w:tc>
                <w:tcPr>
                  <w:tcW w:w="10771" w:type="dxa"/>
                  <w:tcBorders/>
                </w:tcPr>
                <w:p>
                  <w:pPr>
                    <w:pStyle w:val="Normal"/>
                    <w:keepNext w:val="false"/>
                    <w:keepLines w:val="false"/>
                    <w:widowControl w:val="false"/>
                    <w:spacing w:lineRule="exact" w:line="210" w:before="0" w:after="0"/>
                    <w:rPr/>
                  </w:pPr>
                  <w:r>
                    <w:rPr>
                      <w:rFonts w:eastAsia="Calendario Sans" w:cs="Calendario Sans" w:ascii="Calendario Sans" w:hAnsi="Calendario Sans"/>
                      <w:b/>
                      <w:color w:val="4A0D14"/>
                      <w:sz w:val="21"/>
                    </w:rPr>
                    <w:t xml:space="preserve">Bloque 3 · Comunes a Apoyo y Precampaña. </w:t>
                  </w:r>
                  <w:r>
                    <w:rPr>
                      <w:rFonts w:eastAsia="Calendario Sans" w:cs="Calendario Sans" w:ascii="Calendario Sans" w:hAnsi="Calendario Sans"/>
                      <w:b w:val="false"/>
                      <w:color w:val="26211F"/>
                      <w:sz w:val="21"/>
                    </w:rPr>
                    <w:t xml:space="preserve">Ámbito federal, Aguascalientes, Baja California, Chiapas, Ciudad de México, Coahuila, Guanajuato, Hidalgo, Estado de México, Michoacán, Morelos, Nayarit, Oaxaca, Querétaro, Quintana Roo, San Luis Potosí, Sinaloa, Tamaulipas, Tlaxcala, Yucatán, Zacatecas. </w:t>
                  </w:r>
                  <w:r>
                    <w:rPr>
                      <w:rFonts w:eastAsia="Calendario Sans" w:cs="Calendario Sans" w:ascii="Calendario Sans" w:hAnsi="Calendario Sans"/>
                      <w:b/>
                      <w:color w:val="4A0D14"/>
                      <w:sz w:val="21"/>
                    </w:rPr>
                    <w:t xml:space="preserve">Precampaña incluye además: </w:t>
                  </w:r>
                  <w:r>
                    <w:rPr>
                      <w:rFonts w:eastAsia="Calendario Sans" w:cs="Calendario Sans" w:ascii="Calendario Sans" w:hAnsi="Calendario Sans"/>
                      <w:b w:val="false"/>
                      <w:color w:val="26211F"/>
                      <w:sz w:val="21"/>
                    </w:rPr>
                    <w:t>Baja California Sur y Campeche.</w:t>
                  </w:r>
                </w:p>
              </w:tc>
              <w:tc>
                <w:tcPr>
                  <w:tcW w:w="170"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3675" w:type="dxa"/>
                  <w:tcBorders/>
                </w:tcPr>
                <w:p>
                  <w:pPr>
                    <w:pStyle w:val="Normal"/>
                    <w:keepNext w:val="false"/>
                    <w:keepLines w:val="false"/>
                    <w:widowControl w:val="false"/>
                    <w:spacing w:lineRule="exact" w:line="210" w:before="0" w:after="0"/>
                    <w:rPr/>
                  </w:pPr>
                  <w:r>
                    <w:rPr>
                      <w:rFonts w:eastAsia="Calendario Sans" w:cs="Calendario Sans" w:ascii="Calendario Sans" w:hAnsi="Calendario Sans"/>
                      <w:b/>
                      <w:color w:val="4A0D14"/>
                      <w:sz w:val="21"/>
                    </w:rPr>
                    <w:t xml:space="preserve">Bloque 4 · Apoyo y Precampaña. </w:t>
                  </w:r>
                  <w:r>
                    <w:rPr>
                      <w:rFonts w:eastAsia="Calendario Sans" w:cs="Calendario Sans" w:ascii="Calendario Sans" w:hAnsi="Calendario Sans"/>
                      <w:b w:val="false"/>
                      <w:color w:val="26211F"/>
                      <w:sz w:val="21"/>
                    </w:rPr>
                    <w:t>Puebla, Tabasco, Veracruz.</w:t>
                  </w:r>
                </w:p>
              </w:tc>
            </w:tr>
          </w:tbl>
          <w:p>
            <w:pPr>
              <w:pStyle w:val="Normal"/>
              <w:keepNext w:val="false"/>
              <w:keepLines w:val="false"/>
              <w:widowControl w:val="false"/>
              <w:spacing w:lineRule="exact" w:line="20" w:before="0" w:after="0"/>
              <w:rPr/>
            </w:pPr>
            <w:r>
              <w:rPr/>
            </w:r>
          </w:p>
        </w:tc>
      </w:tr>
    </w:tbl>
    <w:p>
      <w:pPr>
        <w:pStyle w:val="Normal"/>
        <w:keepNext w:val="false"/>
        <w:keepLines w:val="false"/>
        <w:widowControl w:val="false"/>
        <w:spacing w:lineRule="exact" w:line="20" w:before="0" w:after="20"/>
        <w:rPr/>
      </w:pPr>
      <w:r>
        <w:rPr/>
      </w:r>
    </w:p>
    <w:p>
      <w:pPr>
        <w:pStyle w:val="Normal"/>
        <w:keepNext w:val="false"/>
        <w:keepLines w:val="false"/>
        <w:widowControl w:val="false"/>
        <w:spacing w:lineRule="exact" w:line="210" w:before="0" w:after="20"/>
        <w:rPr>
          <w:rFonts w:ascii="Calendario Sans" w:hAnsi="Calendario Sans" w:eastAsia="Calendario Sans" w:cs="Calendario Sans"/>
          <w:b/>
          <w:color w:val="4A0D14"/>
          <w:sz w:val="21"/>
        </w:rPr>
      </w:pPr>
      <w:r>
        <w:rPr>
          <w:rFonts w:eastAsia="Calendario Sans" w:cs="Calendario Sans" w:ascii="Calendario Sans" w:hAnsi="Calendario Sans"/>
          <w:b/>
          <w:color w:val="4A0D14"/>
          <w:sz w:val="21"/>
        </w:rPr>
        <w:t>Actuaciones, ámbitos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4 · Inicio · Apoyo y Precampaña · Bloque 3. </w:t>
            </w:r>
            <w:r>
              <w:rPr>
                <w:rFonts w:eastAsia="Calendario Sans" w:cs="Calendario Sans" w:ascii="Calendario Sans" w:hAnsi="Calendario Sans"/>
                <w:b w:val="false"/>
                <w:color w:val="26211F"/>
                <w:sz w:val="21"/>
              </w:rPr>
              <w:t>Apoyo y Precampaña — Aguascalientes: G, MC; San Luis Potosí, Tlaxcala: G; Sinaloa, Zacatecas: DL, G, PM; Apoyo — Yucatán: DL, PM; Precampaña — Baja California, Campeche, Michoacán: G; Baja California Sur: DL, G, PM; Ciudad de México: AL, DL; Coahuila, Guanajuato: PM; Hidalgo: DL; Ámbito federal: DF.</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7 · Inicio · Apoyo y Precampaña · Bloque 3. </w:t>
            </w:r>
            <w:r>
              <w:rPr>
                <w:rFonts w:eastAsia="Calendario Sans" w:cs="Calendario Sans" w:ascii="Calendario Sans" w:hAnsi="Calendario Sans"/>
                <w:b w:val="false"/>
                <w:color w:val="26211F"/>
                <w:sz w:val="21"/>
              </w:rPr>
              <w:t>Apoyo y Precampaña — Nayarit: G; Apoyo — Querétaro: G.</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9 · Inicio · Apoyo y Precampaña · Bloque 3. </w:t>
            </w:r>
            <w:r>
              <w:rPr>
                <w:rFonts w:eastAsia="Calendario Sans" w:cs="Calendario Sans" w:ascii="Calendario Sans" w:hAnsi="Calendario Sans"/>
                <w:b w:val="false"/>
                <w:color w:val="26211F"/>
                <w:sz w:val="21"/>
              </w:rPr>
              <w:t>Apoyo — Morelos: DL; Apoyo y Precampaña — Quintana Roo: G.</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10 · Fin; 13 · Entrega de informes; 28 · Notificación EO · Apoyo y Precampaña · Bloque 1. </w:t>
            </w:r>
            <w:r>
              <w:rPr>
                <w:rFonts w:eastAsia="Calendario Sans" w:cs="Calendario Sans" w:ascii="Calendario Sans" w:hAnsi="Calendario Sans"/>
                <w:b w:val="false"/>
                <w:color w:val="26211F"/>
                <w:sz w:val="21"/>
              </w:rPr>
              <w:t>Apoyo y Precampaña — Chihuahua: DL, G, PM, S; Colima, Guerrero, Sonora: DL, G, PM; Apoyo — Nuevo León: DL, G, PM.</w:t>
            </w:r>
          </w:p>
        </w:tc>
        <w:tc>
          <w:tcPr>
            <w:tcW w:w="171" w:type="dxa"/>
            <w:tcBorders/>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14 · Inicio · Apoyo y Precampaña · Bloque 3. </w:t>
            </w:r>
            <w:r>
              <w:rPr>
                <w:rFonts w:eastAsia="Calendario Sans" w:cs="Calendario Sans" w:ascii="Calendario Sans" w:hAnsi="Calendario Sans"/>
                <w:b w:val="false"/>
                <w:color w:val="26211F"/>
                <w:sz w:val="21"/>
              </w:rPr>
              <w:t>Apoyo y Precampaña — Aguascalientes: DL, PM+; Baja California, Guanajuato: DL; Morelos: PM; Quintana Roo, Tamaulipas: DL, PM; Apoyo — Estado de México, Hidalgo: PM; Michoacán: G; Oaxaca: CON, DL; Tlaxcala: DL, PM; Precampaña — Baja California: PM; Michoacán: DL, PM; Morelos: DL; Campeche: DL, JM, PM; Querétaro: DL, G,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15 · Inicio · Precampaña · Bloque 3. </w:t>
            </w:r>
            <w:r>
              <w:rPr>
                <w:rFonts w:eastAsia="Calendario Sans" w:cs="Calendario Sans" w:ascii="Calendario Sans" w:hAnsi="Calendario Sans"/>
                <w:b w:val="false"/>
                <w:color w:val="26211F"/>
                <w:sz w:val="21"/>
              </w:rPr>
              <w:t>Precampaña — Yucatán: DL,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18 · Inicio · Apoyo y Precampaña · Bloque 3. </w:t>
            </w:r>
            <w:r>
              <w:rPr>
                <w:rFonts w:eastAsia="Calendario Sans" w:cs="Calendario Sans" w:ascii="Calendario Sans" w:hAnsi="Calendario Sans"/>
                <w:b w:val="false"/>
                <w:color w:val="26211F"/>
                <w:sz w:val="21"/>
              </w:rPr>
              <w:t>Apoyo — Chiapas: DL, PM; Precampaña — Hidalgo: PM; Oaxaca: DL.</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19 · Inicio · Apoyo y Precampaña · Bloque 3. </w:t>
            </w:r>
            <w:r>
              <w:rPr>
                <w:rFonts w:eastAsia="Calendario Sans" w:cs="Calendario Sans" w:ascii="Calendario Sans" w:hAnsi="Calendario Sans"/>
                <w:b w:val="false"/>
                <w:color w:val="26211F"/>
                <w:sz w:val="21"/>
              </w:rPr>
              <w:t>Apoyo y Precampaña — San Luis Potosí: DL, PM.</w:t>
            </w:r>
          </w:p>
        </w:tc>
        <w:tc>
          <w:tcPr>
            <w:tcW w:w="171" w:type="dxa"/>
            <w:tcBorders/>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21 · Fin; 24 · Entrega de informes · Apoyo y Precampaña · Bloque 2. </w:t>
            </w:r>
            <w:r>
              <w:rPr>
                <w:rFonts w:eastAsia="Calendario Sans" w:cs="Calendario Sans" w:ascii="Calendario Sans" w:hAnsi="Calendario Sans"/>
                <w:b w:val="false"/>
                <w:color w:val="26211F"/>
                <w:sz w:val="21"/>
              </w:rPr>
              <w:t>Apoyo — Campeche: DL, G, JM, PM; Apoyo y Precampaña — Durango: DL; Jalisco: DL, PM; Precampaña — Nuevo León: DL, G,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21 · Inicio · Precampaña · Bloque 3. </w:t>
            </w:r>
            <w:r>
              <w:rPr>
                <w:rFonts w:eastAsia="Calendario Sans" w:cs="Calendario Sans" w:ascii="Calendario Sans" w:hAnsi="Calendario Sans"/>
                <w:b w:val="false"/>
                <w:color w:val="26211F"/>
                <w:sz w:val="21"/>
              </w:rPr>
              <w:t>Precampaña — Estado de México: DL,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24 · Inicio · Apoyo y Precampaña · Bloque 3. </w:t>
            </w:r>
            <w:r>
              <w:rPr>
                <w:rFonts w:eastAsia="Calendario Sans" w:cs="Calendario Sans" w:ascii="Calendario Sans" w:hAnsi="Calendario Sans"/>
                <w:b w:val="false"/>
                <w:color w:val="26211F"/>
                <w:sz w:val="21"/>
              </w:rPr>
              <w:t>Apoyo y Precampaña — Aguascalientes: PM-; Nayarit: DL, PM, R; Tlaxcala: COM; Apoyo — Michoacán, Querétaro: DL, PM; Precampaña — Oaxaca: CON; Tlaxcala: DL,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30 · Inicio · Apoyo y Precampaña · Bloque 4. </w:t>
            </w:r>
            <w:r>
              <w:rPr>
                <w:rFonts w:eastAsia="Calendario Sans" w:cs="Calendario Sans" w:ascii="Calendario Sans" w:hAnsi="Calendario Sans"/>
                <w:b w:val="false"/>
                <w:color w:val="26211F"/>
                <w:sz w:val="21"/>
              </w:rPr>
              <w:t>Apoyo y Precampaña — Tabasco: DL, PM; Apoyo — Veracruz: DL.</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Febrero 2027</w:t>
      </w:r>
      <w:r>
        <w:rPr>
          <w:rFonts w:eastAsia="Calendario Sans" w:cs="Calendario Sans" w:ascii="Calendario Sans" w:hAnsi="Calendario Sans"/>
          <w:b w:val="false"/>
          <w:color w:val="26211F"/>
          <w:sz w:val="23"/>
        </w:rPr>
        <w:t xml:space="preserve">   Con obtención del apoyo de la ciudadanía</w:t>
      </w:r>
    </w:p>
    <w:tbl>
      <w:tblPr>
        <w:tblW w:w="14707" w:type="dxa"/>
        <w:jc w:val="start"/>
        <w:tblInd w:w="-10" w:type="dxa"/>
        <w:tblLayout w:type="fixed"/>
        <w:tblCellMar>
          <w:top w:w="0" w:type="dxa"/>
          <w:start w:w="20" w:type="dxa"/>
          <w:bottom w:w="0" w:type="dxa"/>
          <w:end w:w="2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Chiapas</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4</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EO</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5</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Notificación EO</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6</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7</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8</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9</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Veracruz</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10</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11</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12</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 apoyo y precampaña</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EO</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13</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14</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Dictamen y resolución</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15</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16</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17</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18</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19</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CF</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20</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21</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22</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Dictamen y resolución</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Presentación CG</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23</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24</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25</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CG</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26</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CF</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27</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28</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 apoyo y precampaña</w:t>
            </w:r>
          </w:p>
        </w:tc>
      </w:tr>
      <w:tr>
        <w:trPr>
          <w:trHeight w:val="110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210"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Apoyo: obtención del apoyo de la ciudadanía. EO: errores y omisiones. CF: Comisión de Fiscalización. CG: Consejo General. DL: Diputaciones locales; PM: Presidencias municipales; G: Gubernatura; S: Sindicaturas; JM: Juntas municipales; MC: Presidencia municipal (Capital); PM+: Presidencias municipales (+40,000 habitantes); PM-: Presidencias municipales (-40,000 habitantes); AL: Alcaldías; R: Regidurías; CON: Concejalías; COM: Presidencias de comunidad; DF: Diputaciones Federales. Los cargos son locales salvo el ámbito federal.</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r>
    </w:tbl>
    <w:p>
      <w:pPr>
        <w:pStyle w:val="Normal"/>
        <w:keepNext w:val="false"/>
        <w:keepLines w:val="false"/>
        <w:widowControl w:val="false"/>
        <w:spacing w:lineRule="exact" w:line="20" w:before="0" w:after="20"/>
        <w:rPr/>
      </w:pPr>
      <w:r>
        <w:rPr/>
      </w:r>
    </w:p>
    <w:p>
      <w:pPr>
        <w:pStyle w:val="Normal"/>
        <w:keepNext w:val="false"/>
        <w:keepLines w:val="false"/>
        <w:widowControl w:val="false"/>
        <w:spacing w:lineRule="exact" w:line="210" w:before="0" w:after="20"/>
        <w:rPr>
          <w:rFonts w:ascii="Calendario Sans" w:hAnsi="Calendario Sans" w:eastAsia="Calendario Sans" w:cs="Calendario Sans"/>
          <w:b/>
          <w:color w:val="4A0D14"/>
          <w:sz w:val="21"/>
        </w:rPr>
      </w:pPr>
      <w:r>
        <w:rPr>
          <w:rFonts w:eastAsia="Calendario Sans" w:cs="Calendario Sans" w:ascii="Calendario Sans" w:hAnsi="Calendario Sans"/>
          <w:b/>
          <w:color w:val="4A0D14"/>
          <w:sz w:val="21"/>
        </w:rPr>
        <w:t>Actuaciones, ámbitos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3 · Inicio · Precampaña · Bloque 3. </w:t>
            </w:r>
            <w:r>
              <w:rPr>
                <w:rFonts w:eastAsia="Calendario Sans" w:cs="Calendario Sans" w:ascii="Calendario Sans" w:hAnsi="Calendario Sans"/>
                <w:b w:val="false"/>
                <w:color w:val="26211F"/>
                <w:sz w:val="21"/>
              </w:rPr>
              <w:t>Precampaña — Chiapas: DL,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4 · Respuesta EO; 14 · Dictamen y resolución CF; 19 · Aprobación CF; 22 · Presentación CG; 25 · Aprobación CG · Apoyo y Precampaña · Bloque 1. </w:t>
            </w:r>
            <w:r>
              <w:rPr>
                <w:rFonts w:eastAsia="Calendario Sans" w:cs="Calendario Sans" w:ascii="Calendario Sans" w:hAnsi="Calendario Sans"/>
                <w:b w:val="false"/>
                <w:color w:val="26211F"/>
                <w:sz w:val="21"/>
              </w:rPr>
              <w:t>Apoyo y Precampaña — Chihuahua: DL, G, PM, S; Colima, Guerrero, Sonora: DL, G, PM; Apoyo — Nuevo León: DL, G,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5 · Notificación EO; 12 · Respuesta EO; 22 · Dictamen y resolución CF; 26 · Aprobación CF · Apoyo y Precampaña · Bloque 2. </w:t>
            </w:r>
            <w:r>
              <w:rPr>
                <w:rFonts w:eastAsia="Calendario Sans" w:cs="Calendario Sans" w:ascii="Calendario Sans" w:hAnsi="Calendario Sans"/>
                <w:b w:val="false"/>
                <w:color w:val="26211F"/>
                <w:sz w:val="21"/>
              </w:rPr>
              <w:t>Apoyo — Campeche: DL, G, JM, PM; Apoyo y Precampaña — Durango: DL; Jalisco: DL, PM; Precampaña — Nuevo León: DL, G, PM.</w:t>
            </w:r>
          </w:p>
        </w:tc>
        <w:tc>
          <w:tcPr>
            <w:tcW w:w="171" w:type="dxa"/>
            <w:tcBorders/>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9 · Inicio · Precampaña · Bloque 4. </w:t>
            </w:r>
            <w:r>
              <w:rPr>
                <w:rFonts w:eastAsia="Calendario Sans" w:cs="Calendario Sans" w:ascii="Calendario Sans" w:hAnsi="Calendario Sans"/>
                <w:b w:val="false"/>
                <w:color w:val="26211F"/>
                <w:sz w:val="21"/>
              </w:rPr>
              <w:t>Precampaña — Veracruz: DL.</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12 · Fin; 15 · Entrega de informes · Apoyo y Precampaña · Bloque 3. </w:t>
            </w:r>
            <w:r>
              <w:rPr>
                <w:rFonts w:eastAsia="Calendario Sans" w:cs="Calendario Sans" w:ascii="Calendario Sans" w:hAnsi="Calendario Sans"/>
                <w:b w:val="false"/>
                <w:color w:val="26211F"/>
                <w:sz w:val="21"/>
              </w:rPr>
              <w:t>Apoyo y Precampaña — Aguascalientes: DL, G, MC, PM+, PM-; Baja California, Michoacán, Querétaro, Quintana Roo, San Luis Potosí, Sinaloa, Zacatecas: DL, G, PM; Chiapas, Estado de México, Guanajuato, Hidalgo, Morelos, Tamaulipas, Yucatán: DL, PM; Ciudad de México: AL, DL; Coahuila: PM; Nayarit: DL, G, PM, R; Oaxaca: CON, DL; Tlaxcala: DL, G, COM, PM; Ámbito federal: DF; Precampaña — Baja California Sur: DL, G, PM; Campeche: DL, G, JM, PM.</w:t>
            </w:r>
          </w:p>
        </w:tc>
        <w:tc>
          <w:tcPr>
            <w:tcW w:w="171" w:type="dxa"/>
            <w:tcBorders/>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19 · Inicio · Precampaña · Bloque 4. </w:t>
            </w:r>
            <w:r>
              <w:rPr>
                <w:rFonts w:eastAsia="Calendario Sans" w:cs="Calendario Sans" w:ascii="Calendario Sans" w:hAnsi="Calendario Sans"/>
                <w:b w:val="false"/>
                <w:color w:val="26211F"/>
                <w:sz w:val="21"/>
              </w:rPr>
              <w:t>Precampaña — Puebla: DL,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28 · Fin · Apoyo · Bloque 4a. </w:t>
            </w:r>
            <w:r>
              <w:rPr>
                <w:rFonts w:eastAsia="Calendario Sans" w:cs="Calendario Sans" w:ascii="Calendario Sans" w:hAnsi="Calendario Sans"/>
                <w:b w:val="false"/>
                <w:color w:val="26211F"/>
                <w:sz w:val="21"/>
              </w:rPr>
              <w:t>Apoyo — Baja California Sur: DL, G,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28 · Fin · Apoyo y Precampaña · Bloque 4. </w:t>
            </w:r>
            <w:r>
              <w:rPr>
                <w:rFonts w:eastAsia="Calendario Sans" w:cs="Calendario Sans" w:ascii="Calendario Sans" w:hAnsi="Calendario Sans"/>
                <w:b w:val="false"/>
                <w:color w:val="26211F"/>
                <w:sz w:val="21"/>
              </w:rPr>
              <w:t>Apoyo y Precampaña — Puebla, Tabasco: DL, PM; Veracruz: DL.</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Marzo 2027</w:t>
      </w:r>
      <w:r>
        <w:rPr>
          <w:rFonts w:eastAsia="Calendario Sans" w:cs="Calendario Sans" w:ascii="Calendario Sans" w:hAnsi="Calendario Sans"/>
          <w:b w:val="false"/>
          <w:color w:val="26211F"/>
          <w:sz w:val="23"/>
        </w:rPr>
        <w:t xml:space="preserve">   Con anexo 1</w:t>
      </w:r>
    </w:p>
    <w:tbl>
      <w:tblPr>
        <w:tblW w:w="14707" w:type="dxa"/>
        <w:jc w:val="start"/>
        <w:tblInd w:w="-10" w:type="dxa"/>
        <w:tblLayout w:type="fixed"/>
        <w:tblCellMar>
          <w:top w:w="0" w:type="dxa"/>
          <w:start w:w="40" w:type="dxa"/>
          <w:bottom w:w="0" w:type="dxa"/>
          <w:end w:w="4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Presentación al CG</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Notificación de EO</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4</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del CG</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Guerrero, Sonora</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 y periodo 1</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6</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7</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8</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9</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a EO</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10</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11</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Baja California Sur</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Notificación de EO</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14</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15</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pPr>
            <w:r>
              <w:rPr>
                <w:rFonts w:eastAsia="Montserrat" w:cs="Montserrat"/>
                <w:b/>
                <w:color w:val="4A0D14"/>
                <w:sz w:val="32"/>
              </w:rPr>
              <w:t>16</w:t>
            </w:r>
            <w:r>
              <w:rPr>
                <w:rFonts w:eastAsia="Calendario Sans" w:cs="Calendario Sans" w:ascii="Calendario Sans" w:hAnsi="Calendario Sans"/>
                <w:b w:val="false"/>
                <w:color w:val="26211F"/>
                <w:sz w:val="23"/>
              </w:rPr>
              <w:t xml:space="preserve"> Notificación de EO</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a EO</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 y periodo 1</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17</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18</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19</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Dictamen y resolución a la CF</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20</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21</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22</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23</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a EO</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24</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25</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de la CF</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26</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Baja California Sur</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Dictamen y resolución a la CF</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28</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29</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Presentación al CG</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de la CF</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Baja California Sur</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Presentación al CG</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31</w:t>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r>
      <w:tr>
        <w:trPr>
          <w:trHeight w:val="109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14"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Cargos · AL: Alcaldías; CON: Concejalías; DF: Diputaciones Federales; DL: Diputaciones locales; G: Gubernatura; JM: Juntas municipales; PMC: Presidencia municipal (Capital); COM: Presidencias de comunidad; PM: Presidencias municipales; PM+: Presidencias municipales (+40,000 habitantes); PM−: Presidencias municipales (-40,000 habitantes); R: Regidurías.</w:t>
            </w:r>
          </w:p>
        </w:tc>
      </w:tr>
    </w:tbl>
    <w:p>
      <w:pPr>
        <w:pStyle w:val="Normal"/>
        <w:keepNext w:val="false"/>
        <w:keepLines w:val="false"/>
        <w:widowControl w:val="false"/>
        <w:spacing w:lineRule="exact" w:line="214" w:before="40" w:after="4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Apoyo: obtención del apoyo de la ciudadanía. CF: Comisión de Fiscalización. CG: Consejo General. EO: errores y omisiones. Los cargos son locales, salvo el ámbito federal indicado.</w:t>
      </w:r>
    </w:p>
    <w:p>
      <w:pPr>
        <w:pStyle w:val="Normal"/>
        <w:keepNext w:val="false"/>
        <w:keepLines w:val="false"/>
        <w:widowControl w:val="false"/>
        <w:spacing w:lineRule="exact" w:line="240" w:before="20" w:after="4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Estados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Días 1, 4 · Apoyo y Precampaña · bloque 2. </w:t>
            </w:r>
            <w:r>
              <w:rPr>
                <w:rFonts w:eastAsia="Calendario Sans" w:cs="Calendario Sans" w:ascii="Calendario Sans" w:hAnsi="Calendario Sans"/>
                <w:b w:val="false"/>
                <w:color w:val="26211F"/>
                <w:sz w:val="21"/>
              </w:rPr>
              <w:t>Apoyo · Campeche: DL, G, JM, PM; Apoyo y Precampaña · Durango: DL; Apoyo y Precampaña · Jalisco: DL, PM; Precampaña · Nuevo León: DL, G,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Días 2, 9, 19, 25, 29 · Apoyo y Precampaña · bloque 3 · 29: Presentación al CG · continúa. </w:t>
            </w:r>
            <w:r>
              <w:rPr>
                <w:rFonts w:eastAsia="Calendario Sans" w:cs="Calendario Sans" w:ascii="Calendario Sans" w:hAnsi="Calendario Sans"/>
                <w:b w:val="false"/>
                <w:color w:val="26211F"/>
                <w:sz w:val="21"/>
              </w:rPr>
              <w:t>Apoyo y Precampaña · Aguascalientes: DL, G, PMC, PM+, PM−; Apoyo y Precampaña · Baja California, Michoacán, Querétaro, Quintana Roo, San Luis Potosí, Sinaloa, Zacatecas: DL, G, PM; Apoyo y Precampaña · Chiapas, Estado de México, Guanajuato, Hidalgo, Morelos, Tamaulipas, Yucatán: DL, PM.</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Días 2, 9, 19, 25, 29 · Apoyo y Precampaña · bloque 3 · 29: Presentación al CG · continuación. </w:t>
            </w:r>
            <w:r>
              <w:rPr>
                <w:rFonts w:eastAsia="Calendario Sans" w:cs="Calendario Sans" w:ascii="Calendario Sans" w:hAnsi="Calendario Sans"/>
                <w:b w:val="false"/>
                <w:color w:val="26211F"/>
                <w:sz w:val="21"/>
              </w:rPr>
              <w:t>Apoyo y Precampaña · Ciudad de México: AL, DL; Apoyo y Precampaña · Coahuila: PM; Apoyo y Precampaña · Nayarit: DL, G, PM, R; Apoyo y Precampaña · Oaxaca: CON, DL; Apoyo y Precampaña · Tlaxcala: DL, G, COM, PM; Apoyo y Precampaña · Ámbito federal: DF; Precampaña · Baja California Sur: DL, G,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Días 2, 9, 19, 25, 29 · Apoyo y Precampaña · bloque 3 · 29: Presentación al CG · continuación. </w:t>
            </w:r>
            <w:r>
              <w:rPr>
                <w:rFonts w:eastAsia="Calendario Sans" w:cs="Calendario Sans" w:ascii="Calendario Sans" w:hAnsi="Calendario Sans"/>
                <w:b w:val="false"/>
                <w:color w:val="26211F"/>
                <w:sz w:val="21"/>
              </w:rPr>
              <w:t>Precampaña · Campeche: DL, G, JM, PM.</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Días 3, 16, 23 · Apoyo y Precampaña · bloque 4 · 16: Notificación de EO. </w:t>
            </w:r>
            <w:r>
              <w:rPr>
                <w:rFonts w:eastAsia="Calendario Sans" w:cs="Calendario Sans" w:ascii="Calendario Sans" w:hAnsi="Calendario Sans"/>
                <w:b w:val="false"/>
                <w:color w:val="26211F"/>
                <w:sz w:val="21"/>
              </w:rPr>
              <w:t>Puebla, Tabasco: DL, PM; Veracruz: DL.</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Días 3, 11, 16, 26, 29, 30 · Apoyo · bloque 4a · 16: Respuesta a EO; 29: Aprobación de la CF. </w:t>
            </w:r>
            <w:r>
              <w:rPr>
                <w:rFonts w:eastAsia="Calendario Sans" w:cs="Calendario Sans" w:ascii="Calendario Sans" w:hAnsi="Calendario Sans"/>
                <w:b w:val="false"/>
                <w:color w:val="26211F"/>
                <w:sz w:val="21"/>
              </w:rPr>
              <w:t>Baja California Sur: DL, G,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5 · Inicio de campaña y periodo 1. </w:t>
            </w:r>
            <w:r>
              <w:rPr>
                <w:rFonts w:eastAsia="Calendario Sans" w:cs="Calendario Sans" w:ascii="Calendario Sans" w:hAnsi="Calendario Sans"/>
                <w:b w:val="false"/>
                <w:color w:val="26211F"/>
                <w:sz w:val="21"/>
              </w:rPr>
              <w:t>Guerrero, Sonora: G.</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16 · Campaña · periodo 1 · 16: Inicio de campaña y periodo 1. </w:t>
            </w:r>
            <w:r>
              <w:rPr>
                <w:rFonts w:eastAsia="Calendario Sans" w:cs="Calendario Sans" w:ascii="Calendario Sans" w:hAnsi="Calendario Sans"/>
                <w:b w:val="false"/>
                <w:color w:val="26211F"/>
                <w:sz w:val="21"/>
              </w:rPr>
              <w:t>Campeche: G.</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Abril 2027</w:t>
      </w:r>
      <w:r>
        <w:rPr>
          <w:rFonts w:eastAsia="Calendario Sans" w:cs="Calendario Sans" w:ascii="Calendario Sans" w:hAnsi="Calendario Sans"/>
          <w:b w:val="false"/>
          <w:color w:val="26211F"/>
          <w:sz w:val="23"/>
        </w:rPr>
        <w:t xml:space="preserve">   Con obtención del apoyo de la ciudadanía</w:t>
      </w:r>
    </w:p>
    <w:tbl>
      <w:tblPr>
        <w:tblW w:w="14707" w:type="dxa"/>
        <w:jc w:val="start"/>
        <w:tblInd w:w="-10" w:type="dxa"/>
        <w:tblLayout w:type="fixed"/>
        <w:tblCellMar>
          <w:top w:w="0" w:type="dxa"/>
          <w:start w:w="40" w:type="dxa"/>
          <w:bottom w:w="0" w:type="dxa"/>
          <w:end w:w="4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090" w:hRule="exact"/>
          <w:cantSplit/>
        </w:trPr>
        <w:tc>
          <w:tcPr>
            <w:tcW w:w="6303" w:type="dxa"/>
            <w:gridSpan w:val="3"/>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48"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Apoyo: obtención del apoyo de la ciudadanía. CG: Consejo General. CF: Comisión de Fiscalización. EO: errores y omisiones.</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CG</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Dictamen y resolución a CF</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del periodo 1 de campaña</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4</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br/>
              <w:t>y periodo 2</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5</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6</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7</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CF</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8</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9</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10</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Presentación CG</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11</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14</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Campeche</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br/>
              <w:t>y periodo 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15</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CG</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16</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17</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Notificación EO</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18</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19</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br/>
              <w:t>y periodo 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Yucatán</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br/>
              <w:t>y periodo 2</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21</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EO</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23</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24</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br/>
              <w:t>y periodo 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25</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26</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28</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29</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br/>
              <w:t>y periodo 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30</w:t>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r>
      <w:tr>
        <w:trPr>
          <w:trHeight w:val="109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48"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G: gubernatura; DL: diputaciones locales; PM: presidencias municipales; AL: alcaldías; CON: concejalías; JM: juntas municipales; R: regidurías; S: sindicaturas; COM: presidencias de comunidad; DF: diputaciones federales.</w:t>
            </w:r>
          </w:p>
        </w:tc>
      </w:tr>
    </w:tbl>
    <w:p>
      <w:pPr>
        <w:pStyle w:val="Normal"/>
        <w:keepNext w:val="false"/>
        <w:keepLines w:val="false"/>
        <w:widowControl w:val="false"/>
        <w:spacing w:lineRule="exact" w:line="20" w:before="0" w:after="0"/>
        <w:rPr/>
      </w:pPr>
      <w:r>
        <w:rPr/>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20" w:before="0" w:after="0"/>
              <w:rPr/>
            </w:pPr>
            <w:r>
              <w:rPr>
                <w:rFonts w:eastAsia="Calendario Sans" w:cs="Calendario Sans" w:ascii="Calendario Sans" w:hAnsi="Calendario Sans"/>
                <w:b/>
                <w:color w:val="4A0D14"/>
                <w:sz w:val="21"/>
              </w:rPr>
              <w:t xml:space="preserve">1 abr · Aprobación CG · Apoyo/Precampaña · bloque 3. </w:t>
            </w:r>
            <w:r>
              <w:rPr>
                <w:rFonts w:eastAsia="Calendario Sans" w:cs="Calendario Sans" w:ascii="Calendario Sans" w:hAnsi="Calendario Sans"/>
                <w:b w:val="false"/>
                <w:color w:val="26211F"/>
                <w:sz w:val="21"/>
              </w:rPr>
              <w:t>Apoyo/Precampaña · Aguascalientes: DL, G, Presidencia municipal (Capital), Presidencias municipales (+40,000 habitantes), Presidencias municipales (-40,000 habitantes); Apoyo/Precampaña · Baja California, Michoacán, Querétaro, Quintana Roo, San Luis Potosí, Sinaloa, Zacatecas: DL, G, PM; Apoyo/Precampaña · Chiapas, Estado de México, Guanajuato, Hidalgo, Morelos, Tamaulipas, Yucatán: DL, PM; Apoyo/Precampaña · Ciudad de México: AL, DL; Apoyo/Precampaña · Coahuila: PM; Apoyo/Precampaña · Nayarit: DL, G, PM, R; Apoyo/Precampaña · Oaxaca: CON, DL; Apoyo/Precampaña · Tlaxcala: DL, G, COM, PM; Apoyo/Precampaña · Ámbito federal: DF; Precampaña · Baja California Sur: DL, G, PM; Precampaña · Campeche: DL, G, JM, PM.</w:t>
            </w:r>
          </w:p>
        </w:tc>
        <w:tc>
          <w:tcPr>
            <w:tcW w:w="171" w:type="dxa"/>
            <w:tcBorders/>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20" w:before="0" w:after="0"/>
              <w:rPr/>
            </w:pPr>
            <w:r>
              <w:rPr>
                <w:rFonts w:eastAsia="Calendario Sans" w:cs="Calendario Sans" w:ascii="Calendario Sans" w:hAnsi="Calendario Sans"/>
                <w:b/>
                <w:color w:val="4A0D14"/>
                <w:sz w:val="21"/>
              </w:rPr>
              <w:t xml:space="preserve">1 abr · Aprobación CG · Apoyo · bloque 4a. </w:t>
            </w:r>
            <w:r>
              <w:rPr>
                <w:rFonts w:eastAsia="Calendario Sans" w:cs="Calendario Sans" w:ascii="Calendario Sans" w:hAnsi="Calendario Sans"/>
                <w:b w:val="false"/>
                <w:color w:val="26211F"/>
                <w:sz w:val="21"/>
              </w:rPr>
              <w:t>Baja California Sur: DL, G, PM.</w:t>
            </w:r>
          </w:p>
          <w:p>
            <w:pPr>
              <w:pStyle w:val="Normal"/>
              <w:keepNext w:val="false"/>
              <w:keepLines w:val="false"/>
              <w:widowControl w:val="false"/>
              <w:spacing w:lineRule="exact" w:line="220" w:before="20" w:after="0"/>
              <w:rPr/>
            </w:pPr>
            <w:r>
              <w:rPr>
                <w:rFonts w:eastAsia="Calendario Sans" w:cs="Calendario Sans" w:ascii="Calendario Sans" w:hAnsi="Calendario Sans"/>
                <w:b/>
                <w:color w:val="4A0D14"/>
                <w:sz w:val="21"/>
              </w:rPr>
              <w:t xml:space="preserve">2 Dictamen CF; 7 Aprobación CF; 10 Presentación CG; 15 Aprobación CG · Apoyo/Precampaña · bloque 4. </w:t>
            </w:r>
            <w:r>
              <w:rPr>
                <w:rFonts w:eastAsia="Calendario Sans" w:cs="Calendario Sans" w:ascii="Calendario Sans" w:hAnsi="Calendario Sans"/>
                <w:b w:val="false"/>
                <w:color w:val="26211F"/>
                <w:sz w:val="21"/>
              </w:rPr>
              <w:t>Puebla, Tabasco: DL, PM; Veracruz: DL.</w:t>
            </w:r>
          </w:p>
          <w:p>
            <w:pPr>
              <w:pStyle w:val="Normal"/>
              <w:keepNext w:val="false"/>
              <w:keepLines w:val="false"/>
              <w:widowControl w:val="false"/>
              <w:spacing w:lineRule="exact" w:line="220" w:before="20" w:after="0"/>
              <w:rPr/>
            </w:pPr>
            <w:r>
              <w:rPr>
                <w:rFonts w:eastAsia="Calendario Sans" w:cs="Calendario Sans" w:ascii="Calendario Sans" w:hAnsi="Calendario Sans"/>
                <w:b/>
                <w:color w:val="4A0D14"/>
                <w:sz w:val="21"/>
              </w:rPr>
              <w:t xml:space="preserve">3 Fin; 6 Entrega; 17 Notificación EO; 22 Respuesta EO · Campaña · periodo 1. </w:t>
            </w:r>
            <w:r>
              <w:rPr>
                <w:rFonts w:eastAsia="Calendario Sans" w:cs="Calendario Sans" w:ascii="Calendario Sans" w:hAnsi="Calendario Sans"/>
                <w:b w:val="false"/>
                <w:color w:val="26211F"/>
                <w:sz w:val="21"/>
              </w:rPr>
              <w:t>Campeche, Guerrero, Sonora: G.</w:t>
            </w:r>
          </w:p>
          <w:p>
            <w:pPr>
              <w:pStyle w:val="Normal"/>
              <w:keepNext w:val="false"/>
              <w:keepLines w:val="false"/>
              <w:widowControl w:val="false"/>
              <w:spacing w:lineRule="exact" w:line="220" w:before="20" w:after="0"/>
              <w:rPr/>
            </w:pPr>
            <w:r>
              <w:rPr>
                <w:rFonts w:eastAsia="Calendario Sans" w:cs="Calendario Sans" w:ascii="Calendario Sans" w:hAnsi="Calendario Sans"/>
                <w:b/>
                <w:color w:val="4A0D14"/>
                <w:sz w:val="21"/>
              </w:rPr>
              <w:t xml:space="preserve">4 abr · Inicio de campaña y periodo 2. </w:t>
            </w:r>
            <w:r>
              <w:rPr>
                <w:rFonts w:eastAsia="Calendario Sans" w:cs="Calendario Sans" w:ascii="Calendario Sans" w:hAnsi="Calendario Sans"/>
                <w:b w:val="false"/>
                <w:color w:val="26211F"/>
                <w:sz w:val="21"/>
              </w:rPr>
              <w:t>Aguascalientes: Ayuntamiento Capital, G; Baja California, Campeche, Chihuahua, Michoacán, Nayarit, Querétaro, Quintana Roo, San Luis Potosí, Sonora, Tlaxcala: G; Baja California Sur, Colima, Nuevo León, Sinaloa, Zacatecas: DL, G, PM; Ciudad de México: AL, DL; Coahuila, Guanajuato: PM; Guerrero: DL, G; Hidalgo: DL; Jalisco: DL, PM; Ámbito federal: DF. El inicio de campaña excluye las gubernaturas de Campeche, Guerrero y Sonora; el periodo 2 sí las incluye.</w:t>
            </w:r>
          </w:p>
        </w:tc>
        <w:tc>
          <w:tcPr>
            <w:tcW w:w="171" w:type="dxa"/>
            <w:tcBorders/>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20" w:before="0" w:after="0"/>
              <w:rPr/>
            </w:pPr>
            <w:r>
              <w:rPr>
                <w:rFonts w:eastAsia="Calendario Sans" w:cs="Calendario Sans" w:ascii="Calendario Sans" w:hAnsi="Calendario Sans"/>
                <w:b/>
                <w:color w:val="4A0D14"/>
                <w:sz w:val="21"/>
              </w:rPr>
              <w:t xml:space="preserve">14 abr · Inicio de campaña y periodo 2. </w:t>
            </w:r>
            <w:r>
              <w:rPr>
                <w:rFonts w:eastAsia="Calendario Sans" w:cs="Calendario Sans" w:ascii="Calendario Sans" w:hAnsi="Calendario Sans"/>
                <w:b w:val="false"/>
                <w:color w:val="26211F"/>
                <w:sz w:val="21"/>
              </w:rPr>
              <w:t>Campeche: DL, JM, PM.</w:t>
            </w:r>
          </w:p>
          <w:p>
            <w:pPr>
              <w:pStyle w:val="Normal"/>
              <w:keepNext w:val="false"/>
              <w:keepLines w:val="false"/>
              <w:widowControl w:val="false"/>
              <w:spacing w:lineRule="exact" w:line="220" w:before="20" w:after="0"/>
              <w:rPr/>
            </w:pPr>
            <w:r>
              <w:rPr>
                <w:rFonts w:eastAsia="Calendario Sans" w:cs="Calendario Sans" w:ascii="Calendario Sans" w:hAnsi="Calendario Sans"/>
                <w:b/>
                <w:color w:val="4A0D14"/>
                <w:sz w:val="21"/>
              </w:rPr>
              <w:t xml:space="preserve">19 abr · Inicio de campaña y periodo 2. </w:t>
            </w:r>
            <w:r>
              <w:rPr>
                <w:rFonts w:eastAsia="Calendario Sans" w:cs="Calendario Sans" w:ascii="Calendario Sans" w:hAnsi="Calendario Sans"/>
                <w:b w:val="false"/>
                <w:color w:val="26211F"/>
                <w:sz w:val="21"/>
              </w:rPr>
              <w:t>Aguascalientes: Ayuntamientos (Mayores a 40,000 habitantes), DL; Baja California, Michoacán, Morelos, Querétaro, Quintana Roo, Tabasco, Tamaulipas: DL, PM; Guanajuato: DL.</w:t>
            </w:r>
          </w:p>
          <w:p>
            <w:pPr>
              <w:pStyle w:val="Normal"/>
              <w:keepNext w:val="false"/>
              <w:keepLines w:val="false"/>
              <w:widowControl w:val="false"/>
              <w:spacing w:lineRule="exact" w:line="220" w:before="20" w:after="0"/>
              <w:rPr/>
            </w:pPr>
            <w:r>
              <w:rPr>
                <w:rFonts w:eastAsia="Calendario Sans" w:cs="Calendario Sans" w:ascii="Calendario Sans" w:hAnsi="Calendario Sans"/>
                <w:b/>
                <w:color w:val="4A0D14"/>
                <w:sz w:val="21"/>
              </w:rPr>
              <w:t xml:space="preserve">20 abr · Inicio de campaña y periodo 2. </w:t>
            </w:r>
            <w:r>
              <w:rPr>
                <w:rFonts w:eastAsia="Calendario Sans" w:cs="Calendario Sans" w:ascii="Calendario Sans" w:hAnsi="Calendario Sans"/>
                <w:b w:val="false"/>
                <w:color w:val="26211F"/>
                <w:sz w:val="21"/>
              </w:rPr>
              <w:t>Yucatán: DL, PM.</w:t>
            </w:r>
          </w:p>
          <w:p>
            <w:pPr>
              <w:pStyle w:val="Normal"/>
              <w:keepNext w:val="false"/>
              <w:keepLines w:val="false"/>
              <w:widowControl w:val="false"/>
              <w:spacing w:lineRule="exact" w:line="220" w:before="20" w:after="0"/>
              <w:rPr/>
            </w:pPr>
            <w:r>
              <w:rPr>
                <w:rFonts w:eastAsia="Calendario Sans" w:cs="Calendario Sans" w:ascii="Calendario Sans" w:hAnsi="Calendario Sans"/>
                <w:b/>
                <w:color w:val="4A0D14"/>
                <w:sz w:val="21"/>
              </w:rPr>
              <w:t xml:space="preserve">24 abr · Inicio de campaña y periodo 3. </w:t>
            </w:r>
            <w:r>
              <w:rPr>
                <w:rFonts w:eastAsia="Calendario Sans" w:cs="Calendario Sans" w:ascii="Calendario Sans" w:hAnsi="Calendario Sans"/>
                <w:b w:val="false"/>
                <w:color w:val="26211F"/>
                <w:sz w:val="21"/>
              </w:rPr>
              <w:t>Guerrero, Hidalgo: PM; Oaxaca: DL; San Luis Potosí, Sonora: DL, PM.</w:t>
            </w:r>
          </w:p>
          <w:p>
            <w:pPr>
              <w:pStyle w:val="Normal"/>
              <w:keepNext w:val="false"/>
              <w:keepLines w:val="false"/>
              <w:widowControl w:val="false"/>
              <w:spacing w:lineRule="exact" w:line="220" w:before="20" w:after="0"/>
              <w:rPr/>
            </w:pPr>
            <w:r>
              <w:rPr>
                <w:rFonts w:eastAsia="Calendario Sans" w:cs="Calendario Sans" w:ascii="Calendario Sans" w:hAnsi="Calendario Sans"/>
                <w:b/>
                <w:color w:val="4A0D14"/>
                <w:sz w:val="21"/>
              </w:rPr>
              <w:t xml:space="preserve">29 abr · Inicio de campaña y periodo 3. </w:t>
            </w:r>
            <w:r>
              <w:rPr>
                <w:rFonts w:eastAsia="Calendario Sans" w:cs="Calendario Sans" w:ascii="Calendario Sans" w:hAnsi="Calendario Sans"/>
                <w:b w:val="false"/>
                <w:color w:val="26211F"/>
                <w:sz w:val="21"/>
              </w:rPr>
              <w:t>Chihuahua: DL, PM, S; Durango: DL; Estado de México: DL, PM.</w:t>
            </w:r>
          </w:p>
        </w:tc>
      </w:tr>
    </w:tbl>
    <w:p>
      <w:pPr>
        <w:pStyle w:val="Title"/>
        <w:keepNext w:val="false"/>
        <w:keepLines w:val="false"/>
        <w:widowControl w:val="false"/>
        <w:spacing w:lineRule="exact" w:line="480" w:before="0" w:after="60"/>
        <w:contextualSpacing/>
        <w:rPr/>
      </w:pPr>
      <w:r>
        <w:br w:type="page"/>
      </w:r>
      <w:r>
        <w:rPr>
          <w:rFonts w:eastAsia="Montserrat" w:cs="Montserrat"/>
          <w:b/>
          <w:color w:val="4A0D14"/>
          <w:sz w:val="44"/>
        </w:rPr>
        <w:t>Mayo 2027</w:t>
      </w:r>
      <w:r>
        <w:rPr>
          <w:rFonts w:eastAsia="Calendario Sans" w:cs="Calendario Sans" w:ascii="Calendario Sans" w:hAnsi="Calendario Sans"/>
          <w:b w:val="false"/>
          <w:color w:val="26211F"/>
          <w:sz w:val="23"/>
        </w:rPr>
        <w:t xml:space="preserve">   Con anexo 1</w:t>
      </w:r>
    </w:p>
    <w:tbl>
      <w:tblPr>
        <w:tblW w:w="14707" w:type="dxa"/>
        <w:jc w:val="start"/>
        <w:tblInd w:w="-10" w:type="dxa"/>
        <w:tblLayout w:type="fixed"/>
        <w:tblCellMar>
          <w:top w:w="0" w:type="dxa"/>
          <w:start w:w="40" w:type="dxa"/>
          <w:bottom w:w="0" w:type="dxa"/>
          <w:end w:w="4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del periodo 2</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4</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del periodo 3</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5</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6</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 · periodo 2</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7</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8</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9</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10</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11</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14</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15</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16</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17</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Notificación de EO · periodo 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18</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19</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20</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21</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a EO · periodo 2</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23</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24</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25</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26</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28</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29</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30</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31</w:t>
            </w:r>
          </w:p>
        </w:tc>
        <w:tc>
          <w:tcPr>
            <w:tcW w:w="12606" w:type="dxa"/>
            <w:gridSpan w:val="6"/>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14"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Cargos · AL: Alcaldías; AC: Ayuntamiento Capital; AY+: Ayuntamientos (Mayores a 40,000 habitantes); AY−: Ayuntamientos (Menores a 40,000 habitantes); CON: Concejalías; DF: Diputaciones Federales; DL: Diputaciones locales; G: Gubernatura; JM: Juntas municipales; COM: Presidencias de Comunidad; PM: Presidencias municipales; R: Regidurías.</w:t>
            </w:r>
          </w:p>
        </w:tc>
      </w:tr>
    </w:tbl>
    <w:p>
      <w:pPr>
        <w:pStyle w:val="Normal"/>
        <w:keepNext w:val="false"/>
        <w:keepLines w:val="false"/>
        <w:widowControl w:val="false"/>
        <w:spacing w:lineRule="exact" w:line="214" w:before="40" w:after="4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EO: errores y omisiones. Los cargos son locales, salvo el ámbito federal indicado.</w:t>
      </w:r>
    </w:p>
    <w:p>
      <w:pPr>
        <w:pStyle w:val="Normal"/>
        <w:keepNext w:val="false"/>
        <w:keepLines w:val="false"/>
        <w:widowControl w:val="false"/>
        <w:spacing w:lineRule="exact" w:line="240" w:before="20" w:after="4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Estados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Días 3, 6, 17, 22 · Campaña · periodo 2 · continúa. </w:t>
            </w:r>
            <w:r>
              <w:rPr>
                <w:rFonts w:eastAsia="Calendario Sans" w:cs="Calendario Sans" w:ascii="Calendario Sans" w:hAnsi="Calendario Sans"/>
                <w:b w:val="false"/>
                <w:color w:val="26211F"/>
                <w:sz w:val="21"/>
              </w:rPr>
              <w:t>Aguascalientes: AC, AY+, DL, G; Baja California, Baja California Sur, Colima, Michoacán, Nuevo León, Querétaro, Quintana Roo, Sinaloa, Zacatecas: DL, G, PM; Campeche: DL, G, JM, PM; Chihuahua, Nayarit, San Luis Potosí, Sonora, Tlaxcala: G; Ciudad de México: AL, DL; Coahuila: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Días 3, 6, 17, 22 · Campaña · periodo 2 · continuación. </w:t>
            </w:r>
            <w:r>
              <w:rPr>
                <w:rFonts w:eastAsia="Calendario Sans" w:cs="Calendario Sans" w:ascii="Calendario Sans" w:hAnsi="Calendario Sans"/>
                <w:b w:val="false"/>
                <w:color w:val="26211F"/>
                <w:sz w:val="21"/>
              </w:rPr>
              <w:t>Guanajuato, Jalisco, Morelos, Tabasco, Tamaulipas, Yucatán: DL, PM; Guerrero: DL, G; Hidalgo: DL; Ámbito federal: DF.</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 4 · Campaña · periodo 3 · 4: Inicio del periodo 3 · continúa. </w:t>
            </w:r>
            <w:r>
              <w:rPr>
                <w:rFonts w:eastAsia="Calendario Sans" w:cs="Calendario Sans" w:ascii="Calendario Sans" w:hAnsi="Calendario Sans"/>
                <w:b w:val="false"/>
                <w:color w:val="26211F"/>
                <w:sz w:val="21"/>
              </w:rPr>
              <w:t>Aguascalientes: AC, AY+, AY−, DL, G; Baja California, Baja California Sur, Colima, Michoacán, Nuevo León, Querétaro, Quintana Roo, Sinaloa, Zacatecas: DL, G, PM; Campeche: DL, G, JM, PM; Chiapas, Guanajuato, Jalisco, Morelos, Puebla, Tabasco, Tamaulipas, Yucatán: DL, PM; Chihuahua, San Luis Potosí, Sonora: G.</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 4 · Campaña · periodo 3 · 4: Inicio del periodo 3 · continuación. </w:t>
            </w:r>
            <w:r>
              <w:rPr>
                <w:rFonts w:eastAsia="Calendario Sans" w:cs="Calendario Sans" w:ascii="Calendario Sans" w:hAnsi="Calendario Sans"/>
                <w:b w:val="false"/>
                <w:color w:val="26211F"/>
                <w:sz w:val="21"/>
              </w:rPr>
              <w:t>Ciudad de México: AL, DL; Coahuila: PM; Guerrero: DL, G; Hidalgo, Veracruz: DL; Nayarit: DL, G, PM, R; Oaxaca: CON; Tlaxcala: DL, G, COM, PM; Ámbito federal: DF.</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4 · Campaña · 4: Inicio de campaña. </w:t>
            </w:r>
            <w:r>
              <w:rPr>
                <w:rFonts w:eastAsia="Calendario Sans" w:cs="Calendario Sans" w:ascii="Calendario Sans" w:hAnsi="Calendario Sans"/>
                <w:b w:val="false"/>
                <w:color w:val="26211F"/>
                <w:sz w:val="21"/>
              </w:rPr>
              <w:t>Aguascalientes: AY−; Chiapas, Puebla: DL, PM; Nayarit: DL, PM, R; Oaxaca: CON; Tlaxcala: DL, COM, PM; Veracruz: DL.</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Junio 2027</w:t>
      </w:r>
      <w:r>
        <w:rPr>
          <w:rFonts w:eastAsia="Calendario Sans" w:cs="Calendario Sans" w:ascii="Calendario Sans" w:hAnsi="Calendario Sans"/>
          <w:b w:val="false"/>
          <w:color w:val="26211F"/>
          <w:sz w:val="23"/>
        </w:rPr>
        <w:t xml:space="preserve">   Con anexo 1</w:t>
      </w:r>
    </w:p>
    <w:tbl>
      <w:tblPr>
        <w:tblW w:w="14707" w:type="dxa"/>
        <w:jc w:val="start"/>
        <w:tblInd w:w="-10" w:type="dxa"/>
        <w:tblLayout w:type="fixed"/>
        <w:tblCellMar>
          <w:top w:w="0" w:type="dxa"/>
          <w:start w:w="40" w:type="dxa"/>
          <w:bottom w:w="0" w:type="dxa"/>
          <w:end w:w="4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 campaña y periodo 3</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4</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5</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 · periodo 3</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6</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Jornada electoral</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7</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8</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9</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Cómputos distritales federales</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Cómputos distritales federales</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11</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Cómputos distritales federales</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12</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13</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Cómputo de circunscripción plurinominal federal</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14</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15</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Notificación de EO · periodo 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16</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18</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19</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20</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a EO · periodo 3</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21</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22</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23</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24</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Baja California Sur</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Plazo máximo para resolver</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26</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27</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28</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29</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30</w:t>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r>
      <w:tr>
        <w:trPr>
          <w:trHeight w:val="109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14"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Cargos · AL: Alcaldías; AC: Ayuntamiento Capital; AY+: Ayuntamientos (Mayores a 40,000 habitantes); AY−: Ayuntamientos (Menores a 40,000 habitantes); CON: Concejalías; DF: Diputaciones Federales; DL: Diputaciones locales; G: Gubernatura; JM: Juntas municipales; COM: Presidencias de Comunidad; PM: Presidencias municipales; R: Regidurías; S: Sindicaturas.</w:t>
            </w:r>
          </w:p>
        </w:tc>
      </w:tr>
    </w:tbl>
    <w:p>
      <w:pPr>
        <w:pStyle w:val="Normal"/>
        <w:keepNext w:val="false"/>
        <w:keepLines w:val="false"/>
        <w:widowControl w:val="false"/>
        <w:spacing w:lineRule="exact" w:line="214" w:before="40" w:after="4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EO: errores y omisiones. Los cargos son locales, salvo el ámbito federal indicado.</w:t>
      </w:r>
    </w:p>
    <w:p>
      <w:pPr>
        <w:pStyle w:val="Normal"/>
        <w:keepNext w:val="false"/>
        <w:keepLines w:val="false"/>
        <w:widowControl w:val="false"/>
        <w:spacing w:lineRule="exact" w:line="240" w:before="20" w:after="4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Estados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Días 2, 5, 6, 15, 20 · Campaña, periodo 3, y jornada electoral del día 6 · continúa. </w:t>
            </w:r>
            <w:r>
              <w:rPr>
                <w:rFonts w:eastAsia="Calendario Sans" w:cs="Calendario Sans" w:ascii="Calendario Sans" w:hAnsi="Calendario Sans"/>
                <w:b w:val="false"/>
                <w:color w:val="26211F"/>
                <w:sz w:val="21"/>
              </w:rPr>
              <w:t>Aguascalientes: AC, AY+, AY−, DL, G; Baja California, Baja California Sur, Colima, Guerrero, Michoacán, Nuevo León, Querétaro, Quintana Roo, San Luis Potosí, Sinaloa: DL, G, PM; Sonora, Zacatecas: DL, G, PM; Campeche: DL, G, JM, PM.</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Días 2, 5, 6, 15, 20 · Campaña, periodo 3, y jornada electoral del día 6 · continuación. </w:t>
            </w:r>
            <w:r>
              <w:rPr>
                <w:rFonts w:eastAsia="Calendario Sans" w:cs="Calendario Sans" w:ascii="Calendario Sans" w:hAnsi="Calendario Sans"/>
                <w:b w:val="false"/>
                <w:color w:val="26211F"/>
                <w:sz w:val="21"/>
              </w:rPr>
              <w:t>Chiapas, Estado de México, Guanajuato, Hidalgo, Jalisco, Morelos, Puebla, Tabasco, Tamaulipas, Yucatán: DL, PM; Chihuahua: DL, G, PM, S; Ciudad de México: AL, DL; Coahuila: PM; Durango, Veracruz: DL; Nayarit: DL, G, PM, R; Oaxaca: CON, DL; Tlaxcala: DL, G, COM, PM; Ámbito federal: DF.</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Días 6, 9, 10, 11, 13 · Jornada y cómputos. </w:t>
            </w:r>
            <w:r>
              <w:rPr>
                <w:rFonts w:eastAsia="Calendario Sans" w:cs="Calendario Sans" w:ascii="Calendario Sans" w:hAnsi="Calendario Sans"/>
                <w:b w:val="false"/>
                <w:color w:val="26211F"/>
                <w:sz w:val="21"/>
              </w:rPr>
              <w:t>Ámbito federal: DF. Periodo programado: del 9 al 11. El cómputo del 13 corresponde a diputaciones federales de representación proporcional.</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25 · Plazo máximo para resolver. </w:t>
            </w:r>
            <w:r>
              <w:rPr>
                <w:rFonts w:eastAsia="Calendario Sans" w:cs="Calendario Sans" w:ascii="Calendario Sans" w:hAnsi="Calendario Sans"/>
                <w:b w:val="false"/>
                <w:color w:val="26211F"/>
                <w:sz w:val="21"/>
              </w:rPr>
              <w:t>Baja California Sur: DL. Si se impugnan los resultados de esta elección.</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Julio 2027</w:t>
      </w:r>
      <w:r>
        <w:rPr>
          <w:rFonts w:eastAsia="Calendario Sans" w:cs="Calendario Sans" w:ascii="Calendario Sans" w:hAnsi="Calendario Sans"/>
          <w:b w:val="false"/>
          <w:color w:val="26211F"/>
          <w:sz w:val="23"/>
        </w:rPr>
        <w:t xml:space="preserve">   Con obtención del apoyo de la ciudadanía</w:t>
      </w:r>
    </w:p>
    <w:tbl>
      <w:tblPr>
        <w:tblW w:w="14707" w:type="dxa"/>
        <w:jc w:val="start"/>
        <w:tblInd w:w="-10" w:type="dxa"/>
        <w:tblLayout w:type="fixed"/>
        <w:tblCellMar>
          <w:top w:w="0" w:type="dxa"/>
          <w:start w:w="20" w:type="dxa"/>
          <w:bottom w:w="0" w:type="dxa"/>
          <w:end w:w="2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4</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5</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Dictamen y resolución</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6</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7</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8</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9</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10</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11</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12</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CF</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13</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Baja California</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14</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15</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Presentación CG</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16</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17</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18</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Quintana Roo</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19</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Quintana Roo</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21</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22</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CG</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23</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24</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Quintana Roo</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26</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27</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28</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Quintana Roo</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29</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30</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31</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2"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r>
      <w:tr>
        <w:trPr>
          <w:trHeight w:val="110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210"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*Morelos: salvo resultados consignados en actas de cómputo distrital o municipal. Resolución de impugnaciones: plazo máximo, si se presenta el medio correspondiente. CG: Consejo General. CF: Comisión de Fiscalización.  DL: Diputaciones locales; G: Gubernatura; PM: Presidencias municipales; JM: Juntas municipales; S: Sindicaturas; AL: Alcaldías; R: Regidurías; CON: Concejalías; COM: Presidencias de comunidad; DF: Diputaciones Federales; AY: Ayuntamientos; MR: Mayoría relativa; D: Diputaciones; RP: Representación proporcional. Los cargos son locales salvo el ámbito federal.</w:t>
            </w:r>
          </w:p>
        </w:tc>
      </w:tr>
    </w:tbl>
    <w:p>
      <w:pPr>
        <w:pStyle w:val="Normal"/>
        <w:keepNext w:val="false"/>
        <w:keepLines w:val="false"/>
        <w:widowControl w:val="false"/>
        <w:spacing w:lineRule="exact" w:line="20" w:before="0" w:after="20"/>
        <w:rPr/>
      </w:pPr>
      <w:r>
        <w:rPr/>
      </w:r>
    </w:p>
    <w:p>
      <w:pPr>
        <w:pStyle w:val="Normal"/>
        <w:keepNext w:val="false"/>
        <w:keepLines w:val="false"/>
        <w:widowControl w:val="false"/>
        <w:spacing w:lineRule="exact" w:line="210" w:before="0" w:after="20"/>
        <w:rPr>
          <w:rFonts w:ascii="Calendario Sans" w:hAnsi="Calendario Sans" w:eastAsia="Calendario Sans" w:cs="Calendario Sans"/>
          <w:b/>
          <w:color w:val="4A0D14"/>
          <w:sz w:val="21"/>
        </w:rPr>
      </w:pPr>
      <w:r>
        <w:rPr>
          <w:rFonts w:eastAsia="Calendario Sans" w:cs="Calendario Sans" w:ascii="Calendario Sans" w:hAnsi="Calendario Sans"/>
          <w:b/>
          <w:color w:val="4A0D14"/>
          <w:sz w:val="21"/>
        </w:rPr>
        <w:t>Resolución de impugnaciones · Ámbitos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0" w:before="0" w:after="0"/>
              <w:rPr/>
            </w:pPr>
            <w:r>
              <w:rPr>
                <w:rFonts w:eastAsia="Calendario Sans" w:cs="Calendario Sans" w:ascii="Calendario Sans" w:hAnsi="Calendario Sans"/>
                <w:b/>
                <w:color w:val="4A0D14"/>
                <w:sz w:val="21"/>
              </w:rPr>
              <w:t xml:space="preserve">5 · Resolución de impugnaciones. </w:t>
            </w:r>
            <w:r>
              <w:rPr>
                <w:rFonts w:eastAsia="Calendario Sans" w:cs="Calendario Sans" w:ascii="Calendario Sans" w:hAnsi="Calendario Sans"/>
                <w:b w:val="false"/>
                <w:color w:val="26211F"/>
                <w:sz w:val="21"/>
              </w:rPr>
              <w:t>Zacatecas · DL,PM.</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12 · Resolución de impugnaciones. </w:t>
            </w:r>
            <w:r>
              <w:rPr>
                <w:rFonts w:eastAsia="Calendario Sans" w:cs="Calendario Sans" w:ascii="Calendario Sans" w:hAnsi="Calendario Sans"/>
                <w:b w:val="false"/>
                <w:color w:val="26211F"/>
                <w:sz w:val="21"/>
              </w:rPr>
              <w:t>Baja California Sur · G,AY.</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13 · Resolución de impugnaciones. </w:t>
            </w:r>
            <w:r>
              <w:rPr>
                <w:rFonts w:eastAsia="Calendario Sans" w:cs="Calendario Sans" w:ascii="Calendario Sans" w:hAnsi="Calendario Sans"/>
                <w:b w:val="false"/>
                <w:color w:val="26211F"/>
                <w:sz w:val="21"/>
              </w:rPr>
              <w:t>Baja California · DL-MR.</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0" w:before="0" w:after="0"/>
              <w:rPr/>
            </w:pPr>
            <w:r>
              <w:rPr>
                <w:rFonts w:eastAsia="Calendario Sans" w:cs="Calendario Sans" w:ascii="Calendario Sans" w:hAnsi="Calendario Sans"/>
                <w:b/>
                <w:color w:val="4A0D14"/>
                <w:sz w:val="21"/>
              </w:rPr>
              <w:t xml:space="preserve">15 · Resolución de impugnaciones. </w:t>
            </w:r>
            <w:r>
              <w:rPr>
                <w:rFonts w:eastAsia="Calendario Sans" w:cs="Calendario Sans" w:ascii="Calendario Sans" w:hAnsi="Calendario Sans"/>
                <w:b w:val="false"/>
                <w:color w:val="26211F"/>
                <w:sz w:val="21"/>
              </w:rPr>
              <w:t>Tlaxcala · G,D,PM,COM; Zacatecas · G; Quintana Roo · DL-MR; Morelos · DL*.</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18 · Resolución de impugnaciones. </w:t>
            </w:r>
            <w:r>
              <w:rPr>
                <w:rFonts w:eastAsia="Calendario Sans" w:cs="Calendario Sans" w:ascii="Calendario Sans" w:hAnsi="Calendario Sans"/>
                <w:b w:val="false"/>
                <w:color w:val="26211F"/>
                <w:sz w:val="21"/>
              </w:rPr>
              <w:t>Quintana Roo · DL-RP. Si se impugna cómputo/asignación.</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20 · Resolución de impugnaciones. </w:t>
            </w:r>
            <w:r>
              <w:rPr>
                <w:rFonts w:eastAsia="Calendario Sans" w:cs="Calendario Sans" w:ascii="Calendario Sans" w:hAnsi="Calendario Sans"/>
                <w:b w:val="false"/>
                <w:color w:val="26211F"/>
                <w:sz w:val="21"/>
              </w:rPr>
              <w:t>Quintana Roo · G · cómputos distritales.</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0" w:before="0" w:after="0"/>
              <w:rPr/>
            </w:pPr>
            <w:r>
              <w:rPr>
                <w:rFonts w:eastAsia="Calendario Sans" w:cs="Calendario Sans" w:ascii="Calendario Sans" w:hAnsi="Calendario Sans"/>
                <w:b/>
                <w:color w:val="4A0D14"/>
                <w:sz w:val="21"/>
              </w:rPr>
              <w:t xml:space="preserve">25 · Resolución de impugnaciones. </w:t>
            </w:r>
            <w:r>
              <w:rPr>
                <w:rFonts w:eastAsia="Calendario Sans" w:cs="Calendario Sans" w:ascii="Calendario Sans" w:hAnsi="Calendario Sans"/>
                <w:b w:val="false"/>
                <w:color w:val="26211F"/>
                <w:sz w:val="21"/>
              </w:rPr>
              <w:t>Quintana Roo · PM.</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28 · Resolución de impugnaciones. </w:t>
            </w:r>
            <w:r>
              <w:rPr>
                <w:rFonts w:eastAsia="Calendario Sans" w:cs="Calendario Sans" w:ascii="Calendario Sans" w:hAnsi="Calendario Sans"/>
                <w:b w:val="false"/>
                <w:color w:val="26211F"/>
                <w:sz w:val="21"/>
              </w:rPr>
              <w:t>Quintana Roo · R-RP. Si se impugna cómputo/asignación.</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30 · Resolución de impugnaciones. </w:t>
            </w:r>
            <w:r>
              <w:rPr>
                <w:rFonts w:eastAsia="Calendario Sans" w:cs="Calendario Sans" w:ascii="Calendario Sans" w:hAnsi="Calendario Sans"/>
                <w:b w:val="false"/>
                <w:color w:val="26211F"/>
                <w:sz w:val="21"/>
              </w:rPr>
              <w:t>Tabasco · DL; Quintana Roo · G · cómputo estatal.</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31 · Resolución de impugnaciones. </w:t>
            </w:r>
            <w:r>
              <w:rPr>
                <w:rFonts w:eastAsia="Calendario Sans" w:cs="Calendario Sans" w:ascii="Calendario Sans" w:hAnsi="Calendario Sans"/>
                <w:b w:val="false"/>
                <w:color w:val="26211F"/>
                <w:sz w:val="21"/>
              </w:rPr>
              <w:t>Sonora · G,D,PM; Chihuahua · G,D,AY,S.</w:t>
            </w:r>
          </w:p>
        </w:tc>
      </w:tr>
    </w:tbl>
    <w:p>
      <w:pPr>
        <w:pStyle w:val="Normal"/>
        <w:keepNext w:val="false"/>
        <w:keepLines w:val="false"/>
        <w:widowControl w:val="false"/>
        <w:spacing w:lineRule="exact" w:line="20" w:before="0" w:after="20"/>
        <w:rPr/>
      </w:pPr>
      <w:r>
        <w:rPr/>
      </w:r>
    </w:p>
    <w:p>
      <w:pPr>
        <w:pStyle w:val="Normal"/>
        <w:keepNext w:val="false"/>
        <w:keepLines w:val="false"/>
        <w:widowControl w:val="false"/>
        <w:spacing w:lineRule="exact" w:line="210" w:before="0" w:after="20"/>
        <w:rPr>
          <w:rFonts w:ascii="Calendario Sans" w:hAnsi="Calendario Sans" w:eastAsia="Calendario Sans" w:cs="Calendario Sans"/>
          <w:b/>
          <w:color w:val="4A0D14"/>
          <w:sz w:val="21"/>
        </w:rPr>
      </w:pPr>
      <w:r>
        <w:rPr>
          <w:rFonts w:eastAsia="Calendario Sans" w:cs="Calendario Sans" w:ascii="Calendario Sans" w:hAnsi="Calendario Sans"/>
          <w:b/>
          <w:color w:val="4A0D14"/>
          <w:sz w:val="21"/>
        </w:rPr>
        <w:t>Fiscalización de campaña · Ámbitos y cargos comunes a: 5, dictamen y resolución CF; 12, aprobación CF; 15, presentación CG; 22, aprobación CG</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0"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Aguascalientes: Ayuntamiento Capital, Ayuntamientos (Mayores a 40,000 habitantes), Ayuntamientos (Menores a 40,000 habitantes), DL, G; Ciudad de México: AL, DL; Campeche: DL, G, JM, PM; Nayarit: DL, G, PM, R; Zacatecas: DL, G, PM; Guanajuato: DL, PM; Colima: DL, G, PM; Hidalgo: DL, PM; Tabasco: DL, PM; Puebla: DL, PM; Durango: DL.</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0"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Baja California Sur: DL, G, PM; San Luis Potosí: DL, G, PM; Tlaxcala: DL, G, COM, PM; Chihuahua: DL, G, PM, S; Michoacán: DL, G, PM; Guerrero: DL, G, PM; Tamaulipas: DL, PM; Sonora: DL, G, PM; Jalisco: DL, PM; Yucatán: DL, PM; Coahuila: PM.</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0"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Baja California: DL, G, PM; Estado de México: DL, PM; Quintana Roo: DL, G, PM; Nuevo León: DL, G, PM; Querétaro: DL, G, PM; Sinaloa: DL, G, PM; Ámbito federal: DF; Chiapas: DL, PM; Morelos: DL, PM; Oaxaca: CON, DL; Veracruz: DL.</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Agosto 2027</w:t>
      </w:r>
      <w:r>
        <w:rPr>
          <w:rFonts w:eastAsia="Calendario Sans" w:cs="Calendario Sans" w:ascii="Calendario Sans" w:hAnsi="Calendario Sans"/>
          <w:b w:val="false"/>
          <w:color w:val="775737"/>
          <w:sz w:val="23"/>
        </w:rPr>
        <w:t xml:space="preserve">   Con apoyo de la ciudadanía</w:t>
      </w:r>
    </w:p>
    <w:tbl>
      <w:tblPr>
        <w:tblW w:w="14706" w:type="dxa"/>
        <w:jc w:val="center"/>
        <w:tblInd w:w="0" w:type="dxa"/>
        <w:tblLayout w:type="fixed"/>
        <w:tblCellMar>
          <w:top w:w="0" w:type="dxa"/>
          <w:start w:w="20" w:type="dxa"/>
          <w:bottom w:w="0" w:type="dxa"/>
          <w:end w:w="20" w:type="dxa"/>
        </w:tblCellMar>
      </w:tblPr>
      <w:tblGrid>
        <w:gridCol w:w="2101"/>
        <w:gridCol w:w="2100"/>
        <w:gridCol w:w="2101"/>
        <w:gridCol w:w="2101"/>
        <w:gridCol w:w="2101"/>
        <w:gridCol w:w="2100"/>
        <w:gridCol w:w="2102"/>
      </w:tblGrid>
      <w:tr>
        <w:trPr>
          <w:trHeight w:val="266" w:hRule="exact"/>
          <w:cantSplit/>
        </w:trPr>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Lunes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Martes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Miércoles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Jueves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Viernes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Sábado</w:t>
            </w:r>
          </w:p>
        </w:tc>
        <w:tc>
          <w:tcPr>
            <w:tcW w:w="2102"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Domingo</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Inicio del periodo programado</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w:t>
            </w:r>
          </w:p>
        </w:tc>
        <w:tc>
          <w:tcPr>
            <w:tcW w:w="2100"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Resolver JIN</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4</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5</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6</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7</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8</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9</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10</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11</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12</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13</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Durango</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14</w:t>
            </w:r>
          </w:p>
        </w:tc>
        <w:tc>
          <w:tcPr>
            <w:tcW w:w="2102"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15</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16</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Estado de México</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17</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18</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19</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Resolver REC de cómputos distritales</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20</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21</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22</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23</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Término del periodo programado</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24</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San Luis Potosí</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26</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27</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28</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29</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San Luis Potosí</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31</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bl>
    <w:p>
      <w:pPr>
        <w:pStyle w:val="Normal"/>
        <w:keepNext w:val="false"/>
        <w:keepLines w:val="false"/>
        <w:widowControl w:val="false"/>
        <w:spacing w:lineRule="exact" w:line="242" w:before="0" w:after="2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Ámbitos y cargos por fecha</w:t>
      </w:r>
    </w:p>
    <w:tbl>
      <w:tblPr>
        <w:tblW w:w="14706" w:type="dxa"/>
        <w:jc w:val="center"/>
        <w:tblInd w:w="0" w:type="dxa"/>
        <w:tblLayout w:type="fixed"/>
        <w:tblCellMar>
          <w:top w:w="0" w:type="dxa"/>
          <w:start w:w="0" w:type="dxa"/>
          <w:bottom w:w="0" w:type="dxa"/>
          <w:end w:w="0" w:type="dxa"/>
        </w:tblCellMar>
      </w:tblPr>
      <w:tblGrid>
        <w:gridCol w:w="7267"/>
        <w:gridCol w:w="171"/>
        <w:gridCol w:w="7268"/>
      </w:tblGrid>
      <w:tr>
        <w:trPr>
          <w:cantSplit/>
        </w:trPr>
        <w:tc>
          <w:tcPr>
            <w:tcW w:w="7267" w:type="dxa"/>
            <w:tcBorders/>
          </w:tcPr>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 · Inicio del periodo programado · Ámbito federal (DF).</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3 · Resolver JIN · Ámbito federal (DF).</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13 · Resolución de impugnaciones · Durango (DL).</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15 · Resolución de impugnaciones · San Luis Potosí, Chiapas (DL); Tabasco (PM y Reg.).</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16 · Resolución de impugnaciones · Estado de México (DL).</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19 · Resolver REC de cómputos distritales · Ámbito federal (DF).</w:t>
            </w:r>
          </w:p>
        </w:tc>
        <w:tc>
          <w:tcPr>
            <w:tcW w:w="171" w:type="dxa"/>
            <w:tcBorders/>
          </w:tcPr>
          <w:p>
            <w:pPr>
              <w:pStyle w:val="Normal"/>
              <w:keepNext w:val="false"/>
              <w:keepLines w:val="false"/>
              <w:widowControl w:val="false"/>
              <w:spacing w:lineRule="exact" w:line="20" w:before="0" w:after="0"/>
              <w:rPr/>
            </w:pPr>
            <w:r>
              <w:rPr/>
            </w:r>
          </w:p>
        </w:tc>
        <w:tc>
          <w:tcPr>
            <w:tcW w:w="7268" w:type="dxa"/>
            <w:tcBorders/>
          </w:tcPr>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20 · Resolución de impugnaciones · Campeche (Gob.); Tamaulipas (DL y PM).</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23 · Término del periodo programado · Ámbito federal (DF).</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25 · Resolución de impugnaciones · San Luis Potosí (Gob.).</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30 · Resolución de impugnaciones · San Luis Potosí (PM).</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31 · Resolución de impugnaciones · Campeche (DL, PM y JM); Chiapas, Baja California (PM).</w:t>
            </w:r>
          </w:p>
        </w:tc>
      </w:tr>
    </w:tbl>
    <w:p>
      <w:pPr>
        <w:pStyle w:val="Normal"/>
        <w:keepNext w:val="false"/>
        <w:keepLines w:val="false"/>
        <w:widowControl w:val="false"/>
        <w:spacing w:lineRule="exact" w:line="242" w:before="0" w:after="20"/>
        <w:rPr/>
      </w:pPr>
      <w:r>
        <w:rPr>
          <w:rFonts w:eastAsia="Calendario Sans" w:cs="Calendario Sans" w:ascii="Calendario Sans" w:hAnsi="Calendario Sans"/>
          <w:b/>
          <w:color w:val="4A0D14"/>
          <w:sz w:val="23"/>
        </w:rPr>
        <w:t xml:space="preserve">Periodo sin día determinado · </w:t>
      </w:r>
      <w:r>
        <w:rPr>
          <w:rFonts w:eastAsia="Calendario Sans" w:cs="Calendario Sans" w:ascii="Calendario Sans" w:hAnsi="Calendario Sans"/>
          <w:b w:val="false"/>
          <w:color w:val="26211F"/>
          <w:sz w:val="23"/>
        </w:rPr>
        <w:t>Hidalgo · Diputaciones y ayuntamientos · JIN: resolver la totalidad, a más tardar, al término de la primera semana de agosto. Sin día individualizado.</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Resoluciones locales: plazos máximos para resolver, si hay impugnación. Salvo las excepciones indicadas por fecha.</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Cargos · DL: Diputaciones locales; DF: Diputaciones federales; PM: Presidencias municipales; Gob.: Gubernatura; Reg.: Regidurías; JM: Juntas municipales.</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Actuaciones · JIN: juicios de inconformidad; REC: recursos de reconsideración.</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1–23 de agosto · Asignación de diputaciones federales por representación proporcional: periodo programado.</w:t>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Septiembre 2027</w:t>
      </w:r>
      <w:r>
        <w:rPr>
          <w:rFonts w:eastAsia="Calendario Sans" w:cs="Calendario Sans" w:ascii="Calendario Sans" w:hAnsi="Calendario Sans"/>
          <w:b w:val="false"/>
          <w:color w:val="775737"/>
          <w:sz w:val="23"/>
        </w:rPr>
        <w:t xml:space="preserve">   Con apoyo de la ciudadanía</w:t>
      </w:r>
    </w:p>
    <w:tbl>
      <w:tblPr>
        <w:tblW w:w="14706" w:type="dxa"/>
        <w:jc w:val="center"/>
        <w:tblInd w:w="0" w:type="dxa"/>
        <w:tblLayout w:type="fixed"/>
        <w:tblCellMar>
          <w:top w:w="0" w:type="dxa"/>
          <w:start w:w="20" w:type="dxa"/>
          <w:bottom w:w="0" w:type="dxa"/>
          <w:end w:w="20" w:type="dxa"/>
        </w:tblCellMar>
      </w:tblPr>
      <w:tblGrid>
        <w:gridCol w:w="2101"/>
        <w:gridCol w:w="2100"/>
        <w:gridCol w:w="2101"/>
        <w:gridCol w:w="2101"/>
        <w:gridCol w:w="2101"/>
        <w:gridCol w:w="2100"/>
        <w:gridCol w:w="2102"/>
      </w:tblGrid>
      <w:tr>
        <w:trPr>
          <w:trHeight w:val="266" w:hRule="exact"/>
          <w:cantSplit/>
        </w:trPr>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Lunes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Martes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Miércoles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Jueves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Viernes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Sábado</w:t>
            </w:r>
          </w:p>
        </w:tc>
        <w:tc>
          <w:tcPr>
            <w:tcW w:w="2102"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Domingo</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Morelos, Oaxaca</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4</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5</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6</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7</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8</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9</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Jalisco</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11</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12</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13</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14</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15</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16</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17</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18</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19</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20</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21</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22</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23</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24</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25</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26</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27</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28</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29</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Jalisco</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bl>
    <w:p>
      <w:pPr>
        <w:pStyle w:val="Normal"/>
        <w:keepNext w:val="false"/>
        <w:keepLines w:val="false"/>
        <w:widowControl w:val="false"/>
        <w:spacing w:lineRule="exact" w:line="242" w:before="0" w:after="2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Ámbitos y cargos por fecha</w:t>
      </w:r>
    </w:p>
    <w:tbl>
      <w:tblPr>
        <w:tblW w:w="14706" w:type="dxa"/>
        <w:jc w:val="center"/>
        <w:tblInd w:w="0" w:type="dxa"/>
        <w:tblLayout w:type="fixed"/>
        <w:tblCellMar>
          <w:top w:w="0" w:type="dxa"/>
          <w:start w:w="0" w:type="dxa"/>
          <w:bottom w:w="0" w:type="dxa"/>
          <w:end w:w="0" w:type="dxa"/>
        </w:tblCellMar>
      </w:tblPr>
      <w:tblGrid>
        <w:gridCol w:w="7267"/>
        <w:gridCol w:w="171"/>
        <w:gridCol w:w="7268"/>
      </w:tblGrid>
      <w:tr>
        <w:trPr>
          <w:cantSplit/>
        </w:trPr>
        <w:tc>
          <w:tcPr>
            <w:tcW w:w="7267" w:type="dxa"/>
            <w:tcBorders/>
          </w:tcPr>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 · Resolución de impugnaciones · Oaxaca (DL); Morelos* (PM). * Morelos: Salvo resultados consignados en actas de cómputo distrital o municipal.</w:t>
            </w:r>
          </w:p>
        </w:tc>
        <w:tc>
          <w:tcPr>
            <w:tcW w:w="171" w:type="dxa"/>
            <w:tcBorders/>
          </w:tcPr>
          <w:p>
            <w:pPr>
              <w:pStyle w:val="Normal"/>
              <w:keepNext w:val="false"/>
              <w:keepLines w:val="false"/>
              <w:widowControl w:val="false"/>
              <w:spacing w:lineRule="exact" w:line="20" w:before="0" w:after="0"/>
              <w:rPr/>
            </w:pPr>
            <w:r>
              <w:rPr/>
            </w:r>
          </w:p>
        </w:tc>
        <w:tc>
          <w:tcPr>
            <w:tcW w:w="7268" w:type="dxa"/>
            <w:tcBorders/>
          </w:tcPr>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10 · Resolución de impugnaciones · Jalisco (Munícipes).</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30 · Resolución de impugnaciones · Jalisco (DL de ambos principios).</w:t>
            </w:r>
          </w:p>
        </w:tc>
      </w:tr>
    </w:tbl>
    <w:p>
      <w:pPr>
        <w:pStyle w:val="Normal"/>
        <w:keepNext w:val="false"/>
        <w:keepLines w:val="false"/>
        <w:widowControl w:val="false"/>
        <w:spacing w:lineRule="exact" w:line="242" w:before="0" w:after="20"/>
        <w:rPr/>
      </w:pPr>
      <w:r>
        <w:rPr>
          <w:rFonts w:eastAsia="Calendario Sans" w:cs="Calendario Sans" w:ascii="Calendario Sans" w:hAnsi="Calendario Sans"/>
          <w:b/>
          <w:color w:val="4A0D14"/>
          <w:sz w:val="23"/>
        </w:rPr>
        <w:t xml:space="preserve">Periodo sin día determinado · </w:t>
      </w:r>
      <w:r>
        <w:rPr>
          <w:rFonts w:eastAsia="Calendario Sans" w:cs="Calendario Sans" w:ascii="Calendario Sans" w:hAnsi="Calendario Sans"/>
          <w:b w:val="false"/>
          <w:color w:val="26211F"/>
          <w:sz w:val="23"/>
        </w:rPr>
        <w:t>Sinaloa · Gubernatura · Cómputo final y declaraciones: a más tardar en la segunda quincena de septiembre. Calificación del Tribunal; considera las resoluciones de los recursos.</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Resoluciones locales: plazos máximos para resolver, si hay impugnación. Salvo las excepciones indicadas por fecha.</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Cargos · DL: Diputaciones locales; PM: Presidencias municipales.</w:t>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Octubre 2027</w:t>
      </w:r>
      <w:r>
        <w:rPr>
          <w:rFonts w:eastAsia="Calendario Sans" w:cs="Calendario Sans" w:ascii="Calendario Sans" w:hAnsi="Calendario Sans"/>
          <w:b w:val="false"/>
          <w:color w:val="775737"/>
          <w:sz w:val="23"/>
        </w:rPr>
        <w:t xml:space="preserve">   Con apoyo de la ciudadanía</w:t>
      </w:r>
    </w:p>
    <w:tbl>
      <w:tblPr>
        <w:tblW w:w="14706" w:type="dxa"/>
        <w:jc w:val="center"/>
        <w:tblInd w:w="0" w:type="dxa"/>
        <w:tblLayout w:type="fixed"/>
        <w:tblCellMar>
          <w:top w:w="0" w:type="dxa"/>
          <w:start w:w="20" w:type="dxa"/>
          <w:bottom w:w="0" w:type="dxa"/>
          <w:end w:w="20" w:type="dxa"/>
        </w:tblCellMar>
      </w:tblPr>
      <w:tblGrid>
        <w:gridCol w:w="2101"/>
        <w:gridCol w:w="2100"/>
        <w:gridCol w:w="2101"/>
        <w:gridCol w:w="2101"/>
        <w:gridCol w:w="2101"/>
        <w:gridCol w:w="2100"/>
        <w:gridCol w:w="2102"/>
      </w:tblGrid>
      <w:tr>
        <w:trPr>
          <w:trHeight w:val="266" w:hRule="exact"/>
          <w:cantSplit/>
        </w:trPr>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Lunes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Martes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Miércoles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Jueves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Viernes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Sábado</w:t>
            </w:r>
          </w:p>
        </w:tc>
        <w:tc>
          <w:tcPr>
            <w:tcW w:w="2102"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Domingo</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4</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5</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6</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7</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8</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9</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10</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11</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12</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13</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14</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Oaxaca</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16</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17</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18</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19</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20</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21</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22</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23</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24</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25</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26</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27</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28</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29</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30</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31</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bl>
    <w:p>
      <w:pPr>
        <w:pStyle w:val="Normal"/>
        <w:keepNext w:val="false"/>
        <w:keepLines w:val="false"/>
        <w:widowControl w:val="false"/>
        <w:spacing w:lineRule="exact" w:line="242" w:before="0" w:after="2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Ámbitos y cargos por fecha</w:t>
      </w:r>
    </w:p>
    <w:tbl>
      <w:tblPr>
        <w:tblW w:w="14706" w:type="dxa"/>
        <w:jc w:val="center"/>
        <w:tblInd w:w="0" w:type="dxa"/>
        <w:tblLayout w:type="fixed"/>
        <w:tblCellMar>
          <w:top w:w="0" w:type="dxa"/>
          <w:start w:w="0" w:type="dxa"/>
          <w:bottom w:w="0" w:type="dxa"/>
          <w:end w:w="0" w:type="dxa"/>
        </w:tblCellMar>
      </w:tblPr>
      <w:tblGrid>
        <w:gridCol w:w="7267"/>
        <w:gridCol w:w="171"/>
        <w:gridCol w:w="7268"/>
      </w:tblGrid>
      <w:tr>
        <w:trPr>
          <w:cantSplit/>
        </w:trPr>
        <w:tc>
          <w:tcPr>
            <w:tcW w:w="7267" w:type="dxa"/>
            <w:tcBorders/>
          </w:tcPr>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15 · Resolución de impugnaciones · Oaxaca (Concejalías por sistema de partidos). Oaxaca: Sólo sistema de partidos; excluye sistemas normativos internos.</w:t>
            </w:r>
          </w:p>
        </w:tc>
        <w:tc>
          <w:tcPr>
            <w:tcW w:w="171" w:type="dxa"/>
            <w:tcBorders/>
          </w:tcPr>
          <w:p>
            <w:pPr>
              <w:pStyle w:val="Normal"/>
              <w:keepNext w:val="false"/>
              <w:keepLines w:val="false"/>
              <w:widowControl w:val="false"/>
              <w:spacing w:lineRule="exact" w:line="20" w:before="0" w:after="0"/>
              <w:rPr/>
            </w:pPr>
            <w:r>
              <w:rPr/>
            </w:r>
          </w:p>
        </w:tc>
        <w:tc>
          <w:tcPr>
            <w:tcW w:w="7268" w:type="dxa"/>
            <w:tcBorders/>
          </w:tcPr>
          <w:p>
            <w:pPr>
              <w:pStyle w:val="Normal"/>
              <w:spacing w:lineRule="exact" w:line="20" w:before="0" w:after="0"/>
              <w:rPr/>
            </w:pPr>
            <w:r>
              <w:rPr/>
            </w:r>
          </w:p>
        </w:tc>
      </w:tr>
    </w:tbl>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Resoluciones locales: plazos máximos para resolver, si hay impugnación. Salvo las excepciones indicadas por fecha.</w:t>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Noviembre 2027</w:t>
      </w:r>
      <w:r>
        <w:rPr>
          <w:rFonts w:eastAsia="Calendario Sans" w:cs="Calendario Sans" w:ascii="Calendario Sans" w:hAnsi="Calendario Sans"/>
          <w:b w:val="false"/>
          <w:color w:val="775737"/>
          <w:sz w:val="23"/>
        </w:rPr>
        <w:t xml:space="preserve">   Con apoyo de la ciudadanía</w:t>
      </w:r>
    </w:p>
    <w:tbl>
      <w:tblPr>
        <w:tblW w:w="14706" w:type="dxa"/>
        <w:jc w:val="center"/>
        <w:tblInd w:w="0" w:type="dxa"/>
        <w:tblLayout w:type="fixed"/>
        <w:tblCellMar>
          <w:top w:w="0" w:type="dxa"/>
          <w:start w:w="20" w:type="dxa"/>
          <w:bottom w:w="0" w:type="dxa"/>
          <w:end w:w="20" w:type="dxa"/>
        </w:tblCellMar>
      </w:tblPr>
      <w:tblGrid>
        <w:gridCol w:w="2101"/>
        <w:gridCol w:w="2100"/>
        <w:gridCol w:w="2101"/>
        <w:gridCol w:w="2101"/>
        <w:gridCol w:w="2101"/>
        <w:gridCol w:w="2100"/>
        <w:gridCol w:w="2102"/>
      </w:tblGrid>
      <w:tr>
        <w:trPr>
          <w:trHeight w:val="266" w:hRule="exact"/>
          <w:cantSplit/>
        </w:trPr>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Lunes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Martes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Miércoles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Jueves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Viernes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Sábado</w:t>
            </w:r>
          </w:p>
        </w:tc>
        <w:tc>
          <w:tcPr>
            <w:tcW w:w="2102"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Domingo</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4</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5</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6</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7</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8</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9</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10</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11</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12</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13</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14</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Estado de México</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16</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17</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18</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19</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20</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21</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22</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23</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24</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25</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26</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27</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28</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29</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30</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bl>
    <w:p>
      <w:pPr>
        <w:pStyle w:val="Normal"/>
        <w:keepNext w:val="false"/>
        <w:keepLines w:val="false"/>
        <w:widowControl w:val="false"/>
        <w:spacing w:lineRule="exact" w:line="242" w:before="0" w:after="2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Ámbitos y cargos por fecha</w:t>
      </w:r>
    </w:p>
    <w:tbl>
      <w:tblPr>
        <w:tblW w:w="14706" w:type="dxa"/>
        <w:jc w:val="center"/>
        <w:tblInd w:w="0" w:type="dxa"/>
        <w:tblLayout w:type="fixed"/>
        <w:tblCellMar>
          <w:top w:w="0" w:type="dxa"/>
          <w:start w:w="0" w:type="dxa"/>
          <w:bottom w:w="0" w:type="dxa"/>
          <w:end w:w="0" w:type="dxa"/>
        </w:tblCellMar>
      </w:tblPr>
      <w:tblGrid>
        <w:gridCol w:w="7267"/>
        <w:gridCol w:w="171"/>
        <w:gridCol w:w="7268"/>
      </w:tblGrid>
      <w:tr>
        <w:trPr>
          <w:cantSplit/>
        </w:trPr>
        <w:tc>
          <w:tcPr>
            <w:tcW w:w="7267" w:type="dxa"/>
            <w:tcBorders/>
          </w:tcPr>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15 · Resolución de impugnaciones · Estado de México (Ayuntamientos).</w:t>
            </w:r>
          </w:p>
        </w:tc>
        <w:tc>
          <w:tcPr>
            <w:tcW w:w="171" w:type="dxa"/>
            <w:tcBorders/>
          </w:tcPr>
          <w:p>
            <w:pPr>
              <w:pStyle w:val="Normal"/>
              <w:keepNext w:val="false"/>
              <w:keepLines w:val="false"/>
              <w:widowControl w:val="false"/>
              <w:spacing w:lineRule="exact" w:line="20" w:before="0" w:after="0"/>
              <w:rPr/>
            </w:pPr>
            <w:r>
              <w:rPr/>
            </w:r>
          </w:p>
        </w:tc>
        <w:tc>
          <w:tcPr>
            <w:tcW w:w="7268" w:type="dxa"/>
            <w:tcBorders/>
          </w:tcPr>
          <w:p>
            <w:pPr>
              <w:pStyle w:val="Normal"/>
              <w:spacing w:lineRule="exact" w:line="20" w:before="0" w:after="0"/>
              <w:rPr/>
            </w:pPr>
            <w:r>
              <w:rPr/>
            </w:r>
          </w:p>
        </w:tc>
      </w:tr>
    </w:tbl>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Resoluciones locales: plazos máximos para resolver, si hay impugnación. Salvo las excepciones indicadas por fecha.</w:t>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Diciembre 2027</w:t>
      </w:r>
      <w:r>
        <w:rPr>
          <w:rFonts w:eastAsia="Calendario Sans" w:cs="Calendario Sans" w:ascii="Calendario Sans" w:hAnsi="Calendario Sans"/>
          <w:b w:val="false"/>
          <w:color w:val="775737"/>
          <w:sz w:val="23"/>
        </w:rPr>
        <w:t xml:space="preserve">   Con apoyo de la ciudadanía</w:t>
      </w:r>
    </w:p>
    <w:tbl>
      <w:tblPr>
        <w:tblW w:w="14706" w:type="dxa"/>
        <w:jc w:val="center"/>
        <w:tblInd w:w="0" w:type="dxa"/>
        <w:tblLayout w:type="fixed"/>
        <w:tblCellMar>
          <w:top w:w="0" w:type="dxa"/>
          <w:start w:w="20" w:type="dxa"/>
          <w:bottom w:w="0" w:type="dxa"/>
          <w:end w:w="20" w:type="dxa"/>
        </w:tblCellMar>
      </w:tblPr>
      <w:tblGrid>
        <w:gridCol w:w="2101"/>
        <w:gridCol w:w="2100"/>
        <w:gridCol w:w="2101"/>
        <w:gridCol w:w="2101"/>
        <w:gridCol w:w="2101"/>
        <w:gridCol w:w="2100"/>
        <w:gridCol w:w="2102"/>
      </w:tblGrid>
      <w:tr>
        <w:trPr>
          <w:trHeight w:val="266" w:hRule="exact"/>
          <w:cantSplit/>
        </w:trPr>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Lunes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Martes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Miércoles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Jueves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Viernes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Sábado</w:t>
            </w:r>
          </w:p>
        </w:tc>
        <w:tc>
          <w:tcPr>
            <w:tcW w:w="2102"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Domingo</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4</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5</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6</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7</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8</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9</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10</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11</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12</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13</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14</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15</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16</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17</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18</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19</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20</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21</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22</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23</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24</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25</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26</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27</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28</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29</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30</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31</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bl>
    <w:p>
      <w:pPr>
        <w:pStyle w:val="Normal"/>
        <w:keepNext w:val="false"/>
        <w:keepLines w:val="false"/>
        <w:widowControl w:val="false"/>
        <w:spacing w:lineRule="exact" w:line="242"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Sin actuaciones fechadas ni periodos sin día determinado atribuidos a este mes.</w:t>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Fuentes normativas y plazos de resolución</w:t>
      </w:r>
    </w:p>
    <w:p>
      <w:pPr>
        <w:pStyle w:val="Normal"/>
        <w:keepNext w:val="true"/>
        <w:keepLines/>
        <w:widowControl w:val="false"/>
        <w:spacing w:lineRule="exact" w:line="260" w:before="0" w:after="140"/>
        <w:rPr>
          <w:rFonts w:ascii="Montserrat" w:hAnsi="Montserrat" w:eastAsia="Montserrat" w:cs="Montserrat"/>
          <w:b w:val="false"/>
          <w:color w:val="26211F"/>
          <w:sz w:val="23"/>
        </w:rPr>
      </w:pPr>
      <w:r>
        <w:rPr>
          <w:rFonts w:eastAsia="Montserrat" w:cs="Montserrat"/>
          <w:b w:val="false"/>
          <w:color w:val="26211F"/>
          <w:sz w:val="23"/>
        </w:rPr>
        <w:t>Las fechas de resolución se refieren a la actuación de las autoridades, en los supuestos indicados. Los plazos para presentar medios de impugnación dependen del acto, su notificación o conocimiento y las disposiciones aplicables. Una fecha programada no sustituye el acto que inicia el cómputo de un plazo.</w:t>
      </w:r>
    </w:p>
    <w:p>
      <w:pPr>
        <w:pStyle w:val="Normal"/>
        <w:keepNext w:val="false"/>
        <w:keepLines/>
        <w:widowControl w:val="false"/>
        <w:spacing w:lineRule="exact" w:line="260" w:before="0" w:after="140"/>
        <w:rPr>
          <w:rFonts w:ascii="Montserrat" w:hAnsi="Montserrat" w:eastAsia="Montserrat" w:cs="Montserrat"/>
          <w:b w:val="false"/>
          <w:color w:val="26211F"/>
          <w:sz w:val="23"/>
        </w:rPr>
      </w:pPr>
      <w:r>
        <w:rPr>
          <w:rFonts w:eastAsia="Montserrat" w:cs="Montserrat"/>
          <w:b w:val="false"/>
          <w:color w:val="26211F"/>
          <w:sz w:val="23"/>
        </w:rPr>
        <w:t>MR: mayoría relativa. RP: representación proporcional.</w:t>
      </w:r>
    </w:p>
    <w:p>
      <w:pPr>
        <w:pStyle w:val="Normal"/>
        <w:keepNext w:val="true"/>
        <w:keepLines/>
        <w:widowControl w:val="false"/>
        <w:spacing w:lineRule="exact" w:line="260" w:before="0" w:after="80"/>
        <w:rPr>
          <w:rFonts w:ascii="Montserrat" w:hAnsi="Montserrat" w:eastAsia="Montserrat" w:cs="Montserrat"/>
          <w:b/>
          <w:color w:val="4A0D14"/>
          <w:sz w:val="23"/>
        </w:rPr>
      </w:pPr>
      <w:r>
        <w:rPr>
          <w:rFonts w:eastAsia="Montserrat" w:cs="Montserrat"/>
          <w:b/>
          <w:color w:val="4A0D14"/>
          <w:sz w:val="23"/>
        </w:rPr>
        <w:t>Acuerdos del Instituto Nacional Electoral</w:t>
      </w:r>
    </w:p>
    <w:p>
      <w:pPr>
        <w:pStyle w:val="Normal"/>
        <w:keepNext w:val="true"/>
        <w:keepLines/>
        <w:widowControl w:val="false"/>
        <w:spacing w:lineRule="exact" w:line="260" w:before="60" w:after="0"/>
        <w:rPr>
          <w:rFonts w:ascii="Montserrat" w:hAnsi="Montserrat" w:eastAsia="Montserrat" w:cs="Montserrat"/>
          <w:b/>
          <w:color w:val="4A0D14"/>
          <w:sz w:val="23"/>
        </w:rPr>
      </w:pPr>
      <w:r>
        <w:rPr>
          <w:rFonts w:eastAsia="Montserrat" w:cs="Montserrat"/>
          <w:b/>
          <w:color w:val="4A0D14"/>
          <w:sz w:val="23"/>
        </w:rPr>
        <w:t>INE/CG570/2026</w:t>
      </w:r>
    </w:p>
    <w:p>
      <w:pPr>
        <w:pStyle w:val="Normal"/>
        <w:keepNext w:val="tru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Periodos de precampaña y campaña y plazos de su fiscalización. Incluye la obtención del apoyo de la ciudadanía y su fiscalización.</w:t>
      </w:r>
    </w:p>
    <w:p>
      <w:pPr>
        <w:pStyle w:val="Normal"/>
        <w:keepNext w:val="false"/>
        <w:keepLines/>
        <w:widowControl w:val="false"/>
        <w:spacing w:lineRule="exact" w:line="260" w:before="0" w:after="80"/>
        <w:rPr/>
      </w:pPr>
      <w:hyperlink r:id="rId4">
        <w:r>
          <w:rPr>
            <w:rStyle w:val="Style"/>
            <w:rFonts w:eastAsia="Montserrat" w:cs="Montserrat"/>
            <w:color w:val="4A0D14"/>
            <w:sz w:val="23"/>
            <w:szCs w:val="23"/>
            <w:u w:val="single"/>
          </w:rPr>
          <w:t>INE/CG570/2026 · Acuerdo y anexos 1, 2 y 3.</w:t>
        </w:r>
      </w:hyperlink>
    </w:p>
    <w:p>
      <w:pPr>
        <w:pStyle w:val="Normal"/>
        <w:keepNext w:val="false"/>
        <w:keepLines/>
        <w:widowControl w:val="false"/>
        <w:spacing w:lineRule="exact" w:line="260" w:before="0" w:after="80"/>
        <w:rPr/>
      </w:pPr>
      <w:hyperlink r:id="rId5">
        <w:r>
          <w:rPr>
            <w:rStyle w:val="Style"/>
            <w:rFonts w:eastAsia="Montserrat" w:cs="Montserrat"/>
            <w:color w:val="4A0D14"/>
            <w:sz w:val="23"/>
            <w:szCs w:val="23"/>
            <w:u w:val="single"/>
          </w:rPr>
          <w:t>Anexos 1, 2 y 3</w:t>
        </w:r>
      </w:hyperlink>
    </w:p>
    <w:p>
      <w:pPr>
        <w:pStyle w:val="Normal"/>
        <w:keepNext w:val="true"/>
        <w:keepLines/>
        <w:widowControl w:val="false"/>
        <w:spacing w:lineRule="exact" w:line="260" w:before="60" w:after="0"/>
        <w:rPr>
          <w:rFonts w:ascii="Montserrat" w:hAnsi="Montserrat" w:eastAsia="Montserrat" w:cs="Montserrat"/>
          <w:b/>
          <w:color w:val="4A0D14"/>
          <w:sz w:val="23"/>
        </w:rPr>
      </w:pPr>
      <w:r>
        <w:rPr>
          <w:rFonts w:eastAsia="Montserrat" w:cs="Montserrat"/>
          <w:b/>
          <w:color w:val="4A0D14"/>
          <w:sz w:val="23"/>
        </w:rPr>
        <w:t>INE/CG479/2026</w:t>
      </w:r>
    </w:p>
    <w:p>
      <w:pPr>
        <w:pStyle w:val="Normal"/>
        <w:keepNext w:val="tru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Jornada y cómputos federales, y periodo programado de asignación de diputaciones federales por representación proporcional.</w:t>
      </w:r>
    </w:p>
    <w:p>
      <w:pPr>
        <w:pStyle w:val="Normal"/>
        <w:keepNext w:val="false"/>
        <w:keepLines/>
        <w:widowControl w:val="false"/>
        <w:spacing w:lineRule="exact" w:line="260" w:before="0" w:after="80"/>
        <w:rPr/>
      </w:pPr>
      <w:hyperlink r:id="rId6">
        <w:r>
          <w:rPr>
            <w:rStyle w:val="Style"/>
            <w:rFonts w:eastAsia="Montserrat" w:cs="Montserrat"/>
            <w:color w:val="4A0D14"/>
            <w:sz w:val="23"/>
            <w:szCs w:val="23"/>
            <w:u w:val="single"/>
          </w:rPr>
          <w:t>INE/CG479/2026 · Anexo 2, página 17; anexo 1, hoja Grantt_PIyC PEF 2026-2027, filas 497, 500 y 506–507, columnas F:G.</w:t>
        </w:r>
      </w:hyperlink>
    </w:p>
    <w:p>
      <w:pPr>
        <w:pStyle w:val="Normal"/>
        <w:keepNext w:val="true"/>
        <w:keepLines/>
        <w:widowControl w:val="false"/>
        <w:spacing w:lineRule="exact" w:line="260" w:before="60" w:after="0"/>
        <w:rPr>
          <w:rFonts w:ascii="Montserrat" w:hAnsi="Montserrat" w:eastAsia="Montserrat" w:cs="Montserrat"/>
          <w:b/>
          <w:color w:val="4A0D14"/>
          <w:sz w:val="23"/>
        </w:rPr>
      </w:pPr>
      <w:r>
        <w:rPr>
          <w:rFonts w:eastAsia="Montserrat" w:cs="Montserrat"/>
          <w:b/>
          <w:color w:val="4A0D14"/>
          <w:sz w:val="23"/>
        </w:rPr>
        <w:t>INE/CG480/2026</w:t>
      </w:r>
    </w:p>
    <w:p>
      <w:pPr>
        <w:pStyle w:val="Normal"/>
        <w:keepNext w:val="tru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Jornada electoral local del 6 de junio de 2027 en las 32 entidades federativas. Los cargos por entidad son los comprendidos en el anexo 3 de INE/CG570/2026.</w:t>
      </w:r>
    </w:p>
    <w:p>
      <w:pPr>
        <w:pStyle w:val="Normal"/>
        <w:keepNext w:val="false"/>
        <w:keepLines/>
        <w:widowControl w:val="false"/>
        <w:spacing w:lineRule="exact" w:line="260" w:before="0" w:after="80"/>
        <w:rPr/>
      </w:pPr>
      <w:hyperlink r:id="rId7">
        <w:r>
          <w:rPr>
            <w:rStyle w:val="Style"/>
            <w:rFonts w:eastAsia="Montserrat" w:cs="Montserrat"/>
            <w:color w:val="4A0D14"/>
            <w:sz w:val="23"/>
            <w:szCs w:val="23"/>
            <w:u w:val="single"/>
          </w:rPr>
          <w:t>INE/CG480/2026 · Calendarios de Coordinación 2026-2027, actividad 22.4, «Jornada Electoral».</w:t>
        </w:r>
      </w:hyperlink>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Bloques de precampaña y fiscalización</w:t>
      </w:r>
    </w:p>
    <w:p>
      <w:pPr>
        <w:pStyle w:val="Normal"/>
        <w:keepNext w:val="fals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Los bloques agrupan fechas de conclusión de precampaña y plazos de fiscalización. Dentro de cada bloque coinciden ocho fechas: fin del periodo; entrega de informes; notificación y respuesta a Oficios de Errores y Omisiones; Dictamen y Resolución a la Comisión de Fiscalización; aprobación de esa Comisión; presentación al Consejo General y aprobación del Consejo General. Los inicios y las duraciones se conservan por entidad y cargo.</w:t>
      </w:r>
    </w:p>
    <w:tbl>
      <w:tblPr>
        <w:tblW w:w="14705" w:type="dxa"/>
        <w:jc w:val="center"/>
        <w:tblInd w:w="0" w:type="dxa"/>
        <w:tblLayout w:type="fixed"/>
        <w:tblCellMar>
          <w:top w:w="60" w:type="dxa"/>
          <w:start w:w="60" w:type="dxa"/>
          <w:bottom w:w="60" w:type="dxa"/>
          <w:end w:w="60" w:type="dxa"/>
        </w:tblCellMar>
      </w:tblPr>
      <w:tblGrid>
        <w:gridCol w:w="1246"/>
        <w:gridCol w:w="4480"/>
        <w:gridCol w:w="2720"/>
        <w:gridCol w:w="3062"/>
        <w:gridCol w:w="3197"/>
      </w:tblGrid>
      <w:tr>
        <w:trPr>
          <w:tblHeader w:val="true"/>
          <w:cantSplit/>
        </w:trPr>
        <w:tc>
          <w:tcPr>
            <w:tcW w:w="1246"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Bloque</w:t>
            </w:r>
          </w:p>
        </w:tc>
        <w:tc>
          <w:tcPr>
            <w:tcW w:w="4480"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Ámbitos</w:t>
            </w:r>
          </w:p>
        </w:tc>
        <w:tc>
          <w:tcPr>
            <w:tcW w:w="2720"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Fin de precampaña</w:t>
            </w:r>
          </w:p>
        </w:tc>
        <w:tc>
          <w:tcPr>
            <w:tcW w:w="3062"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Entrega de informes</w:t>
            </w:r>
          </w:p>
        </w:tc>
        <w:tc>
          <w:tcPr>
            <w:tcW w:w="3197"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Aprobación del Consejo General</w:t>
            </w:r>
          </w:p>
        </w:tc>
      </w:tr>
      <w:tr>
        <w:trPr>
          <w:cantSplit/>
        </w:trPr>
        <w:tc>
          <w:tcPr>
            <w:tcW w:w="1246"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w:t>
            </w:r>
          </w:p>
        </w:tc>
        <w:tc>
          <w:tcPr>
            <w:tcW w:w="448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Chihuahua, Colima, Guerrero y Sonora</w:t>
            </w:r>
          </w:p>
        </w:tc>
        <w:tc>
          <w:tcPr>
            <w:tcW w:w="272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10 enero 2027</w:t>
            </w:r>
          </w:p>
        </w:tc>
        <w:tc>
          <w:tcPr>
            <w:tcW w:w="3062"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13 enero 2027</w:t>
            </w:r>
          </w:p>
        </w:tc>
        <w:tc>
          <w:tcPr>
            <w:tcW w:w="3197"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25 febrero 2027</w:t>
            </w:r>
          </w:p>
        </w:tc>
      </w:tr>
      <w:tr>
        <w:trPr>
          <w:cantSplit/>
        </w:trPr>
        <w:tc>
          <w:tcPr>
            <w:tcW w:w="1246"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w:t>
            </w:r>
          </w:p>
        </w:tc>
        <w:tc>
          <w:tcPr>
            <w:tcW w:w="448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Durango, Jalisco y Nuevo León</w:t>
            </w:r>
          </w:p>
        </w:tc>
        <w:tc>
          <w:tcPr>
            <w:tcW w:w="272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21 enero 2027</w:t>
            </w:r>
          </w:p>
        </w:tc>
        <w:tc>
          <w:tcPr>
            <w:tcW w:w="3062"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24 enero 2027</w:t>
            </w:r>
          </w:p>
        </w:tc>
        <w:tc>
          <w:tcPr>
            <w:tcW w:w="3197"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4 marzo 2027</w:t>
            </w:r>
          </w:p>
        </w:tc>
      </w:tr>
      <w:tr>
        <w:trPr>
          <w:cantSplit/>
        </w:trPr>
        <w:tc>
          <w:tcPr>
            <w:tcW w:w="1246"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w:t>
            </w:r>
          </w:p>
        </w:tc>
        <w:tc>
          <w:tcPr>
            <w:tcW w:w="448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22 entidades federativas y diputaciones federales</w:t>
            </w:r>
          </w:p>
        </w:tc>
        <w:tc>
          <w:tcPr>
            <w:tcW w:w="272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12 febrero 2027</w:t>
            </w:r>
          </w:p>
        </w:tc>
        <w:tc>
          <w:tcPr>
            <w:tcW w:w="3062"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febrero 2027</w:t>
            </w:r>
          </w:p>
        </w:tc>
        <w:tc>
          <w:tcPr>
            <w:tcW w:w="3197"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 abril 2027</w:t>
            </w:r>
          </w:p>
        </w:tc>
      </w:tr>
      <w:tr>
        <w:trPr>
          <w:cantSplit/>
        </w:trPr>
        <w:tc>
          <w:tcPr>
            <w:tcW w:w="1246"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4</w:t>
            </w:r>
          </w:p>
        </w:tc>
        <w:tc>
          <w:tcPr>
            <w:tcW w:w="448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Puebla, Tabasco y Veracruz</w:t>
            </w:r>
          </w:p>
        </w:tc>
        <w:tc>
          <w:tcPr>
            <w:tcW w:w="272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28 febrero 2027</w:t>
            </w:r>
          </w:p>
        </w:tc>
        <w:tc>
          <w:tcPr>
            <w:tcW w:w="3062"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 marzo 2027</w:t>
            </w:r>
          </w:p>
        </w:tc>
        <w:tc>
          <w:tcPr>
            <w:tcW w:w="3197"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abril 2027</w:t>
            </w:r>
          </w:p>
        </w:tc>
      </w:tr>
    </w:tbl>
    <w:p>
      <w:pPr>
        <w:pStyle w:val="Normal"/>
        <w:keepNext w:val="false"/>
        <w:keepLines/>
        <w:widowControl w:val="false"/>
        <w:spacing w:lineRule="exact" w:line="260" w:before="100" w:after="100"/>
        <w:rPr>
          <w:rFonts w:ascii="Montserrat" w:hAnsi="Montserrat" w:eastAsia="Montserrat" w:cs="Montserrat"/>
          <w:b w:val="false"/>
          <w:color w:val="26211F"/>
          <w:sz w:val="23"/>
        </w:rPr>
      </w:pPr>
      <w:r>
        <w:rPr>
          <w:rFonts w:eastAsia="Montserrat" w:cs="Montserrat"/>
          <w:b w:val="false"/>
          <w:color w:val="26211F"/>
          <w:sz w:val="23"/>
        </w:rPr>
        <w:t>Los periodos se superponen. Del 4 al 10 de enero de 2027 concurren precampañas de los bloques 1, 2 y 3. En Guerrero, la gubernatura inicia el 12 de noviembre de 2026; las diputaciones locales, el 2 de diciembre; y las presidencias municipales, el 16 de diciembre. Los tres cargos concluyen el 10 de enero de 2027.</w:t>
      </w:r>
    </w:p>
    <w:p>
      <w:pPr>
        <w:pStyle w:val="Normal"/>
        <w:keepNext w:val="fals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Los considerandos 61–65 de INE/CG570/2026 remiten a la facultad de atracción ejercida mediante INE/CG478/2026 para homologar, por bloques, las fechas de conclusión de los periodos de precampaña y de obtención del apoyo de la ciudadanía de los procesos locales concurrentes y coordinar las actividades del INE y los Organismos Públicos Locales. Los considerandos 68–70 justifican el plazo común de tres días posteriores a la conclusión para presentar y firmar los informes.</w:t>
      </w:r>
    </w:p>
    <w:p>
      <w:pPr>
        <w:pStyle w:val="Normal"/>
        <w:keepNext w:val="fals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Coincidir en la fecha de inicio no obliga a concluir el mismo día. La homologación del INE fija las conclusiones por bloques. Los Organismos Públicos Locales determinan los inicios conforme a la legislación aplicable y a la duración del periodo correspondiente a cada elección. Por ello, dos periodos pueden iniciar el mismo día y tener fechas de conclusión distintas.</w:t>
      </w:r>
    </w:p>
    <w:p>
      <w:pPr>
        <w:pStyle w:val="Normal"/>
        <w:keepNext w:val="false"/>
        <w:keepLines/>
        <w:widowControl w:val="false"/>
        <w:spacing w:lineRule="exact" w:line="260" w:before="0" w:after="40"/>
        <w:rPr/>
      </w:pPr>
      <w:hyperlink r:id="rId8">
        <w:r>
          <w:rPr>
            <w:rStyle w:val="Style"/>
            <w:rFonts w:eastAsia="Montserrat" w:cs="Montserrat"/>
            <w:color w:val="4A0D14"/>
            <w:sz w:val="23"/>
            <w:szCs w:val="23"/>
            <w:u w:val="single"/>
          </w:rPr>
          <w:t>INE/CG570/2026, anexo 2, páginas 1–4</w:t>
        </w:r>
      </w:hyperlink>
    </w:p>
    <w:p>
      <w:pPr>
        <w:pStyle w:val="Normal"/>
        <w:keepNext w:val="false"/>
        <w:keepLines/>
        <w:widowControl w:val="false"/>
        <w:spacing w:lineRule="exact" w:line="260" w:before="0" w:after="40"/>
        <w:rPr/>
      </w:pPr>
      <w:r>
        <w:fldChar w:fldCharType="begin"/>
      </w:r>
      <w:r>
        <w:rPr>
          <w:rStyle w:val="Style"/>
          <w:rFonts w:eastAsia="Montserrat" w:cs="Montserrat"/>
          <w:color w:val="4A0D14"/>
          <w:sz w:val="23"/>
          <w:szCs w:val="23"/>
          <w:u w:val="single"/>
        </w:rPr>
        <w:instrText xml:space="preserve"> HYPERLINK "https://repositoriodocumental.ine.mx/xmlui/bitstream/handle/123456789/190374/CGex202609-29-ap-5.pdf" \l "page=15"</w:instrText>
      </w:r>
      <w:r>
        <w:rPr>
          <w:rStyle w:val="Style"/>
          <w:rFonts w:eastAsia="Montserrat" w:cs="Montserrat"/>
          <w:color w:val="4A0D14"/>
          <w:sz w:val="23"/>
          <w:szCs w:val="23"/>
          <w:u w:val="single"/>
        </w:rPr>
        <w:fldChar w:fldCharType="separate"/>
      </w:r>
      <w:r>
        <w:rPr>
          <w:rStyle w:val="Style"/>
          <w:rFonts w:eastAsia="Montserrat" w:cs="Montserrat"/>
          <w:color w:val="4A0D14"/>
          <w:sz w:val="23"/>
          <w:szCs w:val="23"/>
          <w:u w:val="single"/>
        </w:rPr>
        <w:t>INE/CG570/2026, considerandos 61–65 y 68–70, páginas 15–18</w:t>
      </w:r>
      <w:r>
        <w:rPr>
          <w:rStyle w:val="Style"/>
          <w:rFonts w:eastAsia="Montserrat" w:cs="Montserrat"/>
          <w:color w:val="4A0D14"/>
          <w:sz w:val="23"/>
          <w:szCs w:val="23"/>
          <w:u w:val="single"/>
        </w:rPr>
        <w:fldChar w:fldCharType="end"/>
      </w:r>
    </w:p>
    <w:p>
      <w:pPr>
        <w:pStyle w:val="Normal"/>
        <w:keepNext w:val="false"/>
        <w:keepLines/>
        <w:widowControl w:val="false"/>
        <w:spacing w:lineRule="exact" w:line="260" w:before="0" w:after="40"/>
        <w:rPr/>
      </w:pPr>
      <w:r>
        <w:fldChar w:fldCharType="begin"/>
      </w:r>
      <w:r>
        <w:rPr>
          <w:rStyle w:val="Style"/>
          <w:rFonts w:eastAsia="Montserrat" w:cs="Montserrat"/>
          <w:color w:val="4A0D14"/>
          <w:sz w:val="23"/>
          <w:szCs w:val="23"/>
          <w:u w:val="single"/>
        </w:rPr>
        <w:instrText xml:space="preserve"> HYPERLINK "https://repositoriodocumental.ine.mx/xmlui/bitstream/handle/123456789/189382/CGex202607-30-rp-2-Gaceta.pdf" \l "page=49"</w:instrText>
      </w:r>
      <w:r>
        <w:rPr>
          <w:rStyle w:val="Style"/>
          <w:rFonts w:eastAsia="Montserrat" w:cs="Montserrat"/>
          <w:color w:val="4A0D14"/>
          <w:sz w:val="23"/>
          <w:szCs w:val="23"/>
          <w:u w:val="single"/>
        </w:rPr>
        <w:fldChar w:fldCharType="separate"/>
      </w:r>
      <w:r>
        <w:rPr>
          <w:rStyle w:val="Style"/>
          <w:rFonts w:eastAsia="Montserrat" w:cs="Montserrat"/>
          <w:color w:val="4A0D14"/>
          <w:sz w:val="23"/>
          <w:szCs w:val="23"/>
          <w:u w:val="single"/>
        </w:rPr>
        <w:t>INE/CG478/2026, página 49</w:t>
      </w:r>
      <w:r>
        <w:rPr>
          <w:rStyle w:val="Style"/>
          <w:rFonts w:eastAsia="Montserrat" w:cs="Montserrat"/>
          <w:color w:val="4A0D14"/>
          <w:sz w:val="23"/>
          <w:szCs w:val="23"/>
          <w:u w:val="single"/>
        </w:rPr>
        <w:fldChar w:fldCharType="end"/>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Proceso electoral · ámbito federal y local</w:t>
      </w:r>
    </w:p>
    <w:p>
      <w:pPr>
        <w:pStyle w:val="Normal"/>
        <w:keepNext w:val="true"/>
        <w:keepLines/>
        <w:widowControl w:val="false"/>
        <w:spacing w:lineRule="exact" w:line="260" w:before="0" w:after="140"/>
        <w:rPr>
          <w:rFonts w:ascii="Montserrat" w:hAnsi="Montserrat" w:eastAsia="Montserrat" w:cs="Montserrat"/>
          <w:b w:val="false"/>
          <w:color w:val="26211F"/>
          <w:sz w:val="23"/>
        </w:rPr>
      </w:pPr>
      <w:r>
        <w:rPr>
          <w:rFonts w:eastAsia="Montserrat" w:cs="Montserrat"/>
          <w:b w:val="false"/>
          <w:color w:val="26211F"/>
          <w:sz w:val="23"/>
        </w:rPr>
        <w:t>Las actividades federales y las locales conservan sus ámbitos y fuentes propios.</w:t>
      </w:r>
    </w:p>
    <w:tbl>
      <w:tblPr>
        <w:tblW w:w="14706" w:type="dxa"/>
        <w:jc w:val="center"/>
        <w:tblInd w:w="0" w:type="dxa"/>
        <w:tblLayout w:type="fixed"/>
        <w:tblCellMar>
          <w:top w:w="60" w:type="dxa"/>
          <w:start w:w="60" w:type="dxa"/>
          <w:bottom w:w="60" w:type="dxa"/>
          <w:end w:w="60" w:type="dxa"/>
        </w:tblCellMar>
      </w:tblPr>
      <w:tblGrid>
        <w:gridCol w:w="1983"/>
        <w:gridCol w:w="12723"/>
      </w:tblGrid>
      <w:tr>
        <w:trPr>
          <w:tblHeader w:val="true"/>
          <w:cantSplit/>
        </w:trPr>
        <w:tc>
          <w:tcPr>
            <w:tcW w:w="1983"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Fecha o periodo</w:t>
            </w:r>
          </w:p>
        </w:tc>
        <w:tc>
          <w:tcPr>
            <w:tcW w:w="12723"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Actuación, ámbito y disposición aplicable</w:t>
            </w:r>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6 de junio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Jornada electoral local · Las 32 entidades federativas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Cargos de cada entidad comprendidos en el anexo 3 de INE/CG570/2026.</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La fecha procede de INE/CG480/2026; los cargos por entidad, del anexo 3 de INE/CG570/2026. La programación de cómputos y asignación federal no se extiende a las elecciones locales.</w:t>
            </w:r>
          </w:p>
          <w:p>
            <w:pPr>
              <w:pStyle w:val="Normal"/>
              <w:keepNext w:val="false"/>
              <w:keepLines/>
              <w:widowControl w:val="false"/>
              <w:spacing w:lineRule="exact" w:line="260" w:before="0" w:after="0"/>
              <w:rPr/>
            </w:pPr>
            <w:hyperlink r:id="rId9">
              <w:r>
                <w:rPr>
                  <w:rStyle w:val="Style"/>
                  <w:rFonts w:eastAsia="Montserrat" w:cs="Montserrat"/>
                  <w:color w:val="4A0D14"/>
                  <w:sz w:val="23"/>
                  <w:szCs w:val="23"/>
                  <w:u w:val="single"/>
                </w:rPr>
                <w:t>INE/CG480/2026</w:t>
              </w:r>
            </w:hyperlink>
            <w:r>
              <w:rPr>
                <w:rFonts w:eastAsia="Montserrat" w:cs="Montserrat"/>
                <w:b w:val="false"/>
                <w:color w:val="26211F"/>
                <w:sz w:val="23"/>
              </w:rPr>
              <w:t xml:space="preserve">; </w:t>
            </w:r>
            <w:hyperlink r:id="rId10">
              <w:r>
                <w:rPr>
                  <w:rStyle w:val="Style"/>
                  <w:rFonts w:eastAsia="Montserrat" w:cs="Montserrat"/>
                  <w:color w:val="4A0D14"/>
                  <w:sz w:val="23"/>
                  <w:szCs w:val="23"/>
                  <w:u w:val="single"/>
                </w:rPr>
                <w:t>INE/CG570/2026</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6 de junio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Jornada electoral · Ámbito federal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w:t>
            </w:r>
          </w:p>
          <w:p>
            <w:pPr>
              <w:pStyle w:val="Normal"/>
              <w:keepNext w:val="false"/>
              <w:keepLines/>
              <w:widowControl w:val="false"/>
              <w:spacing w:lineRule="exact" w:line="260" w:before="0" w:after="0"/>
              <w:rPr/>
            </w:pPr>
            <w:hyperlink r:id="rId11">
              <w:r>
                <w:rPr>
                  <w:rStyle w:val="Style"/>
                  <w:rFonts w:eastAsia="Montserrat" w:cs="Montserrat"/>
                  <w:color w:val="4A0D14"/>
                  <w:sz w:val="23"/>
                  <w:szCs w:val="23"/>
                  <w:u w:val="single"/>
                </w:rPr>
                <w:t>INE/CG479/2026, anexo 2, página 17</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9 de junio de 2027 a 11 de junio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Cómputos distritales de diputaciones federales · Ámbito federal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La conclusión efectiva del cómputo de cada elección y distrito determina, en su caso, el inicio del plazo para impugnar; la programación no fija un vencimiento común para todos los distritos.</w:t>
            </w:r>
          </w:p>
          <w:p>
            <w:pPr>
              <w:pStyle w:val="Normal"/>
              <w:keepNext w:val="false"/>
              <w:keepLines/>
              <w:widowControl w:val="false"/>
              <w:spacing w:lineRule="exact" w:line="260" w:before="0" w:after="0"/>
              <w:rPr/>
            </w:pPr>
            <w:hyperlink r:id="rId12">
              <w:r>
                <w:rPr>
                  <w:rStyle w:val="Style"/>
                  <w:rFonts w:eastAsia="Montserrat" w:cs="Montserrat"/>
                  <w:color w:val="4A0D14"/>
                  <w:sz w:val="23"/>
                  <w:szCs w:val="23"/>
                  <w:u w:val="single"/>
                </w:rPr>
                <w:t>INE/CG479/2026, anexo 2, página 17</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13 de junio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Cómputo de circunscripción plurinominal federal · Ámbito federal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Cómputo federal de diputaciones por el principio de representación proporcional.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 RP</w:t>
            </w:r>
          </w:p>
          <w:p>
            <w:pPr>
              <w:pStyle w:val="Normal"/>
              <w:keepNext w:val="false"/>
              <w:keepLines/>
              <w:widowControl w:val="false"/>
              <w:spacing w:lineRule="exact" w:line="260" w:before="0" w:after="0"/>
              <w:rPr/>
            </w:pPr>
            <w:hyperlink r:id="rId13">
              <w:r>
                <w:rPr>
                  <w:rStyle w:val="Style"/>
                  <w:rFonts w:eastAsia="Montserrat" w:cs="Montserrat"/>
                  <w:color w:val="4A0D14"/>
                  <w:sz w:val="23"/>
                  <w:szCs w:val="23"/>
                  <w:u w:val="single"/>
                </w:rPr>
                <w:t>INE/CG479/2026, anexo 2, página 17</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 de agosto de 2027 a 23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Asignación federal de diputaciones por representación proporcional · Ámbito federal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Periodo programado de asignación. Sus extremos no acreditan que la asignación se haya efectuado en esos días. El plazo para interponer el recurso de reconsideración contra la asignación por representación proporcional parte de la conclusión real de la sesión correspondiente.</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Asignación federal de diputaciones por representación proporcional</w:t>
            </w:r>
          </w:p>
          <w:p>
            <w:pPr>
              <w:pStyle w:val="Normal"/>
              <w:keepNext w:val="false"/>
              <w:keepLines/>
              <w:widowControl w:val="false"/>
              <w:spacing w:lineRule="exact" w:line="260" w:before="0" w:after="0"/>
              <w:rPr/>
            </w:pPr>
            <w:hyperlink r:id="rId14">
              <w:r>
                <w:rPr>
                  <w:rStyle w:val="Style"/>
                  <w:rFonts w:eastAsia="Montserrat" w:cs="Montserrat"/>
                  <w:color w:val="4A0D14"/>
                  <w:sz w:val="23"/>
                  <w:szCs w:val="23"/>
                  <w:u w:val="single"/>
                </w:rPr>
                <w:t>INE/CG479/2026, anexo 2, página 17; anexo 1, hoja Grantt_PIyC PEF 2026-2027, filas 506–507, columnas F:G</w:t>
              </w:r>
            </w:hyperlink>
            <w:r>
              <w:rPr>
                <w:rFonts w:eastAsia="Montserrat" w:cs="Montserrat"/>
                <w:b w:val="false"/>
                <w:color w:val="26211F"/>
                <w:sz w:val="23"/>
              </w:rPr>
              <w:t xml:space="preserve">; </w:t>
            </w:r>
            <w:hyperlink r:id="rId15">
              <w:r>
                <w:rPr>
                  <w:rStyle w:val="Style"/>
                  <w:rFonts w:eastAsia="Montserrat" w:cs="Montserrat"/>
                  <w:color w:val="4A0D14"/>
                  <w:sz w:val="23"/>
                  <w:szCs w:val="23"/>
                  <w:u w:val="single"/>
                </w:rPr>
                <w:t>LGSMIME, artículo 66.1.b</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federal</w:t>
      </w:r>
    </w:p>
    <w:p>
      <w:pPr>
        <w:pStyle w:val="Normal"/>
        <w:keepNext w:val="true"/>
        <w:keepLines/>
        <w:widowControl w:val="false"/>
        <w:spacing w:lineRule="exact" w:line="260" w:before="0" w:after="140"/>
        <w:rPr>
          <w:rFonts w:ascii="Montserrat" w:hAnsi="Montserrat" w:eastAsia="Montserrat" w:cs="Montserrat"/>
          <w:b w:val="false"/>
          <w:color w:val="26211F"/>
          <w:sz w:val="23"/>
        </w:rPr>
      </w:pPr>
      <w:r>
        <w:rPr>
          <w:rFonts w:eastAsia="Montserrat" w:cs="Montserrat"/>
          <w:b w:val="false"/>
          <w:color w:val="26211F"/>
          <w:sz w:val="23"/>
        </w:rPr>
        <w:t>Las fechas siguientes corresponden a la resolución de medios de impugnación; no son fechas para presentar la demanda.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Ley General del Sistema de Medios de Impugnación en Materia Electoral</w:t>
      </w:r>
    </w:p>
    <w:tbl>
      <w:tblPr>
        <w:tblW w:w="14706" w:type="dxa"/>
        <w:jc w:val="center"/>
        <w:tblInd w:w="0" w:type="dxa"/>
        <w:tblLayout w:type="fixed"/>
        <w:tblCellMar>
          <w:top w:w="60" w:type="dxa"/>
          <w:start w:w="60" w:type="dxa"/>
          <w:bottom w:w="60" w:type="dxa"/>
          <w:end w:w="60" w:type="dxa"/>
        </w:tblCellMar>
      </w:tblPr>
      <w:tblGrid>
        <w:gridCol w:w="1983"/>
        <w:gridCol w:w="12723"/>
      </w:tblGrid>
      <w:tr>
        <w:trPr>
          <w:tblHeader w:val="true"/>
          <w:cantSplit/>
        </w:trPr>
        <w:tc>
          <w:tcPr>
            <w:tcW w:w="1983"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Fecha</w:t>
            </w:r>
          </w:p>
        </w:tc>
        <w:tc>
          <w:tcPr>
            <w:tcW w:w="12723"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Medio, cargos y supuesto</w:t>
            </w:r>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legal para resolver juicios de inconformidad de diputaciones federales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w:t>
            </w:r>
          </w:p>
          <w:p>
            <w:pPr>
              <w:pStyle w:val="Normal"/>
              <w:keepNext w:val="false"/>
              <w:keepLines/>
              <w:widowControl w:val="false"/>
              <w:spacing w:lineRule="exact" w:line="260" w:before="0" w:after="0"/>
              <w:rPr/>
            </w:pPr>
            <w:hyperlink r:id="rId16">
              <w:r>
                <w:rPr>
                  <w:rStyle w:val="Style"/>
                  <w:rFonts w:eastAsia="Montserrat" w:cs="Montserrat"/>
                  <w:color w:val="4A0D14"/>
                  <w:sz w:val="23"/>
                  <w:szCs w:val="23"/>
                  <w:u w:val="single"/>
                </w:rPr>
                <w:t>Artículo 58.1</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19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Límite legal de resolución de recursos de reconsideración sobre cómputos distritales de diputaciones federales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La fecha se refiere a los recursos de reconsideración sobre cómputos distritales de diputaciones federales. Para los demás recursos de reconsideración, el artículo 69.1 establece la resolución a más tardar tres días antes de la instalación de las Cámaras, según el supuesto aplicable.</w:t>
            </w:r>
          </w:p>
          <w:p>
            <w:pPr>
              <w:pStyle w:val="Normal"/>
              <w:keepNext w:val="false"/>
              <w:keepLines/>
              <w:widowControl w:val="false"/>
              <w:spacing w:lineRule="exact" w:line="260" w:before="0" w:after="0"/>
              <w:rPr/>
            </w:pPr>
            <w:hyperlink r:id="rId17">
              <w:r>
                <w:rPr>
                  <w:rStyle w:val="Style"/>
                  <w:rFonts w:eastAsia="Montserrat" w:cs="Montserrat"/>
                  <w:color w:val="4A0D14"/>
                  <w:sz w:val="23"/>
                  <w:szCs w:val="23"/>
                  <w:u w:val="single"/>
                </w:rPr>
                <w:t>Artículo 69.1</w:t>
              </w:r>
            </w:hyperlink>
          </w:p>
        </w:tc>
      </w:tr>
    </w:tbl>
    <w:p>
      <w:pPr>
        <w:pStyle w:val="Normal"/>
        <w:keepNext w:val="true"/>
        <w:keepLines/>
        <w:widowControl w:val="false"/>
        <w:spacing w:lineRule="exact" w:line="260" w:before="140" w:after="60"/>
        <w:rPr>
          <w:rFonts w:ascii="Montserrat" w:hAnsi="Montserrat" w:eastAsia="Montserrat" w:cs="Montserrat"/>
          <w:b/>
          <w:color w:val="4A0D14"/>
          <w:sz w:val="23"/>
        </w:rPr>
      </w:pPr>
      <w:r>
        <w:rPr>
          <w:rFonts w:eastAsia="Montserrat" w:cs="Montserrat"/>
          <w:b/>
          <w:color w:val="4A0D14"/>
          <w:sz w:val="23"/>
        </w:rPr>
        <w:t>Asignación por representación proporcional y recurso de reconsideración</w:t>
      </w:r>
    </w:p>
    <w:p>
      <w:pPr>
        <w:pStyle w:val="Normal"/>
        <w:keepNext w:val="fals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El periodo del 1 al 23 de agosto es una programación de asignación. El plazo para interponer el recurso de reconsideración contra la asignación comienza al concluir la sesión en que el Consejo General la haya realizado; no se calcula a partir de los extremos programados.</w:t>
      </w:r>
    </w:p>
    <w:p>
      <w:pPr>
        <w:pStyle w:val="Normal"/>
        <w:keepNext w:val="false"/>
        <w:keepLines/>
        <w:widowControl w:val="false"/>
        <w:spacing w:lineRule="exact" w:line="260" w:before="0" w:after="0"/>
        <w:rPr/>
      </w:pPr>
      <w:hyperlink r:id="rId18">
        <w:r>
          <w:rPr>
            <w:rStyle w:val="Style"/>
            <w:rFonts w:eastAsia="Montserrat" w:cs="Montserrat"/>
            <w:color w:val="4A0D14"/>
            <w:sz w:val="23"/>
            <w:szCs w:val="23"/>
            <w:u w:val="single"/>
          </w:rPr>
          <w:t>LGSMIME, artículo 66.1.b</w:t>
        </w:r>
      </w:hyperlink>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Baja California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Electoral del Estado de Baja California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13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revisión. Diputaciones locales de mayoría relativa.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19">
              <w:r>
                <w:rPr>
                  <w:rStyle w:val="Style"/>
                  <w:rFonts w:eastAsia="Montserrat" w:cs="Montserrat"/>
                  <w:color w:val="4A0D14"/>
                  <w:sz w:val="23"/>
                  <w:szCs w:val="23"/>
                  <w:u w:val="single"/>
                </w:rPr>
                <w:t>Artículo 331, segundo párrafo, fracción 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31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revisión.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0">
              <w:r>
                <w:rPr>
                  <w:rStyle w:val="Style"/>
                  <w:rFonts w:eastAsia="Montserrat" w:cs="Montserrat"/>
                  <w:color w:val="4A0D14"/>
                  <w:sz w:val="23"/>
                  <w:szCs w:val="23"/>
                  <w:u w:val="single"/>
                </w:rPr>
                <w:t>Artículo 331, segundo párrafo, fracción III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Resolución de recursos. Diputaciones y munícipes de representación proporcional y otros recursos.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Regla general: treinta días desde la recepción por el Tribunal. Revisión del cómputo y asignación de diputaciones RP: doce días; asignación de munícipes RP: quince días, ambos desde su recepción. Resultados de MR y munícipes tienen topes propios.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Recepción del recurso por el Tribunal.</w:t>
            </w:r>
          </w:p>
          <w:p>
            <w:pPr>
              <w:pStyle w:val="Normal"/>
              <w:keepNext w:val="false"/>
              <w:keepLines/>
              <w:widowControl w:val="false"/>
              <w:spacing w:lineRule="exact" w:line="260" w:before="0" w:after="0"/>
              <w:rPr/>
            </w:pPr>
            <w:hyperlink r:id="rId21">
              <w:r>
                <w:rPr>
                  <w:rStyle w:val="Style"/>
                  <w:rFonts w:eastAsia="Montserrat" w:cs="Montserrat"/>
                  <w:color w:val="4A0D14"/>
                  <w:sz w:val="23"/>
                  <w:szCs w:val="23"/>
                  <w:u w:val="single"/>
                </w:rPr>
                <w:t>Artículo 331, párrafo primero y fracciones II y IV</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Baja California Sur</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del Sistema de Medios de Impugnación en Materia Electoral para el Estado de Baja California Sur</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25 de junio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impugnaciones de resultados.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2">
              <w:r>
                <w:rPr>
                  <w:rStyle w:val="Style"/>
                  <w:rFonts w:eastAsia="Montserrat" w:cs="Montserrat"/>
                  <w:color w:val="4A0D14"/>
                  <w:sz w:val="23"/>
                  <w:szCs w:val="23"/>
                  <w:u w:val="single"/>
                </w:rPr>
                <w:t>Artículo 61, párrafo tercero</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12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impugnaciones de resultados. Gubernatura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3">
              <w:r>
                <w:rPr>
                  <w:rStyle w:val="Style"/>
                  <w:rFonts w:eastAsia="Montserrat" w:cs="Montserrat"/>
                  <w:color w:val="4A0D14"/>
                  <w:sz w:val="23"/>
                  <w:szCs w:val="23"/>
                  <w:u w:val="single"/>
                </w:rPr>
                <w:t>Artículo 61, párrafo cuarto</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Campeche</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Instituciones y Procedimientos Electorales del Estado de Campeche</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20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Gubernatura.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4">
              <w:r>
                <w:rPr>
                  <w:rStyle w:val="Style"/>
                  <w:rFonts w:eastAsia="Montserrat" w:cs="Montserrat"/>
                  <w:color w:val="4A0D14"/>
                  <w:sz w:val="23"/>
                  <w:szCs w:val="23"/>
                  <w:u w:val="single"/>
                </w:rPr>
                <w:t>Artículo 738</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31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Diputaciones locales, presidencias y juntas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5">
              <w:r>
                <w:rPr>
                  <w:rStyle w:val="Style"/>
                  <w:rFonts w:eastAsia="Montserrat" w:cs="Montserrat"/>
                  <w:color w:val="4A0D14"/>
                  <w:sz w:val="23"/>
                  <w:szCs w:val="23"/>
                  <w:u w:val="single"/>
                </w:rPr>
                <w:t>Artículo 738</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Chiapas</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en Materia Electoral del Estado de Chiapas</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6">
              <w:r>
                <w:rPr>
                  <w:rStyle w:val="Style"/>
                  <w:rFonts w:eastAsia="Montserrat" w:cs="Montserrat"/>
                  <w:color w:val="4A0D14"/>
                  <w:sz w:val="23"/>
                  <w:szCs w:val="23"/>
                  <w:u w:val="single"/>
                </w:rPr>
                <w:t>Artículo 68, fracción II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31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7">
              <w:r>
                <w:rPr>
                  <w:rStyle w:val="Style"/>
                  <w:rFonts w:eastAsia="Montserrat" w:cs="Montserrat"/>
                  <w:color w:val="4A0D14"/>
                  <w:sz w:val="23"/>
                  <w:szCs w:val="23"/>
                  <w:u w:val="single"/>
                </w:rPr>
                <w:t>Artículo 68, fracción III</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Chihuahua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Electoral del Estado de Chihuahua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31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Gubernatura, diputaciones, ayuntamientos y sindicaturas.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8">
              <w:r>
                <w:rPr>
                  <w:rStyle w:val="Style"/>
                  <w:rFonts w:eastAsia="Montserrat" w:cs="Montserrat"/>
                  <w:color w:val="4A0D14"/>
                  <w:sz w:val="23"/>
                  <w:szCs w:val="23"/>
                  <w:u w:val="single"/>
                </w:rPr>
                <w:t>Artículo 379, numeral 2</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Ciudad de México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Procesal Electoral de la Ciudad de México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Juicios electorales de resultados. Diputaciones, alcaldías y concejalías.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Resolver a más tardar treinta días antes de la toma de posesión de las personas electas.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Toma de posesión del cargo correspondiente.</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Impugnación de cómputos totales y entrega de constancias de mayoría o asignación. La disposición comprende también Jefatura de Gobierno cuando se elige.</w:t>
            </w:r>
          </w:p>
          <w:p>
            <w:pPr>
              <w:pStyle w:val="Normal"/>
              <w:keepNext w:val="false"/>
              <w:keepLines/>
              <w:widowControl w:val="false"/>
              <w:spacing w:lineRule="exact" w:line="260" w:before="0" w:after="0"/>
              <w:rPr/>
            </w:pPr>
            <w:hyperlink r:id="rId29">
              <w:r>
                <w:rPr>
                  <w:rStyle w:val="Style"/>
                  <w:rFonts w:eastAsia="Montserrat" w:cs="Montserrat"/>
                  <w:color w:val="4A0D14"/>
                  <w:sz w:val="23"/>
                  <w:szCs w:val="23"/>
                  <w:u w:val="single"/>
                </w:rPr>
                <w:t>Artículo 110</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Coahuila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en Materia Político-Electoral y de Participación Ciudadana para el Estado de Coahuila de Zaragoza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Juicio electoral de resultados.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Resolver en un máximo de veinte días naturales una vez debidamente integrados.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Debida integración del expediente.</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Regla de los medios vinculados con el proceso. El recurso de inconformidad y el juicio de derechos políticos judiciales tienen reglas especiales y no se confunden con el juicio electoral de resultados.</w:t>
            </w:r>
          </w:p>
          <w:p>
            <w:pPr>
              <w:pStyle w:val="Normal"/>
              <w:keepNext w:val="false"/>
              <w:keepLines/>
              <w:widowControl w:val="false"/>
              <w:spacing w:lineRule="exact" w:line="260" w:before="0" w:after="0"/>
              <w:rPr/>
            </w:pPr>
            <w:hyperlink r:id="rId30">
              <w:r>
                <w:rPr>
                  <w:rStyle w:val="Style"/>
                  <w:rFonts w:eastAsia="Montserrat" w:cs="Montserrat"/>
                  <w:color w:val="4A0D14"/>
                  <w:sz w:val="23"/>
                  <w:szCs w:val="23"/>
                  <w:u w:val="single"/>
                </w:rPr>
                <w:t>Artículo 71 Bis</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Colima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Estatal del Sistema de Medios de Impugnación en Materia Electoral del Estado de Colima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Sustanciación y resolución de medios de impugnación. Gubernatura,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Quince días contados a partir del día siguiente a la resolución de admisión, para sustanciar y resolver los medios previstos por la ley.</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Día siguiente a la resolución de admisión.</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Reforma del 6 de julio de 2026, decreto 342. Deroga el artículo 66; sus antiguos topes no se utilizan. El artículo 59 conserva la referencia a quince días para inconformidad.</w:t>
            </w:r>
          </w:p>
          <w:p>
            <w:pPr>
              <w:pStyle w:val="Normal"/>
              <w:keepNext w:val="false"/>
              <w:keepLines/>
              <w:widowControl w:val="false"/>
              <w:spacing w:lineRule="exact" w:line="260" w:before="0" w:after="0"/>
              <w:rPr/>
            </w:pPr>
            <w:hyperlink r:id="rId31">
              <w:r>
                <w:rPr>
                  <w:rStyle w:val="Style"/>
                  <w:rFonts w:eastAsia="Montserrat" w:cs="Montserrat"/>
                  <w:color w:val="4A0D14"/>
                  <w:sz w:val="23"/>
                  <w:szCs w:val="23"/>
                  <w:u w:val="single"/>
                </w:rPr>
                <w:t>Artículo 26, párrafo final</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Durango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en Materia Electoral y de Participación Ciudadana para el estado de Durango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13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electorales.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32">
              <w:r>
                <w:rPr>
                  <w:rStyle w:val="Style"/>
                  <w:rFonts w:eastAsia="Montserrat" w:cs="Montserrat"/>
                  <w:color w:val="4A0D14"/>
                  <w:sz w:val="23"/>
                  <w:szCs w:val="23"/>
                  <w:u w:val="single"/>
                </w:rPr>
                <w:t>Artículo 48, numeral 2</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Estado de México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Código Electoral del Estado de México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16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impugnaciones de resultados.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33">
              <w:r>
                <w:rPr>
                  <w:rStyle w:val="Style"/>
                  <w:rFonts w:eastAsia="Montserrat" w:cs="Montserrat"/>
                  <w:color w:val="4A0D14"/>
                  <w:sz w:val="23"/>
                  <w:szCs w:val="23"/>
                  <w:u w:val="single"/>
                </w:rPr>
                <w:t>Artículo 447 II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noviembre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impugnaciones de resultados.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34">
              <w:r>
                <w:rPr>
                  <w:rStyle w:val="Style"/>
                  <w:rFonts w:eastAsia="Montserrat" w:cs="Montserrat"/>
                  <w:color w:val="4A0D14"/>
                  <w:sz w:val="23"/>
                  <w:szCs w:val="23"/>
                  <w:u w:val="single"/>
                </w:rPr>
                <w:t>Artículo 447 III</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Guanajuato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Instituciones y Procedimientos Electorales para el Estado de Guanajuato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Recurso de revisión.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Resolver dentro de veinticinco días desde la admisión; el Pleno puede autorizar diez días adicionales por causa justificada, sin impedir otra impugnación ni interferir con la toma de posesión.</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Auto de admisión; en su caso, ampliación autorizada por el Pleno.</w:t>
            </w:r>
          </w:p>
          <w:p>
            <w:pPr>
              <w:pStyle w:val="Normal"/>
              <w:keepNext w:val="false"/>
              <w:keepLines/>
              <w:widowControl w:val="false"/>
              <w:spacing w:lineRule="exact" w:line="260" w:before="0" w:after="0"/>
              <w:rPr/>
            </w:pPr>
            <w:hyperlink r:id="rId35">
              <w:r>
                <w:rPr>
                  <w:rStyle w:val="Style"/>
                  <w:rFonts w:eastAsia="Montserrat" w:cs="Montserrat"/>
                  <w:color w:val="4A0D14"/>
                  <w:sz w:val="23"/>
                  <w:szCs w:val="23"/>
                  <w:u w:val="single"/>
                </w:rPr>
                <w:t>Artículo 398</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Guerrero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Número 456 del Sistema de Medios de Impugnación en Materia Electoral del Estado de Guerrero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Juicio de inconformidad. Gubernatura,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Resolver dentro de seis días desde el cierre de instrucción y, en todo caso, al menos treinta días antes de la protesta de las personas electas.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Cierre de instrucción y fecha de protesta del cargo.</w:t>
            </w:r>
          </w:p>
          <w:p>
            <w:pPr>
              <w:pStyle w:val="Normal"/>
              <w:keepNext w:val="false"/>
              <w:keepLines/>
              <w:widowControl w:val="false"/>
              <w:spacing w:lineRule="exact" w:line="260" w:before="0" w:after="0"/>
              <w:rPr/>
            </w:pPr>
            <w:hyperlink r:id="rId36">
              <w:r>
                <w:rPr>
                  <w:rStyle w:val="Style"/>
                  <w:rFonts w:eastAsia="Montserrat" w:cs="Montserrat"/>
                  <w:color w:val="4A0D14"/>
                  <w:sz w:val="23"/>
                  <w:szCs w:val="23"/>
                  <w:u w:val="single"/>
                </w:rPr>
                <w:t>Artículo 56</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Hidalgo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Código Electoral del Estado de Hidalgo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Juicio de inconformidad.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Resolver la totalidad a más tardar al término de la primera semana de agosto del año electoral.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Año de la elección; intervalo legal sin día individualizado.</w:t>
            </w:r>
          </w:p>
          <w:p>
            <w:pPr>
              <w:pStyle w:val="Normal"/>
              <w:keepNext w:val="false"/>
              <w:keepLines/>
              <w:widowControl w:val="false"/>
              <w:spacing w:lineRule="exact" w:line="260" w:before="0" w:after="0"/>
              <w:rPr/>
            </w:pPr>
            <w:hyperlink r:id="rId37">
              <w:r>
                <w:rPr>
                  <w:rStyle w:val="Style"/>
                  <w:rFonts w:eastAsia="Montserrat" w:cs="Montserrat"/>
                  <w:color w:val="4A0D14"/>
                  <w:sz w:val="23"/>
                  <w:szCs w:val="23"/>
                  <w:u w:val="single"/>
                </w:rPr>
                <w:t>Artículo 371</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Jalisco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Código Electoral del Estado de Jalisco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10 de septiembre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impugnaciones de resultados. Munícipes.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38">
              <w:r>
                <w:rPr>
                  <w:rStyle w:val="Style"/>
                  <w:rFonts w:eastAsia="Montserrat" w:cs="Montserrat"/>
                  <w:color w:val="4A0D14"/>
                  <w:sz w:val="23"/>
                  <w:szCs w:val="23"/>
                  <w:u w:val="single"/>
                </w:rPr>
                <w:t>Artículo 633.1 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30 de septiembre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impugnaciones de resultados. Diputaciones locales de ambos principios.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39">
              <w:r>
                <w:rPr>
                  <w:rStyle w:val="Style"/>
                  <w:rFonts w:eastAsia="Montserrat" w:cs="Montserrat"/>
                  <w:color w:val="4A0D14"/>
                  <w:sz w:val="23"/>
                  <w:szCs w:val="23"/>
                  <w:u w:val="single"/>
                </w:rPr>
                <w:t>Artículo 633.1 II</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Michoacán</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Justicia en Materia Electoral y Participación Ciudadana del Estado de Michoacán de Ocampo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Juicio de inconformidad. Gubernatura,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Desde su recepción por el Tribunal: ayuntamientos, veinte días; diputaciones MR, treinta y un días; diputaciones RP, treinta y tres días; gubernatura, cuarenta y ocho días.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Recepción del juicio por el Tribunal.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El artículo contiene además reglas de elección judicial y mecanismos de participación ciudadana, ajenos a los cargos partidistas de este calendario.</w:t>
            </w:r>
          </w:p>
          <w:p>
            <w:pPr>
              <w:pStyle w:val="Normal"/>
              <w:keepNext w:val="false"/>
              <w:keepLines/>
              <w:widowControl w:val="false"/>
              <w:spacing w:lineRule="exact" w:line="260" w:before="0" w:after="0"/>
              <w:rPr/>
            </w:pPr>
            <w:hyperlink r:id="rId40">
              <w:r>
                <w:rPr>
                  <w:rStyle w:val="Style"/>
                  <w:rFonts w:eastAsia="Montserrat" w:cs="Montserrat"/>
                  <w:color w:val="4A0D14"/>
                  <w:sz w:val="23"/>
                  <w:szCs w:val="23"/>
                  <w:u w:val="single"/>
                </w:rPr>
                <w:t>Artículo 63 I–IV</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Morelos</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Código de Instituciones y Procedimientos Electorales para el Estado de Morelos</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inconformidad.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Se exceptúan los casos del artículo 319, fracción III, inciso a), sujetos al plazo especial de recepción.</w:t>
            </w:r>
          </w:p>
          <w:p>
            <w:pPr>
              <w:pStyle w:val="Normal"/>
              <w:keepNext w:val="false"/>
              <w:keepLines/>
              <w:widowControl w:val="false"/>
              <w:spacing w:lineRule="exact" w:line="260" w:before="0" w:after="0"/>
              <w:rPr/>
            </w:pPr>
            <w:hyperlink r:id="rId41">
              <w:r>
                <w:rPr>
                  <w:rStyle w:val="Style"/>
                  <w:rFonts w:eastAsia="Montserrat" w:cs="Montserrat"/>
                  <w:color w:val="4A0D14"/>
                  <w:sz w:val="23"/>
                  <w:szCs w:val="23"/>
                  <w:u w:val="single"/>
                </w:rPr>
                <w:t>Artículo 367, fracción 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 de septiembre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inconformidad.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Se exceptúan los casos del artículo 319, fracción III, inciso a), sujetos al plazo especial de recepción.</w:t>
            </w:r>
          </w:p>
          <w:p>
            <w:pPr>
              <w:pStyle w:val="Normal"/>
              <w:keepNext w:val="false"/>
              <w:keepLines/>
              <w:widowControl w:val="false"/>
              <w:spacing w:lineRule="exact" w:line="260" w:before="0" w:after="0"/>
              <w:rPr/>
            </w:pPr>
            <w:hyperlink r:id="rId42">
              <w:r>
                <w:rPr>
                  <w:rStyle w:val="Style"/>
                  <w:rFonts w:eastAsia="Montserrat" w:cs="Montserrat"/>
                  <w:color w:val="4A0D14"/>
                  <w:sz w:val="23"/>
                  <w:szCs w:val="23"/>
                  <w:u w:val="single"/>
                </w:rPr>
                <w:t>Artículo 367, fracción III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Inconformidad de cómputos distritales o municipales.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Resolver dentro de treinta días naturales desde la recepción, para el supuesto específico del artículo 319 III a. Los demás supuestos tienen topes por elección.</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Recepción del recurso.</w:t>
            </w:r>
          </w:p>
          <w:p>
            <w:pPr>
              <w:pStyle w:val="Normal"/>
              <w:keepNext w:val="false"/>
              <w:keepLines/>
              <w:widowControl w:val="false"/>
              <w:spacing w:lineRule="exact" w:line="260" w:before="0" w:after="0"/>
              <w:rPr/>
            </w:pPr>
            <w:hyperlink r:id="rId43">
              <w:r>
                <w:rPr>
                  <w:rStyle w:val="Style"/>
                  <w:rFonts w:eastAsia="Montserrat" w:cs="Montserrat"/>
                  <w:color w:val="4A0D14"/>
                  <w:sz w:val="23"/>
                  <w:szCs w:val="23"/>
                  <w:u w:val="single"/>
                </w:rPr>
                <w:t>Artículo 319 III a;367, párrafo primero</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Nayarit</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Justicia Electoral para el Estado de Nayarit</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Juicio de inconformidad. Gubernatura,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Gubernatura y ayuntamientos: cincuenta días naturales; diputaciones: veinticinco días naturales.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Cierre del acta de cómputo y declaraciones de validez respectivas.</w:t>
            </w:r>
          </w:p>
          <w:p>
            <w:pPr>
              <w:pStyle w:val="Normal"/>
              <w:keepNext w:val="false"/>
              <w:keepLines/>
              <w:widowControl w:val="false"/>
              <w:spacing w:lineRule="exact" w:line="260" w:before="0" w:after="0"/>
              <w:rPr/>
            </w:pPr>
            <w:hyperlink r:id="rId44">
              <w:r>
                <w:rPr>
                  <w:rStyle w:val="Style"/>
                  <w:rFonts w:eastAsia="Montserrat" w:cs="Montserrat"/>
                  <w:color w:val="4A0D14"/>
                  <w:sz w:val="23"/>
                  <w:szCs w:val="23"/>
                  <w:u w:val="single"/>
                </w:rPr>
                <w:t>Artículo 84</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Nuevo León</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Electoral para el Estado de Nuevo León</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Resolución de recurso o juicio. Gubernatura,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Dictar la resolución o sentencia en un plazo máximo de diez días después de concluir la audiencia.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Conclusión de la audiencia de calificación, admisión, recepción de pruebas y alegatos.</w:t>
            </w:r>
          </w:p>
          <w:p>
            <w:pPr>
              <w:pStyle w:val="Normal"/>
              <w:keepNext w:val="false"/>
              <w:keepLines/>
              <w:widowControl w:val="false"/>
              <w:spacing w:lineRule="exact" w:line="260" w:before="0" w:after="0"/>
              <w:rPr/>
            </w:pPr>
            <w:hyperlink r:id="rId45">
              <w:r>
                <w:rPr>
                  <w:rStyle w:val="Style"/>
                  <w:rFonts w:eastAsia="Montserrat" w:cs="Montserrat"/>
                  <w:color w:val="4A0D14"/>
                  <w:sz w:val="23"/>
                  <w:szCs w:val="23"/>
                  <w:u w:val="single"/>
                </w:rPr>
                <w:t>Artículo 305</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Oaxaca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del Sistema de Medios de Impugnación en Materia Electoral y de Participación Ciudadana para el estado de Oaxaca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 de septiembre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inconformidad.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46">
              <w:r>
                <w:rPr>
                  <w:rStyle w:val="Style"/>
                  <w:rFonts w:eastAsia="Montserrat" w:cs="Montserrat"/>
                  <w:color w:val="4A0D14"/>
                  <w:sz w:val="23"/>
                  <w:szCs w:val="23"/>
                  <w:u w:val="single"/>
                </w:rPr>
                <w:t>Artículo 70</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octubre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inconformidad. Concejalías por sistema de partidos.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Impugnaciones de resultados de concejalías por el sistema de partidos políticos; no comprende elecciones por sistemas normativos internos.</w:t>
            </w:r>
          </w:p>
          <w:p>
            <w:pPr>
              <w:pStyle w:val="Normal"/>
              <w:keepNext w:val="false"/>
              <w:keepLines/>
              <w:widowControl w:val="false"/>
              <w:spacing w:lineRule="exact" w:line="260" w:before="0" w:after="0"/>
              <w:rPr/>
            </w:pPr>
            <w:hyperlink r:id="rId47">
              <w:r>
                <w:rPr>
                  <w:rStyle w:val="Style"/>
                  <w:rFonts w:eastAsia="Montserrat" w:cs="Montserrat"/>
                  <w:color w:val="4A0D14"/>
                  <w:sz w:val="23"/>
                  <w:szCs w:val="23"/>
                  <w:u w:val="single"/>
                </w:rPr>
                <w:t>Artículo 70</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Puebla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Código de Instituciones y Procesos Electorales del Estado de Puebla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Resolución de recurso jurisdiccional de inconformidad. Diputaciones y ayuntamientos por ambos principios.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A más tardar diez días antes de la fecha de instalación del Congreso y de toma de posesión de los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Instalación del Congreso o toma de posesión del ayuntamiento correspondiente.</w:t>
            </w:r>
          </w:p>
          <w:p>
            <w:pPr>
              <w:pStyle w:val="Normal"/>
              <w:keepNext w:val="false"/>
              <w:keepLines/>
              <w:widowControl w:val="false"/>
              <w:spacing w:lineRule="exact" w:line="260" w:before="0" w:after="0"/>
              <w:rPr/>
            </w:pPr>
            <w:hyperlink r:id="rId48">
              <w:r>
                <w:rPr>
                  <w:rStyle w:val="Style"/>
                  <w:rFonts w:eastAsia="Montserrat" w:cs="Montserrat"/>
                  <w:color w:val="4A0D14"/>
                  <w:sz w:val="23"/>
                  <w:szCs w:val="23"/>
                  <w:u w:val="single"/>
                </w:rPr>
                <w:t>Artículo 373, fracción III, inciso b)</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Querétaro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en Materia Electoral del Estado de Querétaro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Sustanciación de apelación y juicio de nulidad. Gubernatura,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Pruebas: diez días desde admisión, ampliables cinco por acuerdo; proyecto: máximo ocho días tras cierre; estudio por magistraturas: hasta tres días previos a la sesión.</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Admisión y cierre de instrucción, según cada fase.</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Son fases del trámite; no se presenta su suma como un vencimiento ni como una fecha fija de sesión.</w:t>
            </w:r>
          </w:p>
          <w:p>
            <w:pPr>
              <w:pStyle w:val="Normal"/>
              <w:keepNext w:val="false"/>
              <w:keepLines/>
              <w:widowControl w:val="false"/>
              <w:spacing w:lineRule="exact" w:line="260" w:before="0" w:after="0"/>
              <w:rPr/>
            </w:pPr>
            <w:hyperlink r:id="rId49">
              <w:r>
                <w:rPr>
                  <w:rStyle w:val="Style"/>
                  <w:rFonts w:eastAsia="Montserrat" w:cs="Montserrat"/>
                  <w:color w:val="4A0D14"/>
                  <w:sz w:val="23"/>
                  <w:szCs w:val="23"/>
                  <w:u w:val="single"/>
                </w:rPr>
                <w:t>Artículo 79 I–III;94</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Quintana Roo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Estatal de Medios de Impugnación en Materia Electoral de Quintana Roo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Diputaciones locales de mayoría relativa.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0">
              <w:r>
                <w:rPr>
                  <w:rStyle w:val="Style"/>
                  <w:rFonts w:eastAsia="Montserrat" w:cs="Montserrat"/>
                  <w:color w:val="4A0D14"/>
                  <w:sz w:val="23"/>
                  <w:szCs w:val="23"/>
                  <w:u w:val="single"/>
                </w:rPr>
                <w:t>Artículo 93, fracción II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18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Diputaciones locales de representación proporcional.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impugne el cómputo o la asignación correspondiente.</w:t>
            </w:r>
          </w:p>
          <w:p>
            <w:pPr>
              <w:pStyle w:val="Normal"/>
              <w:keepNext w:val="false"/>
              <w:keepLines/>
              <w:widowControl w:val="false"/>
              <w:spacing w:lineRule="exact" w:line="260" w:before="0" w:after="0"/>
              <w:rPr/>
            </w:pPr>
            <w:hyperlink r:id="rId51">
              <w:r>
                <w:rPr>
                  <w:rStyle w:val="Style"/>
                  <w:rFonts w:eastAsia="Montserrat" w:cs="Montserrat"/>
                  <w:color w:val="4A0D14"/>
                  <w:sz w:val="23"/>
                  <w:szCs w:val="23"/>
                  <w:u w:val="single"/>
                </w:rPr>
                <w:t>Artículo 93, fracción IV</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20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Gubernatura: cómputos distritales.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2">
              <w:r>
                <w:rPr>
                  <w:rStyle w:val="Style"/>
                  <w:rFonts w:eastAsia="Montserrat" w:cs="Montserrat"/>
                  <w:color w:val="4A0D14"/>
                  <w:sz w:val="23"/>
                  <w:szCs w:val="23"/>
                  <w:u w:val="single"/>
                </w:rPr>
                <w:t>Artículo 93, fracción 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25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3">
              <w:r>
                <w:rPr>
                  <w:rStyle w:val="Style"/>
                  <w:rFonts w:eastAsia="Montserrat" w:cs="Montserrat"/>
                  <w:color w:val="4A0D14"/>
                  <w:sz w:val="23"/>
                  <w:szCs w:val="23"/>
                  <w:u w:val="single"/>
                </w:rPr>
                <w:t>Artículo 93, fracción III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28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Regidurías de representación proporcional.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impugne el cómputo o la asignación correspondiente.</w:t>
            </w:r>
          </w:p>
          <w:p>
            <w:pPr>
              <w:pStyle w:val="Normal"/>
              <w:keepNext w:val="false"/>
              <w:keepLines/>
              <w:widowControl w:val="false"/>
              <w:spacing w:lineRule="exact" w:line="260" w:before="0" w:after="0"/>
              <w:rPr/>
            </w:pPr>
            <w:hyperlink r:id="rId54">
              <w:r>
                <w:rPr>
                  <w:rStyle w:val="Style"/>
                  <w:rFonts w:eastAsia="Montserrat" w:cs="Montserrat"/>
                  <w:color w:val="4A0D14"/>
                  <w:sz w:val="23"/>
                  <w:szCs w:val="23"/>
                  <w:u w:val="single"/>
                </w:rPr>
                <w:t>Artículo 93, fracción V</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30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Gubernatura: cómputo estatal.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5">
              <w:r>
                <w:rPr>
                  <w:rStyle w:val="Style"/>
                  <w:rFonts w:eastAsia="Montserrat" w:cs="Montserrat"/>
                  <w:color w:val="4A0D14"/>
                  <w:sz w:val="23"/>
                  <w:szCs w:val="23"/>
                  <w:u w:val="single"/>
                </w:rPr>
                <w:t>Artículo 93, fracción I</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San Luis Potosí</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Justicia Electoral para el Estado de San Luis Potosí</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electoral.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6">
              <w:r>
                <w:rPr>
                  <w:rStyle w:val="Style"/>
                  <w:rFonts w:eastAsia="Montserrat" w:cs="Montserrat"/>
                  <w:color w:val="4A0D14"/>
                  <w:sz w:val="23"/>
                  <w:szCs w:val="23"/>
                  <w:u w:val="single"/>
                </w:rPr>
                <w:t>Artículo 66</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25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electoral. Gubernatura.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7">
              <w:r>
                <w:rPr>
                  <w:rStyle w:val="Style"/>
                  <w:rFonts w:eastAsia="Montserrat" w:cs="Montserrat"/>
                  <w:color w:val="4A0D14"/>
                  <w:sz w:val="23"/>
                  <w:szCs w:val="23"/>
                  <w:u w:val="single"/>
                </w:rPr>
                <w:t>Artículo 66</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30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electoral.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8">
              <w:r>
                <w:rPr>
                  <w:rStyle w:val="Style"/>
                  <w:rFonts w:eastAsia="Montserrat" w:cs="Montserrat"/>
                  <w:color w:val="4A0D14"/>
                  <w:sz w:val="23"/>
                  <w:szCs w:val="23"/>
                  <w:u w:val="single"/>
                </w:rPr>
                <w:t>Artículo 66</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Sinaloa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del Sistema de Medios de Impugnación en Materia Electoral y de Participación Ciudadana para el Estado de Sinaloa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Cómputo final y declaración de validez. Gubernatura.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Celebrar la sesión de cómputo final y declaraciones a más tardar en la segunda quincena de septiembre del año electoral.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Calificación de la elección de gubernatura considerando las resoluciones de los recursos.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Acto de calificación del Tribunal; no es el plazo para presentar una demanda ni el plazo individual para resolver un recurso.</w:t>
            </w:r>
          </w:p>
          <w:p>
            <w:pPr>
              <w:pStyle w:val="Normal"/>
              <w:keepNext w:val="false"/>
              <w:keepLines/>
              <w:widowControl w:val="false"/>
              <w:spacing w:lineRule="exact" w:line="260" w:before="0" w:after="0"/>
              <w:rPr/>
            </w:pPr>
            <w:hyperlink r:id="rId59">
              <w:r>
                <w:rPr>
                  <w:rStyle w:val="Style"/>
                  <w:rFonts w:eastAsia="Montserrat" w:cs="Montserrat"/>
                  <w:color w:val="4A0D14"/>
                  <w:sz w:val="23"/>
                  <w:szCs w:val="23"/>
                  <w:u w:val="single"/>
                </w:rPr>
                <w:t>Artículo 142–144</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Sonora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Instituciones y Procedimientos Electorales para el Estado de Sonora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31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queja. Gubernatura, diputaciones y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0">
              <w:r>
                <w:rPr>
                  <w:rStyle w:val="Style"/>
                  <w:rFonts w:eastAsia="Montserrat" w:cs="Montserrat"/>
                  <w:color w:val="4A0D14"/>
                  <w:sz w:val="23"/>
                  <w:szCs w:val="23"/>
                  <w:u w:val="single"/>
                </w:rPr>
                <w:t>Artículo 360</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Tabasco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en Materia Electoral del Estado de Tabasco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30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1">
              <w:r>
                <w:rPr>
                  <w:rStyle w:val="Style"/>
                  <w:rFonts w:eastAsia="Montserrat" w:cs="Montserrat"/>
                  <w:color w:val="4A0D14"/>
                  <w:sz w:val="23"/>
                  <w:szCs w:val="23"/>
                  <w:u w:val="single"/>
                </w:rPr>
                <w:t>Artículo 60</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Presidencias municipales y regidurías.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2">
              <w:r>
                <w:rPr>
                  <w:rStyle w:val="Style"/>
                  <w:rFonts w:eastAsia="Montserrat" w:cs="Montserrat"/>
                  <w:color w:val="4A0D14"/>
                  <w:sz w:val="23"/>
                  <w:szCs w:val="23"/>
                  <w:u w:val="single"/>
                </w:rPr>
                <w:t>Artículo 60</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Tamaulipas</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Electorales de Tamaulipas</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20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inconformidad. Diputaciones locales y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3">
              <w:r>
                <w:rPr>
                  <w:rStyle w:val="Style"/>
                  <w:rFonts w:eastAsia="Montserrat" w:cs="Montserrat"/>
                  <w:color w:val="4A0D14"/>
                  <w:sz w:val="23"/>
                  <w:szCs w:val="23"/>
                  <w:u w:val="single"/>
                </w:rPr>
                <w:t>Artículo 75</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Tlaxcala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en Materia Electoral para el Estado de Tlaxcala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electorales. Gubernatura, diputaciones, presidencias municipales y de comunidad.</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4">
              <w:r>
                <w:rPr>
                  <w:rStyle w:val="Style"/>
                  <w:rFonts w:eastAsia="Montserrat" w:cs="Montserrat"/>
                  <w:color w:val="4A0D14"/>
                  <w:sz w:val="23"/>
                  <w:szCs w:val="23"/>
                  <w:u w:val="single"/>
                </w:rPr>
                <w:t>Artículo 89, primer párrafo</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Veracruz</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Código número 577 Electoral para el Estado de Veracruz de Ignacio de la Llave</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Inconformidad y apelación. Diputaciones.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Inconformidad de resultados: a más tardar quince días antes de concluir el proceso; cómputo de circunscripción plurinominal: cinco días antes. Apelación: cinco días desde su admisión.</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Conclusión del proceso electoral respectivo; para apelación, auto de admisión.</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La disposición de inconformidad comprende también gubernatura y ayuntamientos cuando se eligen.</w:t>
            </w:r>
          </w:p>
          <w:p>
            <w:pPr>
              <w:pStyle w:val="Normal"/>
              <w:keepNext w:val="false"/>
              <w:keepLines/>
              <w:widowControl w:val="false"/>
              <w:spacing w:lineRule="exact" w:line="260" w:before="0" w:after="0"/>
              <w:rPr/>
            </w:pPr>
            <w:hyperlink r:id="rId65">
              <w:r>
                <w:rPr>
                  <w:rStyle w:val="Style"/>
                  <w:rFonts w:eastAsia="Montserrat" w:cs="Montserrat"/>
                  <w:color w:val="4A0D14"/>
                  <w:sz w:val="23"/>
                  <w:szCs w:val="23"/>
                  <w:u w:val="single"/>
                </w:rPr>
                <w:t>Artículo 381</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Yucatán</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del Sistema de Medios de Impugnación en Materia Electoral del Estado de Yucatán</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Resolución de recursos de inconformidad.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A más tardar cinco días después de que conozca el recurso el Tribunal.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Conocimiento del recurso por el Tribunal.</w:t>
            </w:r>
          </w:p>
          <w:p>
            <w:pPr>
              <w:pStyle w:val="Normal"/>
              <w:keepNext w:val="false"/>
              <w:keepLines/>
              <w:widowControl w:val="false"/>
              <w:spacing w:lineRule="exact" w:line="260" w:before="0" w:after="0"/>
              <w:rPr/>
            </w:pPr>
            <w:hyperlink r:id="rId66">
              <w:r>
                <w:rPr>
                  <w:rStyle w:val="Style"/>
                  <w:rFonts w:eastAsia="Montserrat" w:cs="Montserrat"/>
                  <w:color w:val="4A0D14"/>
                  <w:sz w:val="23"/>
                  <w:szCs w:val="23"/>
                  <w:u w:val="single"/>
                </w:rPr>
                <w:t>Artículo 66, fracción II</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Zacatecas</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del Sistema de Medios de Impugnación Electoral del Estado de Zacatecas</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5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electoral. Diputaciones locales y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7">
              <w:r>
                <w:rPr>
                  <w:rStyle w:val="Style"/>
                  <w:rFonts w:eastAsia="Montserrat" w:cs="Montserrat"/>
                  <w:color w:val="4A0D14"/>
                  <w:sz w:val="23"/>
                  <w:szCs w:val="23"/>
                  <w:u w:val="single"/>
                </w:rPr>
                <w:t>Artículo 62</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electoral. Gubernatura.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8">
              <w:r>
                <w:rPr>
                  <w:rStyle w:val="Style"/>
                  <w:rFonts w:eastAsia="Montserrat" w:cs="Montserrat"/>
                  <w:color w:val="4A0D14"/>
                  <w:sz w:val="23"/>
                  <w:szCs w:val="23"/>
                  <w:u w:val="single"/>
                </w:rPr>
                <w:t>Artículo 62</w:t>
              </w:r>
            </w:hyperlink>
          </w:p>
        </w:tc>
      </w:tr>
    </w:tbl>
    <w:p>
      <w:pPr>
        <w:pStyle w:val="Normal"/>
        <w:keepNext w:val="false"/>
        <w:keepLines/>
        <w:widowControl w:val="false"/>
        <w:spacing w:lineRule="exact" w:line="260" w:before="0" w:after="40"/>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Baja California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Electoral del Estado de Baja California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331, párrafo primero y segundo párrafo, fracciones I a IV</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331.- Los recursos serán resueltos por mayoría de los integrantes del Tribunal Electoral, dentro de los treinta días siguientes a aquel en que fue recibido por el Tribunal.</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recursos de revisión previstos en esta Ley, se resolverán conforme a los siguientes plazos: I. A más tardar el 13 de julio del año de la elección, los relativos a la elección de diputados por el principio de mayoría relativa; II. Dentro de los 12 días siguientes a aquel en que fueron recibidos por el Tribunal Electoral, cuando se impugne el cómputo de la elección de diputados por el principio de representación proporcional y la asignación que realice el Consejo General; III. A más tardar el 31 de agosto del año de la elección, los relativos a la elección de munícipes; IV. Dentro de los 15 días siguientes a aquel en que fueron recibidos por el Tribunal electoral, cuando - se impugne la asignación de munícipes por el principio de representación proporcional, y</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Comprende la regla general y los supuestos de diputaciones y munícipes. La fracción V sobre gubernatura se excluye de estas fechas por la reserva constitucional expuesta en el apartado de Baja California.</w:t>
            </w:r>
          </w:p>
          <w:p>
            <w:pPr>
              <w:pStyle w:val="Normal"/>
              <w:keepNext w:val="false"/>
              <w:keepLines/>
              <w:widowControl w:val="false"/>
              <w:spacing w:lineRule="exact" w:line="260" w:before="0" w:after="0"/>
              <w:rPr/>
            </w:pPr>
            <w:hyperlink r:id="rId69" w:tooltip="Ley Electoral del Estado de Baja California · artículo 331, párrafo primero y segundo párrafo, fracciones I a IV">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Baja California Sur</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en Materia Electoral para el Estado de Baja California Sur</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61, párrafos tercero y cuarto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Juicios de Inconformidad serán resueltos por la mayoría simple de las Magistradas y Magistrados del Tribunal Estatal Electoral, en el orden en que sean listados para cada sesión, salvo que el Pleno acuerde su modificación. Los Juicios de Inconformidad interpuestos para impugnar los resultados de la elección de Diputadas y Diputados, deberán ser resueltos en su totalidad a más tardar el día 25 de junio del año de la elección.</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Por lo que hace a los Juicios de Inconformidad presentados para impugnar los resultados de la elección de Titular de la Gubernatura del Estado y de Ayuntamientos, éstos deberán ser resueltos a más tardar el día 12 de julio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Juicios de inconformidad de resultados; no se utilizan las fechas excepcionales de los transitorios para 2018.</w:t>
            </w:r>
          </w:p>
          <w:p>
            <w:pPr>
              <w:pStyle w:val="Normal"/>
              <w:keepNext w:val="false"/>
              <w:keepLines/>
              <w:widowControl w:val="false"/>
              <w:spacing w:lineRule="exact" w:line="260" w:before="0" w:after="0"/>
              <w:rPr/>
            </w:pPr>
            <w:hyperlink r:id="rId70" w:tooltip="Ley del Sistema de Medios de Impugnación en Materia Electoral para el Estado de Baja California Sur · artículo 61, párrafos tercero y cuarto">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Campeche</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Instituciones y Procedimientos Electorales del Estado de Campeche</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738</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 738.- Los juicios de inconformidad de la elección de Gobernador deberán quedar resueltos a más tardar el día veinte de agosto del año de la elección. Los relativos a las elecciones de diputados y de Presidente, regidores y síndicos de ayuntamientos y de juntas Municipales, deberán quedar resueltos a más tardar el día treinta y uno de agosto del año de la elección.</w:t>
            </w:r>
          </w:p>
          <w:p>
            <w:pPr>
              <w:pStyle w:val="Normal"/>
              <w:keepNext w:val="false"/>
              <w:keepLines/>
              <w:widowControl w:val="false"/>
              <w:spacing w:lineRule="exact" w:line="260" w:before="0" w:after="0"/>
              <w:rPr/>
            </w:pPr>
            <w:hyperlink r:id="rId71" w:tooltip="Ley de Instituciones y Procedimientos Electorales del Estado de Campeche · artículo 738">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Chiapas</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Electoral del Estado de Chiapas</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68, numeral 1, fracciones II y III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El Juicio de Inconformidad deberá resolverse por el Tribunal, dentro de los siguientes plazos:</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 Para la elección de Diputados o Diputadas, a más tardar el día quince de agosto del año de la elección.</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III. Para la elección de miembros de Ayuntamientos, a más tardar el treinta y uno de agosto del año de la elección.</w:t>
            </w:r>
          </w:p>
          <w:p>
            <w:pPr>
              <w:pStyle w:val="Normal"/>
              <w:keepNext w:val="false"/>
              <w:keepLines/>
              <w:widowControl w:val="false"/>
              <w:spacing w:lineRule="exact" w:line="260" w:before="0" w:after="0"/>
              <w:rPr/>
            </w:pPr>
            <w:hyperlink r:id="rId72" w:tooltip="Ley de Medios de Impugnación en Materia Electoral del Estado de Chiapas · artículo 68, numeral 1, fracciones II y III">
              <w:r>
                <w:rPr>
                  <w:rStyle w:val="Style"/>
                  <w:rFonts w:eastAsia="Montserrat" w:cs="Montserrat"/>
                  <w:color w:val="4A0D14"/>
                  <w:sz w:val="23"/>
                  <w:szCs w:val="23"/>
                  <w:u w:val="single"/>
                </w:rPr>
                <w:t>Fuente: Instituto de Elecciones y Participación Ciudadana de Chiapas</w:t>
              </w:r>
            </w:hyperlink>
          </w:p>
        </w:tc>
      </w:tr>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Chihuahua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Electoral del Estado de Chihuahua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379, numeral 2</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2) Todos los juicios de inconformidad deberán quedar resueltos a más tardar el treinta y uno de julio del año de la elección.</w:t>
            </w:r>
          </w:p>
          <w:p>
            <w:pPr>
              <w:pStyle w:val="Normal"/>
              <w:keepNext w:val="false"/>
              <w:keepLines/>
              <w:widowControl w:val="false"/>
              <w:spacing w:lineRule="exact" w:line="260" w:before="0" w:after="0"/>
              <w:rPr/>
            </w:pPr>
            <w:hyperlink r:id="rId73" w:tooltip="Ley Electoral del Estado de Chihuahua · artículo 379, numeral 2">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Ciudad de México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Procesal Electoral de la Ciudad de México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110</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110. Los juicios electorales por los que se impugnen cómputos totales y constancias de mayoría o asignación, deberán ser resueltos a más tardar treinta días antes de la toma de posesión de Diputaciones, Alcaldías y concejales o Jefatura de Gobierno.</w:t>
            </w:r>
          </w:p>
          <w:p>
            <w:pPr>
              <w:pStyle w:val="Normal"/>
              <w:keepNext w:val="false"/>
              <w:keepLines/>
              <w:widowControl w:val="false"/>
              <w:spacing w:lineRule="exact" w:line="260" w:before="0" w:after="0"/>
              <w:rPr/>
            </w:pPr>
            <w:hyperlink r:id="rId74" w:tooltip="Ley Procesal Electoral de la Ciudad de México · artículo 110">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Coahuila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Político-Electoral y de Participación Ciudadana para el Estado de Coahuila de Zaragoza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71 Bis, párrafo primero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Una vez que se encuentren debidamente integrados, los medios de impugnación relacionados con un proceso electoral local se resolverán en un plazo no mayor de veinte días naturales; aquellos que no lo estén, se resolverán en un plazo máximo de treinta días hábiles, con excepción del recurso de inconformidad, el cual se resolverá en un plazo máximo de quince días hábiles, y el juicio para la protección de los derechos políticos-judiciales, se resolverá en un plazo no mayor a diez días hábiles.</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En los resultados ordinarios del proceso electoral local se conserva la regla de veinte días naturales desde la debida integración. El párrafo transcrito distingue los asuntos ajenos al proceso y las vías especiales.</w:t>
            </w:r>
          </w:p>
          <w:p>
            <w:pPr>
              <w:pStyle w:val="Normal"/>
              <w:keepNext w:val="false"/>
              <w:keepLines/>
              <w:widowControl w:val="false"/>
              <w:spacing w:lineRule="exact" w:line="260" w:before="0" w:after="0"/>
              <w:rPr/>
            </w:pPr>
            <w:hyperlink r:id="rId75" w:tooltip="Ley de Medios de Impugnación en Materia Político-Electoral y de Participación Ciudadana para el Estado de Coahuila de Zaragoza · artículo 71 Bis, párrafo primero">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Colima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Estatal del Sistema de Medios de Impugnación en Materia Electoral del Estado de Colima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26, párrafo final</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El TRIBUNAL dispondrá de 15 días, contados a partir del día siguiente al en que se dicte la resolución de admisión, para substanciar y resolver los medios de impugnación que regula esta ley.</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Texto del Decreto 342, publicado el 6 de julio de 2026. El mismo decreto deroga el artículo 66.</w:t>
            </w:r>
          </w:p>
          <w:p>
            <w:pPr>
              <w:pStyle w:val="Normal"/>
              <w:keepNext w:val="false"/>
              <w:keepLines/>
              <w:widowControl w:val="false"/>
              <w:spacing w:lineRule="exact" w:line="260" w:before="0" w:after="0"/>
              <w:rPr/>
            </w:pPr>
            <w:hyperlink r:id="rId76" w:tooltip="Ley Estatal del Sistema de Medios de Impugnación en Materia Electoral del Estado de Colima · artículo 26, párrafo final">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Colima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Estatal del Sistema de Medios de Impugnación en Materia Electoral del Estado de Colima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59, párrafo final</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juicios de inconformidad serán resueltos por el TRIBUNAL dentro de los 15 días siguientes a aquel en que se admitan.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Regla del juicio de inconformidad mencionada junto con la regla general del artículo 26 reformado en 2026.</w:t>
            </w:r>
          </w:p>
          <w:p>
            <w:pPr>
              <w:pStyle w:val="Normal"/>
              <w:keepNext w:val="false"/>
              <w:keepLines/>
              <w:widowControl w:val="false"/>
              <w:spacing w:lineRule="exact" w:line="260" w:before="0" w:after="0"/>
              <w:rPr/>
            </w:pPr>
            <w:hyperlink r:id="rId77" w:tooltip="Ley Estatal del Sistema de Medios de Impugnación en Materia Electoral del Estado de Colima · artículo 59, párrafo final">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Durango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Electoral y de Participación Ciudadana para el estado de Durango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48, numeral 2</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2. Los juicios Electorales relativos a los cómputos, declaraciones de validez y entrega de constancias de mayoría de las elecciones de diputados y ayuntamientos deberán quedar resueltos a mas tardar el día trece de agosto y los relativos a la elección de gobernador del estado a mas tardar el quince de agosto, ambas fechas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fecha incluida en 2027 corresponde a diputaciones locales; las demás elecciones del párrafo se sujetan a su año de renovación.</w:t>
            </w:r>
          </w:p>
          <w:p>
            <w:pPr>
              <w:pStyle w:val="Normal"/>
              <w:keepNext w:val="false"/>
              <w:keepLines/>
              <w:widowControl w:val="false"/>
              <w:spacing w:lineRule="exact" w:line="260" w:before="0" w:after="0"/>
              <w:rPr/>
            </w:pPr>
            <w:hyperlink r:id="rId78" w:tooltip="Ley de Medios de Impugnación en Materia Electoral y de Participación Ciudadana para el estado de Durango · artículo 48, numeral 2">
              <w:r>
                <w:rPr>
                  <w:rStyle w:val="Style"/>
                  <w:rFonts w:eastAsia="Montserrat" w:cs="Montserrat"/>
                  <w:color w:val="4A0D14"/>
                  <w:sz w:val="23"/>
                  <w:szCs w:val="23"/>
                  <w:u w:val="single"/>
                </w:rPr>
                <w:t>Fuente: Tribunal Electoral del Poder Judicial de la Federación — Legislación</w:t>
              </w:r>
            </w:hyperlink>
          </w:p>
        </w:tc>
      </w:tr>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Estado de México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Electoral del Estado de México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447, encabezado y fracciones II y III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447. Los juicios de inconformidad deberán ser resueltos en su totalidad a más tardar:</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 El dieciséis de agosto del año de la elección, en el caso de que se refieran a la elección de diputados. III. El quince de noviembre del año de la elección, en el caso de que se impugne la elección de miembros de los ayuntamientos.</w:t>
            </w:r>
          </w:p>
          <w:p>
            <w:pPr>
              <w:pStyle w:val="Normal"/>
              <w:keepNext w:val="false"/>
              <w:keepLines/>
              <w:widowControl w:val="false"/>
              <w:spacing w:lineRule="exact" w:line="260" w:before="0" w:after="0"/>
              <w:rPr/>
            </w:pPr>
            <w:hyperlink r:id="rId79" w:tooltip="Código Electoral del Estado de México · artículo 447, encabezado y fracciones II y III">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Guanajuato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Instituciones y Procedimientos Electorales para el Estado de Guanajuato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398, párrafos primero y segundo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398. El recurso de revisión deberá resolverse por el Pleno del Tribunal Estatal Electoral, dentro de los veinticinco días siguientes a la fecha en que se dicte el auto de admisión del recurso. Para la resolución del recurso de revisión el Magistrado ponente podrá solicitar al Pleno la ampliación por diez días más para resolver, siempre y cuando exista causa justificada para ello y no sea obstáculo para hacer valer otro medio de impugnación ni interfiera con la fecha de toma de posesión de quienes resulten electos.</w:t>
            </w:r>
          </w:p>
          <w:p>
            <w:pPr>
              <w:pStyle w:val="Normal"/>
              <w:keepNext w:val="false"/>
              <w:keepLines/>
              <w:widowControl w:val="false"/>
              <w:spacing w:lineRule="exact" w:line="260" w:before="0" w:after="0"/>
              <w:rPr/>
            </w:pPr>
            <w:hyperlink r:id="rId80" w:tooltip="Ley de Instituciones y Procedimientos Electorales para el Estado de Guanajuato · artículo 398, párrafos primero y segundo">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Guerrero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Número 456 del Sistema de Medios de Impugnación en Materia Electoral del Estado de Guerrero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56, párrafos primero y segundo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56. Los juicios de inconformidad serán resueltos dentro de los seis días posteriores al que se haya dictado auto de cierre de instrucción, en el orden en que sean listados para cada sesión, salvo que se acuerde la modificación en la sesión de resolución. Los juicios de inconformidad deberán resolverse a más tardar treinta días antes de la toma de protesta del cargo de la candidatura electa.</w:t>
            </w:r>
          </w:p>
          <w:p>
            <w:pPr>
              <w:pStyle w:val="Normal"/>
              <w:keepNext w:val="false"/>
              <w:keepLines/>
              <w:widowControl w:val="false"/>
              <w:spacing w:lineRule="exact" w:line="260" w:before="0" w:after="0"/>
              <w:rPr/>
            </w:pPr>
            <w:hyperlink r:id="rId81" w:tooltip="Ley Número 456 del Sistema de Medios de Impugnación en Materia Electoral del Estado de Guerrero · artículo 56, párrafos primero y segundo">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Hidalgo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Electoral del Estado de Hidalgo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371</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371. Los juicios de inconformidad, en su totalidad, serán resueltos por el Pleno del Tribunal Electoral a más tardar al término de la primera semana de agosto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expresión primera semana de agosto se conserva como intervalo legal; no se asigna un día individualizado.</w:t>
            </w:r>
          </w:p>
          <w:p>
            <w:pPr>
              <w:pStyle w:val="Normal"/>
              <w:keepNext w:val="false"/>
              <w:keepLines/>
              <w:widowControl w:val="false"/>
              <w:spacing w:lineRule="exact" w:line="260" w:before="0" w:after="0"/>
              <w:rPr/>
            </w:pPr>
            <w:hyperlink r:id="rId82" w:tooltip="Código Electoral del Estado de Hidalgo · artículo 371">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Jalisco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Electoral del Estado de Jalisco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633, numeral 1, fracciones I y II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El Tribunal Electoral deberá resolver las inconformidades y en su caso, los recursos que se relacionen con éstas, a más tardar dentro de los siguientes términos:</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 El día 10 de septiembre del año en que se celebre la elección, en el caso de los Munícipes;</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 El día último del mes septiembre del año en que se celebren las elecciones, en los casos de Diputados por ambos principios; y</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reforma de 24 de julio de 2026 no incluye el artículo 633. La transcripción comprende munícipes y diputaciones por ambos principios.</w:t>
            </w:r>
          </w:p>
          <w:p>
            <w:pPr>
              <w:pStyle w:val="Normal"/>
              <w:keepNext w:val="false"/>
              <w:keepLines/>
              <w:widowControl w:val="false"/>
              <w:spacing w:lineRule="exact" w:line="260" w:before="0" w:after="0"/>
              <w:rPr/>
            </w:pPr>
            <w:hyperlink r:id="rId83" w:tooltip="Código Electoral del Estado de Jalisco · artículo 633, numeral 1, fracciones I y II">
              <w:r>
                <w:rPr>
                  <w:rStyle w:val="Style"/>
                  <w:rFonts w:eastAsia="Montserrat" w:cs="Montserrat"/>
                  <w:color w:val="4A0D14"/>
                  <w:sz w:val="23"/>
                  <w:szCs w:val="23"/>
                  <w:u w:val="single"/>
                </w:rPr>
                <w:t>Fuente: Congreso del Estado de Jalisco — Biblioteca Virtual</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Michoacán</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Justicia en Materia Electoral y Participación Ciudadana del Estado de Michoacán de Ocampo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63, encabezado y fracciones I a IV</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63. Los juicios de inconformidad deberán quedar resueltos: I. Los relativos a la elección de ayuntamiento, a más tardar veinte días después de su recepción por el Tribunal; II. Los relativos a la elección de diputados por el principio de mayoría relativa, a más tardar treinta y un días después de su recepción por el Tribunal; III. Los correspondientes a la elección de diputados por el principio de representación proporcional, a más tardar treinta y tres días después de su recepción por el Tribunal; IV. Los relativos a la elección de Gobernador, a más tardar a los cuarenta y ocho días después de su recepción por el Tribunal;</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Los cuatro plazos parten de la recepción por el Tribunal; no comprenden aquí los supuestos judiciales o de participación ciudadana de las fracciones siguientes.</w:t>
            </w:r>
          </w:p>
          <w:p>
            <w:pPr>
              <w:pStyle w:val="Normal"/>
              <w:keepNext w:val="false"/>
              <w:keepLines/>
              <w:widowControl w:val="false"/>
              <w:spacing w:lineRule="exact" w:line="260" w:before="0" w:after="0"/>
              <w:rPr/>
            </w:pPr>
            <w:hyperlink r:id="rId84" w:tooltip="Ley de Justicia en Materia Electoral y Participación Ciudadana del Estado de Michoacán de Ocampo · artículo 63, encabezado y fracciones I a IV">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Morelos</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de Instituciones y Procedimientos Electorales para el Estado de Morelos</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367, párrafo primero y fracciones I y III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367. Los recursos de inconformidad serán resueltos por mayoría de los integrantes del Tribunal Electoral en el orden en que sean listados para cada sesión, salvo que se acuerde su modificación. Excepto en los casos previstos en la fracción III inciso a) del artículo 319 de éste Código, que deberá resolverse dentro de los 30 días naturales siguientes a su recepción, los recursos de inconformidad deberán ser resueltos, a más tardar, en las fechas que se indican a continuación: I. Tratándose de actos o resoluciones relativas a la elección de Diputados, hasta el 15 de julio del año de la elección;</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III. Hasta el primero de septiembre del año de la elección, aquellos recursos que estén relacionados con la elección de ayuntamientos.</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excepción remite exclusivamente al artículo 319, fracción III, inciso a), transcrito por separado; no se amplía a toda impugnación de cómputos.</w:t>
            </w:r>
          </w:p>
          <w:p>
            <w:pPr>
              <w:pStyle w:val="Normal"/>
              <w:keepNext w:val="false"/>
              <w:keepLines/>
              <w:widowControl w:val="false"/>
              <w:spacing w:lineRule="exact" w:line="260" w:before="0" w:after="0"/>
              <w:rPr/>
            </w:pPr>
            <w:hyperlink r:id="rId85" w:tooltip="Código de Instituciones y Procedimientos Electorales para el Estado de Morelos · artículo 367, párrafo primero y fracciones I y III">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Morelos</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de Instituciones y Procedimientos Electorales para el Estado de Morelos</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319, fracción III, encabezado e inciso a)</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III. En la etapa posterior a la jornada electoral, el recurso de inconformidad que se hará valer contra: a) Los resultados consignados en las actas de cómputo distrital o municipal en la elección de que se trate;</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Supuesto al que el artículo 367 aplica treinta días naturales siguientes a la recepción.</w:t>
            </w:r>
          </w:p>
          <w:p>
            <w:pPr>
              <w:pStyle w:val="Normal"/>
              <w:keepNext w:val="false"/>
              <w:keepLines/>
              <w:widowControl w:val="false"/>
              <w:spacing w:lineRule="exact" w:line="260" w:before="0" w:after="0"/>
              <w:rPr/>
            </w:pPr>
            <w:hyperlink r:id="rId86" w:tooltip="Código de Instituciones y Procedimientos Electorales para el Estado de Morelos · artículo 319, fracción III, encabezado e inciso a)">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Nayarit</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Justicia Electoral para el Estado de Nayarit</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84, párrafo primero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84.- Los juicios de inconformidad de las elecciones de gobernador e integrantes de los ayuntamientos, deberán quedar resueltos dentro de los 50 días naturales siguientes al cierre del acta de cómputo y declaraciones de validez de que se trate. Tratándose de la elección de diputados, deberán quedar resueltos dentro de los 25 días naturales siguientes al cierre del acta de cómputo y declaraciones de validez de que se trate.</w:t>
            </w:r>
          </w:p>
          <w:p>
            <w:pPr>
              <w:pStyle w:val="Normal"/>
              <w:keepNext w:val="false"/>
              <w:keepLines/>
              <w:widowControl w:val="false"/>
              <w:spacing w:lineRule="exact" w:line="260" w:before="0" w:after="0"/>
              <w:rPr/>
            </w:pPr>
            <w:hyperlink r:id="rId87" w:tooltip="Ley de Justicia Electoral para el Estado de Nayarit · artículo 84, párrafo primero">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Nuevo León</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Electoral para el Estado de Nuevo León</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305, párrafo tercero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Transcurrido el plazo con contestación o sin ella de los terceros interesados o con o sin el informe de la autoridad demandada, en este último caso con la presunción de ser cierto el acto o resolución impugnado, se celebrará la audiencia de calificación, admisión, recepción de pruebas y alegatos. Concluida esta, la resolución o sentencia deberá dictarse dentro de un plazo no mayor de diez días.</w:t>
            </w:r>
          </w:p>
          <w:p>
            <w:pPr>
              <w:pStyle w:val="Normal"/>
              <w:keepNext w:val="false"/>
              <w:keepLines/>
              <w:widowControl w:val="false"/>
              <w:spacing w:lineRule="exact" w:line="260" w:before="0" w:after="0"/>
              <w:rPr/>
            </w:pPr>
            <w:hyperlink r:id="rId88" w:tooltip="Ley Electoral para el Estado de Nuevo León · artículo 305, párrafo tercero">
              <w:r>
                <w:rPr>
                  <w:rStyle w:val="Style"/>
                  <w:rFonts w:eastAsia="Montserrat" w:cs="Montserrat"/>
                  <w:color w:val="4A0D14"/>
                  <w:sz w:val="23"/>
                  <w:szCs w:val="23"/>
                  <w:u w:val="single"/>
                </w:rPr>
                <w:t>Fuente: Tribunal Electoral del Poder Judicial de la Federación — Legislación</w:t>
              </w:r>
            </w:hyperlink>
          </w:p>
        </w:tc>
      </w:tr>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Oaxaca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en Materia Electoral y de Participación Ciudadana para el estado de Oaxaca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70</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recursos de inconformidad de las elecciones de Diputados deberán quedar resueltos el primero de septiembre del año de la elección, los relativos a la elección de Gobernador el treinta de septiembre del año de la elección y los relativos a la elección de concejales a los ayuntamientos a más tardar el quince de octubre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Los recursos de inconformidad aquí previstos corresponden a los resultados del sistema de partidos; las vías de sistemas normativos internos se regulan separadamente en el Libro Tercero.</w:t>
            </w:r>
          </w:p>
          <w:p>
            <w:pPr>
              <w:pStyle w:val="Normal"/>
              <w:keepNext w:val="false"/>
              <w:keepLines/>
              <w:widowControl w:val="false"/>
              <w:spacing w:lineRule="exact" w:line="260" w:before="0" w:after="0"/>
              <w:rPr/>
            </w:pPr>
            <w:hyperlink r:id="rId89" w:tooltip="Ley del Sistema de Medios de Impugnación en Materia Electoral y de Participación Ciudadana para el estado de Oaxaca · artículo 70">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Oaxaca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en Materia Electoral y de Participación Ciudadana para el estado de Oaxaca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81, encabezado e incisos a) y b)</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El sistema de medios de impugnación en los Municipios que electoralmente se rigen por los Sistemas Normativos Internos, se integra por: a) Juicio electoral de los Sistemas Normativos Internos b) Juicio para la protección de los derechos político electorales del ciudadano dentro del régimen de los Sistemas Normativos Internos.</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Delimita las vías propias de los municipios regidos electoralmente por sistemas normativos internos; no extiende a ellas el 15 de octubre del recurso de inconformidad.</w:t>
            </w:r>
          </w:p>
          <w:p>
            <w:pPr>
              <w:pStyle w:val="Normal"/>
              <w:keepNext w:val="false"/>
              <w:keepLines/>
              <w:widowControl w:val="false"/>
              <w:spacing w:lineRule="exact" w:line="260" w:before="0" w:after="0"/>
              <w:rPr/>
            </w:pPr>
            <w:hyperlink r:id="rId90" w:tooltip="Ley del Sistema de Medios de Impugnación en Materia Electoral y de Participación Ciudadana para el estado de Oaxaca · artículo 81, encabezado e incisos a) y b)">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Puebla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de Instituciones y Procesos Electorales del Estado de Puebla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373, encabezado; fracción III, encabezado e inciso b)</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373.- Los recursos deberán ser resueltos dentro de los plazos siguientes:</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III.- El recurso jurisdiccional de inconformidad, en su totalidad:</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b) En contra de la elección de Diputados y miembros de Ayuntamientos por ambos principios, a más tardar diez días antes de la fecha indicada para la instalación del Congreso y de la toma de posesión de los Ayuntamientos.</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El plazo se refiere a diez días antes de la instalación o toma de posesión, no a diez días desde un acto inicial. La reforma de 28 de julio de 2026 no incluye el artículo 373.</w:t>
            </w:r>
          </w:p>
          <w:p>
            <w:pPr>
              <w:pStyle w:val="Normal"/>
              <w:keepNext w:val="false"/>
              <w:keepLines/>
              <w:widowControl w:val="false"/>
              <w:spacing w:lineRule="exact" w:line="260" w:before="0" w:after="0"/>
              <w:rPr/>
            </w:pPr>
            <w:hyperlink r:id="rId91" w:tooltip="Código de Instituciones y Procesos Electorales del Estado de Puebla · artículo 373, encabezado; fracción III, encabezado e inciso b)">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Querétaro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Electoral del Estado de Querétaro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79, encabezado y fracciones I a III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79. Cumplidas las reglas de trámite, la magistratura ponente dictará auto de admisión, procediendo a sustanciar el recurso en los siguientes términos: I. Contará con diez días posteriores al de la admisión, dentro de los cuales preparará y desahogará las pruebas ofrecidas que se hayan admitido; asimismo, ordenará el desahogo de las diligencias que considere necesarias. Este plazo podrá ser ampliado por cinco días más, por una sola vez, mediante acuerdo debidamente fundado y motivado; II. Vencido el plazo anterior, se acordará el cierre de instrucción, se pondrá en estado de resolución el expediente, y se contará con un plazo máximo de ocho días para formular el proyecto de sentencia correspondiente. Fenecido este plazo, o antes en caso de contar con el proyecto terminado, se deberá circular a las demás magistraturas el proyecto de sentencia; y III. Las magistraturas del Tribunal contarán con hasta tres días para el estudio del proyecto, previos a la sesión en la que deba dictarse la sentencia.</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Son fases de sustanciación, elaboración y estudio del proyecto, con posible ampliación de la fase probatoria; no constituyen una fecha única de resolución calculada por suma automática.</w:t>
            </w:r>
          </w:p>
          <w:p>
            <w:pPr>
              <w:pStyle w:val="Normal"/>
              <w:keepNext w:val="false"/>
              <w:keepLines/>
              <w:widowControl w:val="false"/>
              <w:spacing w:lineRule="exact" w:line="260" w:before="0" w:after="0"/>
              <w:rPr/>
            </w:pPr>
            <w:hyperlink r:id="rId92" w:tooltip="Ley de Medios de Impugnación en Materia Electoral del Estado de Querétaro · artículo 79, encabezado y fracciones I a III">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Querétaro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Electoral del Estado de Querétaro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94</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94. Las causas de nulidad se harán valer por la candidatura, partido político o coalición interesados, por medio del juicio de nulidad, que para su tramitación se regirá por las reglas del recurso de apelación.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El juicio de nulidad remite a las reglas de trámite del recurso de apelación; la remisión no cambia su denominación ni su objeto.</w:t>
            </w:r>
          </w:p>
          <w:p>
            <w:pPr>
              <w:pStyle w:val="Normal"/>
              <w:keepNext w:val="false"/>
              <w:keepLines/>
              <w:widowControl w:val="false"/>
              <w:spacing w:lineRule="exact" w:line="260" w:before="0" w:after="0"/>
              <w:rPr/>
            </w:pPr>
            <w:hyperlink r:id="rId93" w:tooltip="Ley de Medios de Impugnación en Materia Electoral del Estado de Querétaro · artículo 94">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Quintana Roo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Estatal de Medios de Impugnación en Materia Electoral</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93, encabezado y fracciones I a V</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93.- Los juicios de nulidad deberán ser resueltos a más tardar: I. El 20 de julio del año de la elección, en caso de que se impugnen los cómputos distritales de la elección de Gobernador; y el 30 de julio, cuando se impugne el cómputo estatal de esa elección; II. El 15 de julio del año de la elección, en caso de que se impugne la de Diputados de mayoría relativa; III. El 25 de julio del año de la elección, en caso de que se impugne la de Miembros de los Ayuntamientos; IV. El 18 de julio del año de la elección, en caso de que se impugne el cómputo o la asignación de Diputados por el principio de representación proporcional, y V. El 28 de julio del año de la elección, en caso de que se impugnen los cómputos y asignaciones de Regidores por el principio de representación proporcional.</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Distingue cómputos distritales y estatal de gubernatura, diputaciones MR, cómputo o asignación de diputaciones RP y cómputos y asignaciones de regidurías RP.</w:t>
            </w:r>
          </w:p>
          <w:p>
            <w:pPr>
              <w:pStyle w:val="Normal"/>
              <w:keepNext w:val="false"/>
              <w:keepLines/>
              <w:widowControl w:val="false"/>
              <w:spacing w:lineRule="exact" w:line="260" w:before="0" w:after="0"/>
              <w:rPr/>
            </w:pPr>
            <w:hyperlink r:id="rId94" w:tooltip="Ley Estatal de Medios de Impugnación en Materia Electoral · artículo 93, encabezado y fracciones I a V">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San Luis Potosí</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Justicia Electoral para el Estado de San Luis Potosí</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66</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66. Los juicios de nulidad electoral de las elecciones de diputaciones e integrantes de ayuntamientos deberán quedar resueltos los días, quince, y treinta de agosto, respectivamente; los relativos a la elección de Gobernador del Estado, y de personas juzgadoras del Poder Judicial del Estado, a más tardar el veinticinco de agosto, todas fechas del año de la elección que corresponda.</w:t>
            </w:r>
          </w:p>
          <w:p>
            <w:pPr>
              <w:pStyle w:val="Normal"/>
              <w:keepNext w:val="false"/>
              <w:keepLines/>
              <w:widowControl w:val="false"/>
              <w:spacing w:lineRule="exact" w:line="260" w:before="0" w:after="0"/>
              <w:rPr/>
            </w:pPr>
            <w:hyperlink r:id="rId95" w:tooltip="Ley de Justicia Electoral para el Estado de San Luis Potosí · artículo 66">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Sinaloa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en Materia Electoral y de Participación Ciudadana para el Estado de Sinaloa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142, encabezado y fracción 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142. Para efecto de realizar el cómputo final de la elección de Gobernador del Estado, así como las declaratorias de validez de la elección y de Gobernador electo, el Pleno designará a dos Magistrados para que formulen y presenten a su consideración un dictamen que contendrá: I. El cómputo final de la elección, considerando el resultado de los recursos de inconformidad que se hubieren presentado en contra de la elección de Gobernador del Estado;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Se trata de la calificación de gubernatura con consideración de los recursos, no del plazo para presentar una demanda ni del plazo individual de resolución de un recurso.</w:t>
            </w:r>
          </w:p>
          <w:p>
            <w:pPr>
              <w:pStyle w:val="Normal"/>
              <w:keepNext w:val="false"/>
              <w:keepLines/>
              <w:widowControl w:val="false"/>
              <w:spacing w:lineRule="exact" w:line="260" w:before="0" w:after="0"/>
              <w:rPr/>
            </w:pPr>
            <w:hyperlink r:id="rId96" w:tooltip="Ley del Sistema de Medios de Impugnación en Materia Electoral y de Participación Ciudadana para el Estado de Sinaloa · artículo 142, encabezado y fracción I">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Sinaloa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en Materia Electoral y de Participación Ciudadana para el Estado de Sinaloa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144</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144. El Tribunal en Pleno procederá, a más tardar la segunda quincena del mes de septiembre del año de la elección, a realizar la sesión de cómputo final y las declaratorias de validez de la elección y de Gobernador electo. En el mismo acto, el Pleno ordenará la entrega de la constancia de Gobernador electo y el envío de tales declaratorias al Congreso.</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segunda quincena de septiembre se conserva como intervalo legal sin convertirla en un día de vencimiento.</w:t>
            </w:r>
          </w:p>
          <w:p>
            <w:pPr>
              <w:pStyle w:val="Normal"/>
              <w:keepNext w:val="false"/>
              <w:keepLines/>
              <w:widowControl w:val="false"/>
              <w:spacing w:lineRule="exact" w:line="260" w:before="0" w:after="0"/>
              <w:rPr/>
            </w:pPr>
            <w:hyperlink r:id="rId97" w:tooltip="Ley del Sistema de Medios de Impugnación en Materia Electoral y de Participación Ciudadana para el Estado de Sinaloa · artículo 144">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Sonora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Instituciones y Procedimientos Electorales para el Estado de Sonora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360</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360.- Una vez cumplidas las reglas de trámite a que se refiere la fracción II del artículo 334 de la presente Ley, recibido un recurso de queja el Tribunal Estatal, se estará a lo dispuesto en los artículos 354, 355 y 356 de la presente Ley. En todo caso, los recursos de queja serán resueltos a más tardar el 31 de julio del año del proceso, en el orden en que sean listados.</w:t>
            </w:r>
          </w:p>
          <w:p>
            <w:pPr>
              <w:pStyle w:val="Normal"/>
              <w:keepNext w:val="false"/>
              <w:keepLines/>
              <w:widowControl w:val="false"/>
              <w:spacing w:lineRule="exact" w:line="260" w:before="0" w:after="0"/>
              <w:rPr/>
            </w:pPr>
            <w:hyperlink r:id="rId98" w:tooltip="Ley de Instituciones y Procedimientos Electorales para el Estado de Sonora · artículo 360">
              <w:r>
                <w:rPr>
                  <w:rStyle w:val="Style"/>
                  <w:rFonts w:eastAsia="Montserrat" w:cs="Montserrat"/>
                  <w:color w:val="4A0D14"/>
                  <w:sz w:val="23"/>
                  <w:szCs w:val="23"/>
                  <w:u w:val="single"/>
                </w:rPr>
                <w:t>Fuente: Tribunal Electoral del Poder Judicial de la Federación — Legislación</w:t>
              </w:r>
            </w:hyperlink>
          </w:p>
        </w:tc>
      </w:tr>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Tabasco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Electoral del Estado de Tabasco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60, numeral 1 y párrafo siguiente</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Los juicios de inconformidad de las elecciones de regidores y Gobernador del Estado deberán quedar resueltos a más tardar el día 15 de agosto del año de la elección. Los juicios de inconformidad de la elección de diputados deberán quedar resueltos a más tardar el día 30 de julio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Las fechas del calendario corresponden a diputaciones y regidurías/ayuntamientos; no se traslada a 2027 la elección de gubernatura cuando no se renueva.</w:t>
            </w:r>
          </w:p>
          <w:p>
            <w:pPr>
              <w:pStyle w:val="Normal"/>
              <w:keepNext w:val="false"/>
              <w:keepLines/>
              <w:widowControl w:val="false"/>
              <w:spacing w:lineRule="exact" w:line="260" w:before="0" w:after="0"/>
              <w:rPr/>
            </w:pPr>
            <w:hyperlink r:id="rId99" w:tooltip="Ley de Medios de Impugnación en Materia Electoral del Estado de Tabasco · artículo 60, numeral 1 y párrafo siguiente">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Tamaulipas</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Electorales de Tamaulipas</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75</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75.- Los recursos de inconformidad de las elecciones de Diputados, Ayuntamientos, Gobernador y personas juzgadoras deberán quedar resueltos a más tardar el 20 de agosto,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Las fechas del calendario se limitan a los cargos ordinarios identificados; la transcripción no incorpora la elección judicial a ese alcance.</w:t>
            </w:r>
          </w:p>
          <w:p>
            <w:pPr>
              <w:pStyle w:val="Normal"/>
              <w:keepNext w:val="false"/>
              <w:keepLines/>
              <w:widowControl w:val="false"/>
              <w:spacing w:lineRule="exact" w:line="260" w:before="0" w:after="0"/>
              <w:rPr/>
            </w:pPr>
            <w:hyperlink r:id="rId100" w:tooltip="Ley de Medios de Impugnación Electorales de Tamaulipas · artículo 75">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Tlaxcala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Electoral para el Estado de Tlaxcala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89, párrafo primero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89. Los juicios electorales relativos a los cómputos, entrega de constancia de mayoría, asignación de diputaciones y regidurías de representación proporcional y nulidades, así como los juicios que impacten en la integración y toma de posesión de las autoridades electas, deberán ser resueltos en su totalidad a más tardar el día 15 de julio del año de la elección.</w:t>
            </w:r>
          </w:p>
          <w:p>
            <w:pPr>
              <w:pStyle w:val="Normal"/>
              <w:keepNext w:val="false"/>
              <w:keepLines/>
              <w:widowControl w:val="false"/>
              <w:spacing w:lineRule="exact" w:line="260" w:before="0" w:after="0"/>
              <w:rPr/>
            </w:pPr>
            <w:hyperlink r:id="rId101" w:tooltip="Ley de Medios de Impugnación en Materia Electoral para el Estado de Tlaxcala · artículo 89, párrafo primero">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Veracruz</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número 577 Electoral para el Estado de Veracruz de Ignacio de la Llave</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381, párrafos segundo a cuarto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recursos de apelación serán resueltos por el Tribunal Electoral dentro de los cinco días siguientes a aquel en que se admitan. Los recursos de inconformidad que se presenten en contra de la validez de los cómputos estatales, distritales o municipales y las constancias de mayoría o declaración de candidato electo en las elecciones de Gobernador, diputados o de integrantes de ayuntamientos, serán resueltos por el propio Tribunal Electoral, a más tardar quince días antes de que concluya el proceso electoral respectivo. Si el recurso se interpone en contra del cómputo de la circunscripción plurinominal, el Tribunal deberá resolverlo a más tardar cinco días antes de la conclusión del proceso.</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Distingue la apelación desde la admisión y la inconformidad con referencia a la conclusión del proceso correspondiente; dentro de esta última separa resultados y cómputo de circunscripción plurinominal.</w:t>
            </w:r>
          </w:p>
          <w:p>
            <w:pPr>
              <w:pStyle w:val="Normal"/>
              <w:keepNext w:val="false"/>
              <w:keepLines/>
              <w:widowControl w:val="false"/>
              <w:spacing w:lineRule="exact" w:line="260" w:before="0" w:after="0"/>
              <w:rPr/>
            </w:pPr>
            <w:hyperlink r:id="rId102" w:tooltip="Código número 577 Electoral para el Estado de Veracruz de Ignacio de la Llave · artículo 381, párrafos segundo a cuarto">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Yucatán</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en Materia Electoral del Estado de Yucatán</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66, encabezado y fracción II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recursos de inconformidad serán resueltos por mayoría simple de los integrantes del Tribunal, en el orden en que sean listados para cada sesión, en los plazos siguientes:</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 Los que versen sobre impugnación de la elección de diputados y Ayuntamientos a más tardar cinco días después de que conozca el recurso el Tribunal.</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fracción II corresponde a diputaciones y ayuntamientos; el plazo de gubernatura de la fracción I no se traslada a esos cargos.</w:t>
            </w:r>
          </w:p>
          <w:p>
            <w:pPr>
              <w:pStyle w:val="Normal"/>
              <w:keepNext w:val="false"/>
              <w:keepLines/>
              <w:widowControl w:val="false"/>
              <w:spacing w:lineRule="exact" w:line="260" w:before="0" w:after="0"/>
              <w:rPr/>
            </w:pPr>
            <w:hyperlink r:id="rId103" w:tooltip="Ley del Sistema de Medios de Impugnación en Materia Electoral del Estado de Yucatán · artículo 66, encabezado y fracción II">
              <w:r>
                <w:rPr>
                  <w:rStyle w:val="Style"/>
                  <w:rFonts w:eastAsia="Montserrat" w:cs="Montserrat"/>
                  <w:color w:val="4A0D14"/>
                  <w:sz w:val="23"/>
                  <w:szCs w:val="23"/>
                  <w:u w:val="single"/>
                </w:rPr>
                <w:t>Fuente: Instituto Electoral y de Participación Ciudadana de Yucatán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Zacatecas</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Electoral del Estado de Zacatecas</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62</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juicios de nulidad electoral de las elecciones de diputados, integrantes de ayuntamientos, jueces y juezas, deberán quedar resueltos el día 5 de julio y los relativos a la elección de Gobernador del Estado, Magistrados y Magistradas, a más tardar el 15 de julio, ambas fechas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Las fechas incorporadas al calendario corresponden a diputaciones, ayuntamientos y gubernatura; la transcripción distingue también los cargos judiciales, que no se incorporan a ese alcance.</w:t>
            </w:r>
          </w:p>
          <w:p>
            <w:pPr>
              <w:pStyle w:val="Normal"/>
              <w:keepNext w:val="false"/>
              <w:keepLines/>
              <w:widowControl w:val="false"/>
              <w:spacing w:lineRule="exact" w:line="260" w:before="0" w:after="0"/>
              <w:rPr/>
            </w:pPr>
            <w:hyperlink r:id="rId104" w:tooltip="Ley del Sistema de Medios de Impugnación Electoral del Estado de Zacatecas · artículo 62">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Federal</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General del Sistema de Medios de Impugnación en Materia Electoral</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58.1</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Los juicios de inconformidad de las elecciones de diputados y senadores deberán quedar resueltos el día 3 de agosto y los relativos a la elección de Presidente de los Estados Unidos Mexicanos a más tardar el 31 de agosto, ambas fechas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fecha aplicada en 2027 corresponde a diputaciones federales; el texto menciona además otras elecciones en su año correspondiente.</w:t>
            </w:r>
          </w:p>
          <w:p>
            <w:pPr>
              <w:pStyle w:val="Normal"/>
              <w:keepNext w:val="false"/>
              <w:keepLines/>
              <w:widowControl w:val="false"/>
              <w:spacing w:lineRule="exact" w:line="260" w:before="0" w:after="0"/>
              <w:rPr/>
            </w:pPr>
            <w:hyperlink r:id="rId105" w:tooltip="Ley General del Sistema de Medios de Impugnación en Materia Electoral · artículo 58.1">
              <w:r>
                <w:rPr>
                  <w:rStyle w:val="Style"/>
                  <w:rFonts w:eastAsia="Montserrat" w:cs="Montserrat"/>
                  <w:color w:val="4A0D14"/>
                  <w:sz w:val="23"/>
                  <w:szCs w:val="23"/>
                  <w:u w:val="single"/>
                </w:rPr>
                <w:t>Fuente: Cámara de Diputados del H. Congreso de la Unión — LeyesBiblio</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Federal</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General del Sistema de Medios de Impugnación en Materia Electoral</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69.1</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Los recursos de reconsideración que versen sobre los cómputos distritales de la elección de diputados y de entidad federativa de senadores, deberán ser resueltos a más tardar el día 19 de agosto del año del proceso electoral. Los demás recursos deberán ser resueltos a más tardar tres días antes al en que se instalen las Cámaras del Congreso de la Unión.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El 19 de agosto corresponde a reconsideraciones sobre cómputos distritales de diputaciones. Los demás recursos tienen el límite relativo a la instalación de las Cámaras que el mismo numeral establece.</w:t>
            </w:r>
          </w:p>
          <w:p>
            <w:pPr>
              <w:pStyle w:val="Normal"/>
              <w:keepNext w:val="false"/>
              <w:keepLines/>
              <w:widowControl w:val="false"/>
              <w:spacing w:lineRule="exact" w:line="260" w:before="0" w:after="0"/>
              <w:rPr/>
            </w:pPr>
            <w:hyperlink r:id="rId106" w:tooltip="Ley General del Sistema de Medios de Impugnación en Materia Electoral · artículo 69.1">
              <w:r>
                <w:rPr>
                  <w:rStyle w:val="Style"/>
                  <w:rFonts w:eastAsia="Montserrat" w:cs="Montserrat"/>
                  <w:color w:val="4A0D14"/>
                  <w:sz w:val="23"/>
                  <w:szCs w:val="23"/>
                  <w:u w:val="single"/>
                </w:rPr>
                <w:t>Fuente: Cámara de Diputados del H. Congreso de la Unión — LeyesBiblio</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Federal</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General del Sistema de Medios de Impugnación en Materia Electoral</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66.1.b</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El recurso de reconsideración deberá interponerse:</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b) Dentro de las cuarenta y ocho horas siguientes, contadas a partir de la conclusión de la sesión en la que el Consejo General del Instituto Federal Electoral haya realizado la asignación de diputados o senadores por el principio de representación proporcional.</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El plazo de interposición se cuenta desde la conclusión de la sesión efectiva de asignación; el periodo programado del 1 al 23 de agosto no equivale a dos asignaciones efectivas.</w:t>
            </w:r>
          </w:p>
          <w:p>
            <w:pPr>
              <w:pStyle w:val="Normal"/>
              <w:keepNext w:val="false"/>
              <w:keepLines/>
              <w:widowControl w:val="false"/>
              <w:spacing w:lineRule="exact" w:line="260" w:before="0" w:after="0"/>
              <w:rPr/>
            </w:pPr>
            <w:hyperlink r:id="rId107" w:tooltip="Ley General del Sistema de Medios de Impugnación en Materia Electoral · artículo 66.1.b">
              <w:r>
                <w:rPr>
                  <w:rStyle w:val="Style"/>
                  <w:rFonts w:eastAsia="Montserrat" w:cs="Montserrat"/>
                  <w:color w:val="4A0D14"/>
                  <w:sz w:val="23"/>
                  <w:szCs w:val="23"/>
                  <w:u w:val="single"/>
                </w:rPr>
                <w:t>Fuente: Cámara de Diputados del H. Congreso de la Unión — LeyesBiblio</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Federal</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General del Sistema de Medios de Impugnación en Materia Electoral</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55.1, encabezado e inciso b)</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La demanda del juicio de inconformidad deberá presentarse dentro de los cuatro días contados a partir del día siguiente de que concluya la práctica de los cómputos:</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b) Distritales de la elección de diputados por ambos principios, para impugnar los actos a que se refieren los incisos b) y c) del párrafo 1 del artículo 50 de este ordenamiento; y</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El calendario INE aporta el periodo programado de cómputos; esta ley aporta el detonante de la demanda. No se calcula un vencimiento común sin conclusión efectiva del cómputo distrital correspondiente.</w:t>
            </w:r>
          </w:p>
          <w:p>
            <w:pPr>
              <w:pStyle w:val="Normal"/>
              <w:keepNext w:val="false"/>
              <w:keepLines/>
              <w:widowControl w:val="false"/>
              <w:spacing w:lineRule="exact" w:line="260" w:before="0" w:after="0"/>
              <w:rPr/>
            </w:pPr>
            <w:hyperlink r:id="rId108" w:tooltip="Ley General del Sistema de Medios de Impugnación en Materia Electoral · artículo 55.1, encabezado e inciso b)">
              <w:r>
                <w:rPr>
                  <w:rStyle w:val="Style"/>
                  <w:rFonts w:eastAsia="Montserrat" w:cs="Montserrat"/>
                  <w:color w:val="4A0D14"/>
                  <w:sz w:val="23"/>
                  <w:szCs w:val="23"/>
                  <w:u w:val="single"/>
                </w:rPr>
                <w:t>Fuente: Cámara de Diputados del H. Congreso de la Unión — LeyesBiblio</w:t>
              </w:r>
            </w:hyperlink>
          </w:p>
        </w:tc>
      </w:tr>
    </w:tbl>
    <w:p>
      <w:pPr>
        <w:pStyle w:val="Normal"/>
        <w:rPr/>
      </w:pPr>
      <w:r>
        <w:rPr/>
      </w:r>
    </w:p>
    <w:sectPr>
      <w:footerReference w:type="default" r:id="rId109"/>
      <w:type w:val="nextPage"/>
      <w:pgSz w:orient="landscape" w:w="15840" w:h="12240"/>
      <w:pgMar w:left="567" w:right="567" w:gutter="0" w:header="0" w:top="454" w:footer="227"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Montserrat">
    <w:charset w:val="01"/>
    <w:family w:val="swiss"/>
    <w:pitch w:val="variable"/>
    <w:embedRegular r:id="rId1" w:fontKey="{01014A78-CABC-4EF0-12AC-5CD89AEFDE01}"/>
    <w:embedBold r:id="rId2" w:fontKey="{02014A78-CABC-4EF0-12AC-5CD89AEFDE02}"/>
    <w:embedItalic r:id="rId3" w:fontKey="{03014A78-CABC-4EF0-12AC-5CD89AEFDE03}"/>
  </w:font>
  <w:font w:name="Courier">
    <w:altName w:val="Courier New"/>
    <w:charset w:val="01"/>
    <w:family w:val="roman"/>
    <w:pitch w:val="variable"/>
  </w:font>
  <w:font w:name="Liberation Sans">
    <w:altName w:val="Arial"/>
    <w:charset w:val="01"/>
    <w:family w:val="swiss"/>
    <w:pitch w:val="variable"/>
  </w:font>
  <w:font w:name="Calendario Sans">
    <w:charset w:val="01"/>
    <w:family w:val="swiss"/>
    <w:pitch w:val="variable"/>
    <w:embedRegular r:id="rId4" w:fontKey="{04014A78-CABC-4EF0-12AC-5CD89AEFDE04}"/>
    <w:embedBold r:id="rId5" w:fontKey="{05014A78-CABC-4EF0-12AC-5CD89AEFDE05}"/>
    <w:embedItalic r:id="rId6" w:fontKey="{06014A78-CABC-4EF0-12AC-5CD89AEFDE06}"/>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14253" w:leader="none"/>
      </w:tabs>
      <w:spacing w:lineRule="exact" w:line="200" w:before="0" w:after="0"/>
      <w:jc w:val="end"/>
      <w:rPr/>
    </w:pPr>
    <w:r>
      <w:rPr/>
      <w:fldChar w:fldCharType="begin"/>
    </w:r>
    <w:r>
      <w:rPr/>
      <w:instrText xml:space="preserve"> PAGE </w:instrText>
    </w:r>
    <w:r>
      <w:rPr/>
      <w:fldChar w:fldCharType="separate"/>
    </w:r>
    <w:r>
      <w:rPr/>
      <w:t>49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Montserrat" w:cs="Noto Sans"/>
        <w:sz w:val="22"/>
        <w:szCs w:val="22"/>
        <w:lang w:val="en-US" w:eastAsia="en-US" w:bidi="ar-SA"/>
      </w:rPr>
    </w:rPrDefault>
    <w:pPrDefault>
      <w:pPr>
        <w:suppressAutoHyphens w:val="true"/>
      </w:pPr>
    </w:pPrDefault>
  </w:docDefaults>
  <w:style w:type="paragraph" w:styleId="Normal">
    <w:name w:val="Normal"/>
    <w:qFormat/>
    <w:pPr>
      <w:keepNext w:val="false"/>
      <w:keepLines w:val="false"/>
      <w:widowControl/>
      <w:kinsoku w:val="true"/>
      <w:overflowPunct w:val="true"/>
      <w:autoSpaceDE w:val="true"/>
      <w:bidi w:val="0"/>
      <w:spacing w:lineRule="auto" w:line="269" w:before="0" w:after="0"/>
      <w:jc w:val="start"/>
    </w:pPr>
    <w:rPr>
      <w:rFonts w:ascii="Montserrat" w:hAnsi="Montserrat" w:eastAsia="Montserrat" w:cs="Noto Sans"/>
      <w:color w:val="auto"/>
      <w:kern w:val="0"/>
      <w:sz w:val="25"/>
      <w:szCs w:val="22"/>
      <w:lang w:val="en-US" w:eastAsia="en-US" w:bidi="ar-SA"/>
    </w:rPr>
  </w:style>
  <w:style w:type="paragraph" w:styleId="Heading1">
    <w:name w:val="heading 1"/>
    <w:basedOn w:val="Normal"/>
    <w:next w:val="Normal"/>
    <w:link w:val="Heading1Char"/>
    <w:qFormat/>
    <w:pPr>
      <w:keepNext w:val="false"/>
      <w:keepLines w:val="false"/>
      <w:numPr>
        <w:ilvl w:val="0"/>
        <w:numId w:val="0"/>
      </w:numPr>
      <w:spacing w:lineRule="auto" w:line="269" w:before="0" w:after="0"/>
      <w:outlineLvl w:val="0"/>
    </w:pPr>
    <w:rPr>
      <w:rFonts w:ascii="Montserrat" w:hAnsi="Montserrat"/>
      <w:b/>
      <w:bCs/>
      <w:color w:themeColor="accent1" w:themeShade="bf" w:val="365F91"/>
      <w:sz w:val="25"/>
      <w:szCs w:val="28"/>
    </w:rPr>
  </w:style>
  <w:style w:type="paragraph" w:styleId="Heading2">
    <w:name w:val="heading 2"/>
    <w:basedOn w:val="Normal"/>
    <w:next w:val="Normal"/>
    <w:link w:val="Heading2Char"/>
    <w:qFormat/>
    <w:pPr>
      <w:keepNext w:val="false"/>
      <w:keepLines w:val="false"/>
      <w:numPr>
        <w:ilvl w:val="0"/>
        <w:numId w:val="0"/>
      </w:numPr>
      <w:spacing w:lineRule="auto" w:line="269" w:before="0" w:after="0"/>
      <w:outlineLvl w:val="1"/>
    </w:pPr>
    <w:rPr>
      <w:rFonts w:ascii="Montserrat" w:hAnsi="Montserrat"/>
      <w:b/>
      <w:bCs/>
      <w:color w:themeColor="accent1" w:val="4F81BD"/>
      <w:sz w:val="26"/>
      <w:szCs w:val="26"/>
    </w:rPr>
  </w:style>
  <w:style w:type="paragraph" w:styleId="Heading3">
    <w:name w:val="heading 3"/>
    <w:basedOn w:val="Normal"/>
    <w:next w:val="Normal"/>
    <w:link w:val="Heading3Char"/>
    <w:qFormat/>
    <w:pPr>
      <w:keepNext w:val="false"/>
      <w:keepLines w:val="false"/>
      <w:numPr>
        <w:ilvl w:val="0"/>
        <w:numId w:val="0"/>
      </w:numPr>
      <w:spacing w:lineRule="auto" w:line="269" w:before="0" w:after="0"/>
      <w:outlineLvl w:val="2"/>
    </w:pPr>
    <w:rPr>
      <w:rFonts w:ascii="Montserrat" w:hAnsi="Montserrat"/>
      <w:b/>
      <w:bCs/>
      <w:color w:themeColor="accent1" w:val="4F81BD"/>
      <w:sz w:val="25"/>
    </w:rPr>
  </w:style>
  <w:style w:type="paragraph" w:styleId="Heading4">
    <w:name w:val="heading 4"/>
    <w:basedOn w:val="Normal"/>
    <w:next w:val="Normal"/>
    <w:link w:val="Heading4Char"/>
    <w:qFormat/>
    <w:pPr>
      <w:keepNext w:val="true"/>
      <w:keepLines/>
      <w:numPr>
        <w:ilvl w:val="0"/>
        <w:numId w:val="0"/>
      </w:numPr>
      <w:spacing w:before="200" w:after="0"/>
      <w:outlineLvl w:val="3"/>
    </w:pPr>
    <w:rPr>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b/>
      <w:bCs/>
      <w:color w:themeColor="accent1" w:themeShade="bf" w:val="365F91"/>
      <w:sz w:val="28"/>
      <w:szCs w:val="28"/>
    </w:rPr>
  </w:style>
  <w:style w:type="character" w:styleId="Heading2Char">
    <w:name w:val="Heading 2 Char"/>
    <w:basedOn w:val="DefaultParagraphFont"/>
    <w:link w:val="Heading2"/>
    <w:qFormat/>
    <w:rPr>
      <w:b/>
      <w:bCs/>
      <w:color w:themeColor="accent1" w:val="4F81BD"/>
      <w:sz w:val="26"/>
      <w:szCs w:val="26"/>
    </w:rPr>
  </w:style>
  <w:style w:type="character" w:styleId="Heading3Char">
    <w:name w:val="Heading 3 Char"/>
    <w:basedOn w:val="DefaultParagraphFont"/>
    <w:link w:val="Heading3"/>
    <w:qFormat/>
    <w:rPr>
      <w:b/>
      <w:bCs/>
      <w:color w:themeColor="accent1" w:val="4F81BD"/>
    </w:rPr>
  </w:style>
  <w:style w:type="character" w:styleId="TitleChar">
    <w:name w:val="Title Char"/>
    <w:basedOn w:val="DefaultParagraphFont"/>
    <w:link w:val="Title"/>
    <w:qFormat/>
    <w:rPr>
      <w:color w:themeColor="dark2" w:themeShade="bf" w:val="17365D"/>
      <w:spacing w:val="5"/>
      <w:kern w:val="2"/>
      <w:sz w:val="52"/>
      <w:szCs w:val="52"/>
    </w:rPr>
  </w:style>
  <w:style w:type="character" w:styleId="SubtitleChar">
    <w:name w:val="Subtitle Char"/>
    <w:basedOn w:val="DefaultParagraphFont"/>
    <w:link w:val="Subtitle"/>
    <w:qFormat/>
    <w:rPr>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b/>
      <w:bCs/>
      <w:i/>
      <w:iCs/>
      <w:color w:themeColor="accent1" w:val="4F81BD"/>
    </w:rPr>
  </w:style>
  <w:style w:type="character" w:styleId="Heading5Char">
    <w:name w:val="Heading 5 Char"/>
    <w:basedOn w:val="DefaultParagraphFont"/>
    <w:link w:val="Heading5"/>
    <w:qFormat/>
    <w:rPr>
      <w:color w:themeColor="accent1" w:themeShade="7f" w:val="243F60"/>
    </w:rPr>
  </w:style>
  <w:style w:type="character" w:styleId="Heading6Char">
    <w:name w:val="Heading 6 Char"/>
    <w:basedOn w:val="DefaultParagraphFont"/>
    <w:link w:val="Heading6"/>
    <w:qFormat/>
    <w:rPr>
      <w:i/>
      <w:iCs/>
      <w:color w:themeColor="accent1" w:themeShade="7f" w:val="243F60"/>
    </w:rPr>
  </w:style>
  <w:style w:type="character" w:styleId="Heading7Char">
    <w:name w:val="Heading 7 Char"/>
    <w:basedOn w:val="DefaultParagraphFont"/>
    <w:link w:val="Heading7"/>
    <w:qFormat/>
    <w:rPr>
      <w:i/>
      <w:iCs/>
      <w:color w:themeColor="dark1" w:themeTint="bf" w:val="404040"/>
    </w:rPr>
  </w:style>
  <w:style w:type="character" w:styleId="Heading8Char">
    <w:name w:val="Heading 8 Char"/>
    <w:basedOn w:val="DefaultParagraphFont"/>
    <w:link w:val="Heading8"/>
    <w:qFormat/>
    <w:rPr>
      <w:color w:themeColor="accent1" w:val="4F81BD"/>
      <w:sz w:val="20"/>
      <w:szCs w:val="20"/>
    </w:rPr>
  </w:style>
  <w:style w:type="character" w:styleId="Heading9Char">
    <w:name w:val="Heading 9 Char"/>
    <w:basedOn w:val="DefaultParagraphFont"/>
    <w:link w:val="Heading9"/>
    <w:qFormat/>
    <w:rPr>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ontserrat" w:cs="Noto 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Times New Roman" w:hAnsi="Times New Roman" w:eastAsia="Montserrat" w:cs="Noto Sans"/>
      <w:color w:val="auto"/>
      <w:kern w:val="0"/>
      <w:sz w:val="22"/>
      <w:szCs w:val="22"/>
      <w:lang w:val="en-US" w:eastAsia="en-US" w:bidi="ar-SA"/>
    </w:rPr>
  </w:style>
  <w:style w:type="paragraph" w:styleId="Title">
    <w:name w:val="Title"/>
    <w:basedOn w:val="Normal"/>
    <w:next w:val="Normal"/>
    <w:link w:val="TitleChar"/>
    <w:qFormat/>
    <w:pPr>
      <w:keepNext w:val="false"/>
      <w:keepLines w:val="false"/>
      <w:spacing w:lineRule="auto" w:line="269" w:before="0" w:after="0"/>
      <w:contextualSpacing/>
    </w:pPr>
    <w:rPr>
      <w:rFonts w:ascii="Montserrat" w:hAnsi="Montserrat"/>
      <w:color w:themeColor="dark2" w:themeShade="bf" w:val="17365D"/>
      <w:spacing w:val="5"/>
      <w:kern w:val="2"/>
      <w:sz w:val="25"/>
      <w:szCs w:val="52"/>
    </w:rPr>
  </w:style>
  <w:style w:type="paragraph" w:styleId="Subtitle">
    <w:name w:val="Subtitle"/>
    <w:basedOn w:val="Normal"/>
    <w:next w:val="Normal"/>
    <w:link w:val="SubtitleChar"/>
    <w:qFormat/>
    <w:pPr>
      <w:keepNext w:val="false"/>
      <w:keepLines w:val="false"/>
      <w:spacing w:lineRule="auto" w:line="269" w:before="0" w:after="0"/>
    </w:pPr>
    <w:rPr>
      <w:rFonts w:ascii="Montserrat" w:hAnsi="Montserrat"/>
      <w:i/>
      <w:iCs/>
      <w:color w:themeColor="accent1" w:val="4F81BD"/>
      <w:spacing w:val="15"/>
      <w:sz w:val="25"/>
      <w:szCs w:val="24"/>
    </w:rPr>
  </w:style>
  <w:style w:type="paragraph" w:styleId="ListParagraph">
    <w:name w:val="List Paragraph"/>
    <w:basedOn w:val="Normal"/>
    <w:qFormat/>
    <w:pPr>
      <w:spacing w:before="0" w:after="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0"/>
      <w:ind w:hanging="360" w:start="720"/>
      <w:contextualSpacing/>
    </w:pPr>
    <w:rPr/>
  </w:style>
  <w:style w:type="paragraph" w:styleId="List3">
    <w:name w:val="List 3"/>
    <w:basedOn w:val="Normal"/>
    <w:qFormat/>
    <w:pPr>
      <w:spacing w:before="0" w:after="0"/>
      <w:ind w:hanging="360" w:start="1080"/>
      <w:contextualSpacing/>
    </w:pPr>
    <w:rPr/>
  </w:style>
  <w:style w:type="paragraph" w:styleId="ListBullet">
    <w:name w:val="List Bullet"/>
    <w:basedOn w:val="Normal"/>
    <w:pPr>
      <w:numPr>
        <w:ilvl w:val="0"/>
        <w:numId w:val="2"/>
      </w:numPr>
      <w:spacing w:before="0" w:after="0"/>
      <w:contextualSpacing/>
    </w:pPr>
    <w:rPr/>
  </w:style>
  <w:style w:type="paragraph" w:styleId="ListBullet2">
    <w:name w:val="List Bullet 2"/>
    <w:basedOn w:val="Normal"/>
    <w:pPr>
      <w:numPr>
        <w:ilvl w:val="0"/>
        <w:numId w:val="3"/>
      </w:numPr>
      <w:spacing w:before="0" w:after="0"/>
      <w:contextualSpacing/>
    </w:pPr>
    <w:rPr/>
  </w:style>
  <w:style w:type="paragraph" w:styleId="ListBullet3">
    <w:name w:val="List Bullet 3"/>
    <w:basedOn w:val="Normal"/>
    <w:pPr>
      <w:numPr>
        <w:ilvl w:val="0"/>
        <w:numId w:val="4"/>
      </w:numPr>
      <w:spacing w:before="0" w:after="0"/>
      <w:contextualSpacing/>
    </w:pPr>
    <w:rPr/>
  </w:style>
  <w:style w:type="paragraph" w:styleId="ListNumber">
    <w:name w:val="List Number"/>
    <w:basedOn w:val="Normal"/>
    <w:pPr>
      <w:numPr>
        <w:ilvl w:val="0"/>
        <w:numId w:val="5"/>
      </w:numPr>
      <w:spacing w:before="0" w:after="0"/>
      <w:contextualSpacing/>
    </w:pPr>
    <w:rPr/>
  </w:style>
  <w:style w:type="paragraph" w:styleId="ListNumber2">
    <w:name w:val="List Number 2"/>
    <w:basedOn w:val="Normal"/>
    <w:pPr>
      <w:numPr>
        <w:ilvl w:val="0"/>
        <w:numId w:val="6"/>
      </w:numPr>
      <w:spacing w:before="0" w:after="0"/>
      <w:contextualSpacing/>
    </w:pPr>
    <w:rPr/>
  </w:style>
  <w:style w:type="paragraph" w:styleId="ListNumber3">
    <w:name w:val="List Number 3"/>
    <w:basedOn w:val="Normal"/>
    <w:pPr>
      <w:numPr>
        <w:ilvl w:val="0"/>
        <w:numId w:val="7"/>
      </w:numPr>
      <w:spacing w:before="0" w:after="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Montserrat" w:cs="Noto Sans"/>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repositoriodocumental.ine.mx/xmlui/bitstream/handle/123456789/190374/CGex202609-29-ap-5.pdf" TargetMode="External"/><Relationship Id="rId5" Type="http://schemas.openxmlformats.org/officeDocument/2006/relationships/hyperlink" Target="https://repositoriodocumental.ine.mx/xmlui/bitstream/handle/123456789/190374/CGex202609-29-ap-5-a.zip" TargetMode="External"/><Relationship Id="rId6" Type="http://schemas.openxmlformats.org/officeDocument/2006/relationships/hyperlink" Target="https://repositoriodocumental.ine.mx/xmlui/bitstream/handle/123456789/189398/CGex202607-30-ap-3-a2.pdf" TargetMode="External"/><Relationship Id="rId7" Type="http://schemas.openxmlformats.org/officeDocument/2006/relationships/hyperlink" Target="https://repositoriodocumental.ine.mx/xmlui/bitstream/handle/123456789/189392/CGex202607-30-ap-4-a.zip" TargetMode="External"/><Relationship Id="rId8" Type="http://schemas.openxmlformats.org/officeDocument/2006/relationships/hyperlink" Target="https://repositoriodocumental.ine.mx/xmlui/bitstream/handle/123456789/190374/CGex202609-29-ap-5-a.zip" TargetMode="External"/><Relationship Id="rId9" Type="http://schemas.openxmlformats.org/officeDocument/2006/relationships/hyperlink" Target="https://repositoriodocumental.ine.mx/xmlui/bitstream/handle/123456789/189392/CGex202607-30-ap-4-a.zip" TargetMode="External"/><Relationship Id="rId10" Type="http://schemas.openxmlformats.org/officeDocument/2006/relationships/hyperlink" Target="https://repositoriodocumental.ine.mx/xmlui/bitstream/handle/123456789/190374/CGex202609-29-ap-5-a.zip" TargetMode="External"/><Relationship Id="rId11" Type="http://schemas.openxmlformats.org/officeDocument/2006/relationships/hyperlink" Target="https://repositoriodocumental.ine.mx/xmlui/bitstream/handle/123456789/189398/CGex202607-30-ap-3-a2.pdf" TargetMode="External"/><Relationship Id="rId12" Type="http://schemas.openxmlformats.org/officeDocument/2006/relationships/hyperlink" Target="https://repositoriodocumental.ine.mx/xmlui/bitstream/handle/123456789/189398/CGex202607-30-ap-3-a2.pdf" TargetMode="External"/><Relationship Id="rId13" Type="http://schemas.openxmlformats.org/officeDocument/2006/relationships/hyperlink" Target="https://repositoriodocumental.ine.mx/xmlui/bitstream/handle/123456789/189398/CGex202607-30-ap-3-a2.pdf" TargetMode="External"/><Relationship Id="rId14" Type="http://schemas.openxmlformats.org/officeDocument/2006/relationships/hyperlink" Target="https://repositoriodocumental.ine.mx/xmlui/bitstream/handle/123456789/189398/CGex202607-30-ap-3-a2.pdf" TargetMode="External"/><Relationship Id="rId15" Type="http://schemas.openxmlformats.org/officeDocument/2006/relationships/hyperlink" Target="https://www.diputados.gob.mx/LeyesBiblio/pdf/LGSMIME.pdf" TargetMode="External"/><Relationship Id="rId16" Type="http://schemas.openxmlformats.org/officeDocument/2006/relationships/hyperlink" Target="https://www.diputados.gob.mx/LeyesBiblio/pdf/LGSMIME.pdf" TargetMode="External"/><Relationship Id="rId17" Type="http://schemas.openxmlformats.org/officeDocument/2006/relationships/hyperlink" Target="https://www.diputados.gob.mx/LeyesBiblio/pdf/LGSMIME.pdf" TargetMode="External"/><Relationship Id="rId18" Type="http://schemas.openxmlformats.org/officeDocument/2006/relationships/hyperlink" Target="https://www.diputados.gob.mx/LeyesBiblio/pdf/LGSMIME.pdf" TargetMode="External"/><Relationship Id="rId19" Type="http://schemas.openxmlformats.org/officeDocument/2006/relationships/hyperlink" Target="https://www.te.gob.mx/legislacion/media/files/b03510ec9d13080.htm" TargetMode="External"/><Relationship Id="rId20" Type="http://schemas.openxmlformats.org/officeDocument/2006/relationships/hyperlink" Target="https://www.te.gob.mx/legislacion/media/files/b03510ec9d13080.htm" TargetMode="External"/><Relationship Id="rId21" Type="http://schemas.openxmlformats.org/officeDocument/2006/relationships/hyperlink" Target="https://www.te.gob.mx/legislacion/media/files/b03510ec9d13080.htm" TargetMode="External"/><Relationship Id="rId22" Type="http://schemas.openxmlformats.org/officeDocument/2006/relationships/hyperlink" Target="https://www.te.gob.mx/legislacion/media/files/91c68968bbf09e7.htm" TargetMode="External"/><Relationship Id="rId23" Type="http://schemas.openxmlformats.org/officeDocument/2006/relationships/hyperlink" Target="https://www.te.gob.mx/legislacion/media/files/91c68968bbf09e7.htm" TargetMode="External"/><Relationship Id="rId24" Type="http://schemas.openxmlformats.org/officeDocument/2006/relationships/hyperlink" Target="https://www.te.gob.mx/legislacion/media/files/ed2a70124503cef.htm" TargetMode="External"/><Relationship Id="rId25" Type="http://schemas.openxmlformats.org/officeDocument/2006/relationships/hyperlink" Target="https://www.te.gob.mx/legislacion/media/files/ed2a70124503cef.htm" TargetMode="External"/><Relationship Id="rId26" Type="http://schemas.openxmlformats.org/officeDocument/2006/relationships/hyperlink" Target="https://www.te.gob.mx/legislacion/media/files/b023b97f30df5f7.htm" TargetMode="External"/><Relationship Id="rId27" Type="http://schemas.openxmlformats.org/officeDocument/2006/relationships/hyperlink" Target="https://www.te.gob.mx/legislacion/media/files/b023b97f30df5f7.htm" TargetMode="External"/><Relationship Id="rId28" Type="http://schemas.openxmlformats.org/officeDocument/2006/relationships/hyperlink" Target="https://www.te.gob.mx/legislacion/media/files/8b4bb9162474666.htm" TargetMode="External"/><Relationship Id="rId29" Type="http://schemas.openxmlformats.org/officeDocument/2006/relationships/hyperlink" Target="https://www.te.gob.mx/legislacion/media/files/c09329d269bec58.htm" TargetMode="External"/><Relationship Id="rId30" Type="http://schemas.openxmlformats.org/officeDocument/2006/relationships/hyperlink" Target="https://www.te.gob.mx/legislacion/media/files/020ab694dcb5d58.htm" TargetMode="External"/><Relationship Id="rId31" Type="http://schemas.openxmlformats.org/officeDocument/2006/relationships/hyperlink" Target="https://www.te.gob.mx/legislacion/media/pdf/5663cc6974a250e.pdf" TargetMode="External"/><Relationship Id="rId32" Type="http://schemas.openxmlformats.org/officeDocument/2006/relationships/hyperlink" Target="https://www.te.gob.mx/legislacion/media/files/d0ebc1ec70bdf05.htm" TargetMode="External"/><Relationship Id="rId33" Type="http://schemas.openxmlformats.org/officeDocument/2006/relationships/hyperlink" Target="https://www.te.gob.mx/legislacion/media/files/de8f4ce83e5e6d0.htm" TargetMode="External"/><Relationship Id="rId34" Type="http://schemas.openxmlformats.org/officeDocument/2006/relationships/hyperlink" Target="https://www.te.gob.mx/legislacion/media/files/de8f4ce83e5e6d0.htm" TargetMode="External"/><Relationship Id="rId35" Type="http://schemas.openxmlformats.org/officeDocument/2006/relationships/hyperlink" Target="https://www.te.gob.mx/legislacion/media/files/4cb2a3c7ba67119.htm" TargetMode="External"/><Relationship Id="rId36" Type="http://schemas.openxmlformats.org/officeDocument/2006/relationships/hyperlink" Target="https://www.te.gob.mx/legislacion/media/files/843228ffa53309e.htm" TargetMode="External"/><Relationship Id="rId37" Type="http://schemas.openxmlformats.org/officeDocument/2006/relationships/hyperlink" Target="https://www.te.gob.mx/legislacion/media/files/aca99076c90a802.htm" TargetMode="External"/><Relationship Id="rId38" Type="http://schemas.openxmlformats.org/officeDocument/2006/relationships/hyperlink" Target="https://congresoweb.congresojal.gob.mx/BibliotecaVirtual/legislacion/C&#243;digos/Documentos_PDF-C&#243;digos/C&#243;digo%20Electoral%20del%20Estado%20de%20Jalisco-240626.pdf" TargetMode="External"/><Relationship Id="rId39" Type="http://schemas.openxmlformats.org/officeDocument/2006/relationships/hyperlink" Target="https://congresoweb.congresojal.gob.mx/BibliotecaVirtual/legislacion/C&#243;digos/Documentos_PDF-C&#243;digos/C&#243;digo%20Electoral%20del%20Estado%20de%20Jalisco-240626.pdf" TargetMode="External"/><Relationship Id="rId40" Type="http://schemas.openxmlformats.org/officeDocument/2006/relationships/hyperlink" Target="https://www.te.gob.mx/legislacion/media/files/7c6fe76623f0f47.htm" TargetMode="External"/><Relationship Id="rId41" Type="http://schemas.openxmlformats.org/officeDocument/2006/relationships/hyperlink" Target="https://www.te.gob.mx/legislacion/media/files/c61bd41ddb1c644.htm" TargetMode="External"/><Relationship Id="rId42" Type="http://schemas.openxmlformats.org/officeDocument/2006/relationships/hyperlink" Target="https://www.te.gob.mx/legislacion/media/files/c61bd41ddb1c644.htm" TargetMode="External"/><Relationship Id="rId43" Type="http://schemas.openxmlformats.org/officeDocument/2006/relationships/hyperlink" Target="https://www.te.gob.mx/legislacion/media/files/c61bd41ddb1c644.htm" TargetMode="External"/><Relationship Id="rId44" Type="http://schemas.openxmlformats.org/officeDocument/2006/relationships/hyperlink" Target="https://www.te.gob.mx/legislacion/media/files/83451ca78ae9149.htm" TargetMode="External"/><Relationship Id="rId45" Type="http://schemas.openxmlformats.org/officeDocument/2006/relationships/hyperlink" Target="https://www.te.gob.mx/legislacion/media/files/1c82e873c8bccf8.htm" TargetMode="External"/><Relationship Id="rId46" Type="http://schemas.openxmlformats.org/officeDocument/2006/relationships/hyperlink" Target="https://www.te.gob.mx/legislacion/media/files/832fa9f89421b43.htm" TargetMode="External"/><Relationship Id="rId47" Type="http://schemas.openxmlformats.org/officeDocument/2006/relationships/hyperlink" Target="https://www.te.gob.mx/legislacion/media/files/832fa9f89421b43.htm" TargetMode="External"/><Relationship Id="rId48" Type="http://schemas.openxmlformats.org/officeDocument/2006/relationships/hyperlink" Target="https://www.te.gob.mx/legislacion/media/files/f9980f607ab9a5b.htm" TargetMode="External"/><Relationship Id="rId49" Type="http://schemas.openxmlformats.org/officeDocument/2006/relationships/hyperlink" Target="https://www.te.gob.mx/legislacion/media/files/cb87d3f7f2f8232.htm" TargetMode="External"/><Relationship Id="rId50" Type="http://schemas.openxmlformats.org/officeDocument/2006/relationships/hyperlink" Target="https://www.te.gob.mx/legislacion/media/files/f06b338c38c73a1.htm" TargetMode="External"/><Relationship Id="rId51" Type="http://schemas.openxmlformats.org/officeDocument/2006/relationships/hyperlink" Target="https://www.te.gob.mx/legislacion/media/files/f06b338c38c73a1.htm" TargetMode="External"/><Relationship Id="rId52" Type="http://schemas.openxmlformats.org/officeDocument/2006/relationships/hyperlink" Target="https://www.te.gob.mx/legislacion/media/files/f06b338c38c73a1.htm" TargetMode="External"/><Relationship Id="rId53" Type="http://schemas.openxmlformats.org/officeDocument/2006/relationships/hyperlink" Target="https://www.te.gob.mx/legislacion/media/files/f06b338c38c73a1.htm" TargetMode="External"/><Relationship Id="rId54" Type="http://schemas.openxmlformats.org/officeDocument/2006/relationships/hyperlink" Target="https://www.te.gob.mx/legislacion/media/files/f06b338c38c73a1.htm" TargetMode="External"/><Relationship Id="rId55" Type="http://schemas.openxmlformats.org/officeDocument/2006/relationships/hyperlink" Target="https://www.te.gob.mx/legislacion/media/files/f06b338c38c73a1.htm" TargetMode="External"/><Relationship Id="rId56" Type="http://schemas.openxmlformats.org/officeDocument/2006/relationships/hyperlink" Target="https://www.te.gob.mx/legislacion/media/files/7d22ff652051163.htm" TargetMode="External"/><Relationship Id="rId57" Type="http://schemas.openxmlformats.org/officeDocument/2006/relationships/hyperlink" Target="https://www.te.gob.mx/legislacion/media/files/7d22ff652051163.htm" TargetMode="External"/><Relationship Id="rId58" Type="http://schemas.openxmlformats.org/officeDocument/2006/relationships/hyperlink" Target="https://www.te.gob.mx/legislacion/media/files/7d22ff652051163.htm" TargetMode="External"/><Relationship Id="rId59" Type="http://schemas.openxmlformats.org/officeDocument/2006/relationships/hyperlink" Target="https://www.te.gob.mx/legislacion/media/files/53d7b38f6a39219.htm" TargetMode="External"/><Relationship Id="rId60" Type="http://schemas.openxmlformats.org/officeDocument/2006/relationships/hyperlink" Target="https://www.te.gob.mx/legislacion/media/files/6e165294eb8885a.htm" TargetMode="External"/><Relationship Id="rId61" Type="http://schemas.openxmlformats.org/officeDocument/2006/relationships/hyperlink" Target="https://www.te.gob.mx/legislacion/media/files/06fd8f10dae81ad.htm" TargetMode="External"/><Relationship Id="rId62" Type="http://schemas.openxmlformats.org/officeDocument/2006/relationships/hyperlink" Target="https://www.te.gob.mx/legislacion/media/files/06fd8f10dae81ad.htm" TargetMode="External"/><Relationship Id="rId63" Type="http://schemas.openxmlformats.org/officeDocument/2006/relationships/hyperlink" Target="https://www.te.gob.mx/legislacion/media/files/e9bc49e573e48da.htm" TargetMode="External"/><Relationship Id="rId64" Type="http://schemas.openxmlformats.org/officeDocument/2006/relationships/hyperlink" Target="https://www.te.gob.mx/legislacion/media/files/52e6e37818051e8.htm" TargetMode="External"/><Relationship Id="rId65" Type="http://schemas.openxmlformats.org/officeDocument/2006/relationships/hyperlink" Target="https://www.te.gob.mx/legislacion/media/files/688243144a64258.htm" TargetMode="External"/><Relationship Id="rId66" Type="http://schemas.openxmlformats.org/officeDocument/2006/relationships/hyperlink" Target="https://www.iepac.mx/public/marco-normativo/leyes/legislacion-estatal/LSMIMEEY-28-07-2026.pdf" TargetMode="External"/><Relationship Id="rId67" Type="http://schemas.openxmlformats.org/officeDocument/2006/relationships/hyperlink" Target="https://www.te.gob.mx/legislacion/media/files/23f34fd709aaf6d.htm" TargetMode="External"/><Relationship Id="rId68" Type="http://schemas.openxmlformats.org/officeDocument/2006/relationships/hyperlink" Target="https://www.te.gob.mx/legislacion/media/files/23f34fd709aaf6d.htm" TargetMode="External"/><Relationship Id="rId69" Type="http://schemas.openxmlformats.org/officeDocument/2006/relationships/hyperlink" Target="https://www.te.gob.mx/legislacion/media/files/b03510ec9d13080.htm" TargetMode="External"/><Relationship Id="rId70" Type="http://schemas.openxmlformats.org/officeDocument/2006/relationships/hyperlink" Target="https://www.te.gob.mx/legislacion/media/files/91c68968bbf09e7.htm" TargetMode="External"/><Relationship Id="rId71" Type="http://schemas.openxmlformats.org/officeDocument/2006/relationships/hyperlink" Target="https://www.te.gob.mx/legislacion/media/files/ed2a70124503cef.htm" TargetMode="External"/><Relationship Id="rId72" Type="http://schemas.openxmlformats.org/officeDocument/2006/relationships/hyperlink" Target="https://www.iepc-chiapas.org.mx/archivos/legislacion/Estatal/05_LEY%20de%20MIMEECH_19092026.pdf" TargetMode="External"/><Relationship Id="rId73" Type="http://schemas.openxmlformats.org/officeDocument/2006/relationships/hyperlink" Target="https://www.te.gob.mx/legislacion/media/files/8b4bb9162474666.htm" TargetMode="External"/><Relationship Id="rId74" Type="http://schemas.openxmlformats.org/officeDocument/2006/relationships/hyperlink" Target="https://www.te.gob.mx/legislacion/media/files/c09329d269bec58.htm" TargetMode="External"/><Relationship Id="rId75" Type="http://schemas.openxmlformats.org/officeDocument/2006/relationships/hyperlink" Target="https://www.te.gob.mx/legislacion/media/files/020ab694dcb5d58.htm" TargetMode="External"/><Relationship Id="rId76" Type="http://schemas.openxmlformats.org/officeDocument/2006/relationships/hyperlink" Target="https://www.te.gob.mx/legislacion/media/pdf/5663cc6974a250e.pdf" TargetMode="External"/><Relationship Id="rId77" Type="http://schemas.openxmlformats.org/officeDocument/2006/relationships/hyperlink" Target="https://www.te.gob.mx/legislacion/media/files/6d4924007ab9610.htm" TargetMode="External"/><Relationship Id="rId78" Type="http://schemas.openxmlformats.org/officeDocument/2006/relationships/hyperlink" Target="https://www.te.gob.mx/legislacion/media/files/d0ebc1ec70bdf05.htm" TargetMode="External"/><Relationship Id="rId79" Type="http://schemas.openxmlformats.org/officeDocument/2006/relationships/hyperlink" Target="https://www.te.gob.mx/legislacion/media/files/de8f4ce83e5e6d0.htm" TargetMode="External"/><Relationship Id="rId80" Type="http://schemas.openxmlformats.org/officeDocument/2006/relationships/hyperlink" Target="https://www.te.gob.mx/legislacion/media/files/4cb2a3c7ba67119.htm" TargetMode="External"/><Relationship Id="rId81" Type="http://schemas.openxmlformats.org/officeDocument/2006/relationships/hyperlink" Target="https://www.te.gob.mx/legislacion/media/files/843228ffa53309e.htm" TargetMode="External"/><Relationship Id="rId82" Type="http://schemas.openxmlformats.org/officeDocument/2006/relationships/hyperlink" Target="https://www.te.gob.mx/legislacion/media/files/aca99076c90a802.htm" TargetMode="External"/><Relationship Id="rId83" Type="http://schemas.openxmlformats.org/officeDocument/2006/relationships/hyperlink" Target="https://congresoweb.congresojal.gob.mx/BibliotecaVirtual/legislacion/C&#243;digos/Documentos_PDF-C&#243;digos/C&#243;digo%20Electoral%20del%20Estado%20de%20Jalisco-240626.pdf" TargetMode="External"/><Relationship Id="rId84" Type="http://schemas.openxmlformats.org/officeDocument/2006/relationships/hyperlink" Target="https://www.te.gob.mx/legislacion/media/files/7c6fe76623f0f47.htm" TargetMode="External"/><Relationship Id="rId85" Type="http://schemas.openxmlformats.org/officeDocument/2006/relationships/hyperlink" Target="https://www.te.gob.mx/legislacion/media/files/c61bd41ddb1c644.htm" TargetMode="External"/><Relationship Id="rId86" Type="http://schemas.openxmlformats.org/officeDocument/2006/relationships/hyperlink" Target="https://www.te.gob.mx/legislacion/media/files/c61bd41ddb1c644.htm" TargetMode="External"/><Relationship Id="rId87" Type="http://schemas.openxmlformats.org/officeDocument/2006/relationships/hyperlink" Target="https://www.te.gob.mx/legislacion/media/files/83451ca78ae9149.htm" TargetMode="External"/><Relationship Id="rId88" Type="http://schemas.openxmlformats.org/officeDocument/2006/relationships/hyperlink" Target="https://www.te.gob.mx/legislacion/media/files/1c82e873c8bccf8.htm" TargetMode="External"/><Relationship Id="rId89" Type="http://schemas.openxmlformats.org/officeDocument/2006/relationships/hyperlink" Target="https://www.te.gob.mx/legislacion/media/files/832fa9f89421b43.htm" TargetMode="External"/><Relationship Id="rId90" Type="http://schemas.openxmlformats.org/officeDocument/2006/relationships/hyperlink" Target="https://www.te.gob.mx/legislacion/media/files/832fa9f89421b43.htm" TargetMode="External"/><Relationship Id="rId91" Type="http://schemas.openxmlformats.org/officeDocument/2006/relationships/hyperlink" Target="https://www.te.gob.mx/legislacion/media/files/f9980f607ab9a5b.htm" TargetMode="External"/><Relationship Id="rId92" Type="http://schemas.openxmlformats.org/officeDocument/2006/relationships/hyperlink" Target="https://www.te.gob.mx/legislacion/media/files/cb87d3f7f2f8232.htm" TargetMode="External"/><Relationship Id="rId93" Type="http://schemas.openxmlformats.org/officeDocument/2006/relationships/hyperlink" Target="https://www.te.gob.mx/legislacion/media/files/cb87d3f7f2f8232.htm" TargetMode="External"/><Relationship Id="rId94" Type="http://schemas.openxmlformats.org/officeDocument/2006/relationships/hyperlink" Target="https://www.te.gob.mx/legislacion/media/files/f06b338c38c73a1.htm" TargetMode="External"/><Relationship Id="rId95" Type="http://schemas.openxmlformats.org/officeDocument/2006/relationships/hyperlink" Target="https://www.te.gob.mx/legislacion/media/files/7d22ff652051163.htm" TargetMode="External"/><Relationship Id="rId96" Type="http://schemas.openxmlformats.org/officeDocument/2006/relationships/hyperlink" Target="https://www.te.gob.mx/legislacion/media/files/53d7b38f6a39219.htm" TargetMode="External"/><Relationship Id="rId97" Type="http://schemas.openxmlformats.org/officeDocument/2006/relationships/hyperlink" Target="https://www.te.gob.mx/legislacion/media/files/53d7b38f6a39219.htm" TargetMode="External"/><Relationship Id="rId98" Type="http://schemas.openxmlformats.org/officeDocument/2006/relationships/hyperlink" Target="https://www.te.gob.mx/legislacion/media/files/6e165294eb8885a.htm" TargetMode="External"/><Relationship Id="rId99" Type="http://schemas.openxmlformats.org/officeDocument/2006/relationships/hyperlink" Target="https://www.te.gob.mx/legislacion/media/files/06fd8f10dae81ad.htm" TargetMode="External"/><Relationship Id="rId100" Type="http://schemas.openxmlformats.org/officeDocument/2006/relationships/hyperlink" Target="https://www.te.gob.mx/legislacion/media/files/e9bc49e573e48da.htm" TargetMode="External"/><Relationship Id="rId101" Type="http://schemas.openxmlformats.org/officeDocument/2006/relationships/hyperlink" Target="https://www.te.gob.mx/legislacion/media/files/52e6e37818051e8.htm" TargetMode="External"/><Relationship Id="rId102" Type="http://schemas.openxmlformats.org/officeDocument/2006/relationships/hyperlink" Target="https://www.te.gob.mx/legislacion/media/files/688243144a64258.htm" TargetMode="External"/><Relationship Id="rId103" Type="http://schemas.openxmlformats.org/officeDocument/2006/relationships/hyperlink" Target="https://www.iepac.mx/public/marco-normativo/leyes/legislacion-estatal/LSMIMEEY-28-07-2026.pdf" TargetMode="External"/><Relationship Id="rId104" Type="http://schemas.openxmlformats.org/officeDocument/2006/relationships/hyperlink" Target="https://www.te.gob.mx/legislacion/media/files/23f34fd709aaf6d.htm" TargetMode="External"/><Relationship Id="rId105" Type="http://schemas.openxmlformats.org/officeDocument/2006/relationships/hyperlink" Target="https://www.diputados.gob.mx/LeyesBiblio/pdf/LGSMIME.pdf" TargetMode="External"/><Relationship Id="rId106" Type="http://schemas.openxmlformats.org/officeDocument/2006/relationships/hyperlink" Target="https://www.diputados.gob.mx/LeyesBiblio/pdf/LGSMIME.pdf" TargetMode="External"/><Relationship Id="rId107" Type="http://schemas.openxmlformats.org/officeDocument/2006/relationships/hyperlink" Target="https://www.diputados.gob.mx/LeyesBiblio/pdf/LGSMIME.pdf" TargetMode="External"/><Relationship Id="rId108" Type="http://schemas.openxmlformats.org/officeDocument/2006/relationships/hyperlink" Target="https://www.diputados.gob.mx/LeyesBiblio/pdf/LGSMIME.pdf" TargetMode="External"/><Relationship Id="rId109" Type="http://schemas.openxmlformats.org/officeDocument/2006/relationships/footer" Target="footer1.xml"/><Relationship Id="rId110" Type="http://schemas.openxmlformats.org/officeDocument/2006/relationships/numbering" Target="numbering.xml"/><Relationship Id="rId111" Type="http://schemas.openxmlformats.org/officeDocument/2006/relationships/fontTable" Target="fontTable.xml"/><Relationship Id="rId112" Type="http://schemas.openxmlformats.org/officeDocument/2006/relationships/settings" Target="settings.xml"/><Relationship Id="rId1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LibreOfficeDev/26.8.0.0.alpha0$MacOSX_X86_64 LibreOffice_project/2c87e51eeaa2b413ff4ae097b2705eea1995d8e5</Application>
  <AppVersion>15.0000</AppVersion>
  <Pages>49</Pages>
  <Words>12842</Words>
  <Characters>67204</Characters>
  <CharactersWithSpaces>78550</CharactersWithSpaces>
  <Paragraphs>1634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2026-10-19T00:00:00Z</dcterms:created>
  <dc:creator>Luis Montañez Escobar</dc:creator>
  <dc:description/>
  <dc:language>es-MX</dc:language>
  <cp:lastModifiedBy>Luis Montañez Escobar</cp:lastModifiedBy>
  <dcterms:modified xsi:type="dcterms:W3CDTF">2026-10-27T00:24:24Z</dcterms:modified>
  <cp:revision>1</cp:revision>
  <dc:subject>Obtención del apoyo de la ciudadanía, precampaña, campaña, fiscalización y actuaciones posteriores</dc:subject>
  <dc:title>Calendario electoral 2026–2027</dc:title>
</cp:coreProperties>
</file>

<file path=docProps/custom.xml><?xml version="1.0" encoding="utf-8"?>
<Properties xmlns="http://schemas.openxmlformats.org/officeDocument/2006/custom-properties" xmlns:vt="http://schemas.openxmlformats.org/officeDocument/2006/docPropsVTypes"/>
</file>