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E868A"/>
        <w:spacing w:before="0" w:after="0"/>
        <w:ind w:left="-1701" w:right="-1417"/>
        <w:jc w:val="left"/>
      </w:pPr>
      <w:r>
        <w:rPr>
          <w:b/>
          <w:color w:val="FFFFFF"/>
          <w:sz w:val="22"/>
        </w:rPr>
        <w:t xml:space="preserve">  HARÚ MARCANO</w:t>
      </w:r>
    </w:p>
    <w:p/>
    <w:p>
      <w:pPr>
        <w:spacing w:before="600" w:after="80"/>
        <w:jc w:val="center"/>
      </w:pPr>
      <w:r>
        <w:rPr>
          <w:b/>
          <w:color w:val="1A1A2E"/>
          <w:sz w:val="56"/>
        </w:rPr>
        <w:t>MANUAL DE CLASE</w:t>
      </w:r>
    </w:p>
    <w:p>
      <w:pPr>
        <w:spacing w:after="40"/>
        <w:jc w:val="center"/>
      </w:pPr>
      <w:r>
        <w:rPr>
          <w:b/>
          <w:color w:val="2E868A"/>
          <w:sz w:val="28"/>
        </w:rPr>
        <w:t>Módulo 4</w:t>
      </w:r>
    </w:p>
    <w:p>
      <w:pPr>
        <w:spacing w:after="80"/>
        <w:jc w:val="center"/>
      </w:pPr>
      <w:r>
        <w:rPr>
          <w:b/>
          <w:color w:val="1A1A2E"/>
          <w:sz w:val="44"/>
        </w:rPr>
        <w:t>ENFERMEDADES DE LAS UÑAS</w:t>
      </w:r>
    </w:p>
    <w:p>
      <w:pPr>
        <w:spacing w:after="600"/>
        <w:jc w:val="center"/>
      </w:pPr>
      <w:r>
        <w:rPr>
          <w:i/>
          <w:color w:val="C9A05A"/>
          <w:sz w:val="24"/>
        </w:rPr>
        <w:t>Identificación, conducta profesional y comunicación con la clienta</w:t>
      </w:r>
    </w:p>
    <w:p>
      <w:pPr>
        <w:pBdr>
          <w:bottom w:val="single" w:sz="6" w:space="1" w:color="C9A05A"/>
        </w:pBdr>
        <w:spacing w:before="40" w:after="40"/>
      </w:pPr>
    </w:p>
    <w:p>
      <w:pPr>
        <w:spacing w:after="80"/>
        <w:jc w:val="center"/>
      </w:pPr>
      <w:r>
        <w:rPr>
          <w:b/>
          <w:color w:val="2E868A"/>
          <w:sz w:val="22"/>
        </w:rPr>
        <w:t xml:space="preserve">Instructora: </w:t>
      </w:r>
      <w:r>
        <w:rPr>
          <w:color w:val="1A1A2E"/>
          <w:sz w:val="22"/>
        </w:rPr>
        <w:t>Harú Marcano</w:t>
      </w:r>
    </w:p>
    <w:p>
      <w:pPr>
        <w:spacing w:after="80"/>
        <w:jc w:val="center"/>
      </w:pPr>
      <w:r>
        <w:rPr>
          <w:b/>
          <w:color w:val="2E868A"/>
          <w:sz w:val="22"/>
        </w:rPr>
        <w:t xml:space="preserve">Nivel: </w:t>
      </w:r>
      <w:r>
        <w:rPr>
          <w:color w:val="1A1A2E"/>
          <w:sz w:val="22"/>
        </w:rPr>
        <w:t>Básico – Intermedio</w:t>
      </w:r>
    </w:p>
    <w:p>
      <w:pPr>
        <w:spacing w:after="80"/>
        <w:jc w:val="center"/>
      </w:pPr>
      <w:r>
        <w:rPr>
          <w:b/>
          <w:color w:val="2E868A"/>
          <w:sz w:val="22"/>
        </w:rPr>
        <w:t xml:space="preserve">Duración: </w:t>
      </w:r>
      <w:r>
        <w:rPr>
          <w:color w:val="1A1A2E"/>
          <w:sz w:val="22"/>
        </w:rPr>
        <w:t>90 – 120 minutos</w:t>
      </w:r>
    </w:p>
    <w:p>
      <w:pPr>
        <w:spacing w:after="80"/>
        <w:jc w:val="center"/>
      </w:pPr>
      <w:r>
        <w:rPr>
          <w:b/>
          <w:color w:val="2E868A"/>
          <w:sz w:val="22"/>
        </w:rPr>
        <w:t xml:space="preserve">Dirigido a: </w:t>
      </w:r>
      <w:r>
        <w:rPr>
          <w:color w:val="1A1A2E"/>
          <w:sz w:val="22"/>
        </w:rPr>
        <w:t>Manicuristas en formación</w:t>
      </w:r>
    </w:p>
    <w:p/>
    <w:p>
      <w:pPr>
        <w:spacing w:before="160" w:after="160"/>
        <w:jc w:val="center"/>
        <w:shd w:val="clear" w:color="auto" w:fill="1A1A2E"/>
      </w:pPr>
      <w:r>
        <w:rPr>
          <w:i/>
          <w:color w:val="FFFFFF"/>
          <w:sz w:val="22"/>
        </w:rPr>
        <w:t>"El conocimiento protege. La ignorancia arriesga."</w:t>
      </w:r>
    </w:p>
    <w:p>
      <w:r>
        <w:br w:type="page"/>
      </w:r>
    </w:p>
    <w:p>
      <w:pPr>
        <w:shd w:val="clear" w:color="auto" w:fill="2E868A"/>
        <w:spacing w:before="80" w:after="200"/>
      </w:pPr>
      <w:r>
        <w:rPr>
          <w:b/>
          <w:color w:val="FFFFFF"/>
          <w:sz w:val="28"/>
        </w:rPr>
        <w:t xml:space="preserve">  01 · MI ENFOQUE COMO INSTRUCTORA</w:t>
      </w:r>
    </w:p>
    <w:p>
      <w:pPr>
        <w:spacing w:after="120"/>
      </w:pPr>
      <w:r>
        <w:rPr>
          <w:b w:val="0"/>
          <w:color w:val="1A1A2E"/>
          <w:sz w:val="22"/>
        </w:rPr>
        <w:t>Soy Harú Marcano, manicurista profesional con 7 años de experiencia y contadora pública. En este tiempo he trabajado con cientos de clientas reales, en condiciones reales, con decisiones que debían tomarse en el momento — sin tiempo para buscar en Google.</w:t>
      </w:r>
    </w:p>
    <w:p>
      <w:pPr>
        <w:spacing w:after="120"/>
      </w:pPr>
      <w:r>
        <w:rPr>
          <w:b w:val="0"/>
          <w:color w:val="1A1A2E"/>
          <w:sz w:val="22"/>
        </w:rPr>
        <w:t>Mi propósito al enseñar no es que memorices una lista de enfermedades. Es que, cuando una clienta se siente frente a ti y te muestra una uña que no se ve bien, SEPAS qué estás viendo, tengas las palabras para explicarlo con seguridad y confianza, y tomes la decisión correcta sin dudarlo.</w:t>
      </w:r>
    </w:p>
    <w:p>
      <w:pPr>
        <w:spacing w:after="120"/>
      </w:pPr>
      <w:r>
        <w:rPr>
          <w:b w:val="0"/>
          <w:color w:val="1A1A2E"/>
          <w:sz w:val="22"/>
        </w:rPr>
        <w:t>Más allá de la técnica, creo firmemente que el futuro de nuestra profesión también pasa por los números. Como contadora, quiero que cada manicurista aprenda a valorar su trabajo, organizar sus ingresos y construir un negocio real — no solo un oficio.</w:t>
      </w:r>
    </w:p>
    <w:p>
      <w:pPr>
        <w:spacing w:after="120"/>
      </w:pPr>
      <w:r>
        <w:rPr>
          <w:b/>
          <w:color w:val="2E868A"/>
          <w:sz w:val="22"/>
        </w:rPr>
        <w:t>→ En esta clase aprenderás desde la práctica, con casos reales de mi mesa de trabajo.</w:t>
      </w:r>
    </w:p>
    <w:p/>
    <w:p>
      <w:pPr>
        <w:shd w:val="clear" w:color="auto" w:fill="2E868A"/>
        <w:spacing w:before="80" w:after="200"/>
      </w:pPr>
      <w:r>
        <w:rPr>
          <w:b/>
          <w:color w:val="FFFFFF"/>
          <w:sz w:val="28"/>
        </w:rPr>
        <w:t xml:space="preserve">  02 · OBJETIVO DE LA CLASE</w:t>
      </w:r>
    </w:p>
    <w:p>
      <w:pPr>
        <w:spacing w:after="120"/>
      </w:pPr>
      <w:r>
        <w:rPr>
          <w:b/>
          <w:color w:val="1A1A2E"/>
          <w:sz w:val="22"/>
        </w:rPr>
        <w:t>Objetivo general:</w:t>
      </w:r>
    </w:p>
    <w:p>
      <w:pPr>
        <w:spacing w:after="120"/>
      </w:pPr>
      <w:r>
        <w:rPr>
          <w:b w:val="0"/>
          <w:color w:val="1A1A2E"/>
          <w:sz w:val="22"/>
        </w:rPr>
        <w:t>Que las alumnas sean capaces de identificar las enfermedades más comunes que se presentan en las uñas de sus clientas, actuar de forma profesional y comunicar con seguridad por qué no es posible aplicar ningún producto en esa visita.</w:t>
      </w:r>
    </w:p>
    <w:p/>
    <w:p>
      <w:pPr>
        <w:spacing w:after="120"/>
      </w:pPr>
      <w:r>
        <w:rPr>
          <w:b/>
          <w:color w:val="1A1A2E"/>
          <w:sz w:val="22"/>
        </w:rPr>
        <w:t>Al finalizar esta clase podrás:</w:t>
      </w:r>
    </w:p>
    <w:p>
      <w:pPr>
        <w:pStyle w:val="ListBullet"/>
        <w:spacing w:after="80"/>
      </w:pPr>
      <w:r>
        <w:rPr>
          <w:color w:val="1A1A2E"/>
          <w:sz w:val="22"/>
        </w:rPr>
        <w:t>Reconocer visualmente las enfermedades ungueales más frecuentes.</w:t>
      </w:r>
    </w:p>
    <w:p>
      <w:pPr>
        <w:pStyle w:val="ListBullet"/>
        <w:spacing w:after="80"/>
      </w:pPr>
      <w:r>
        <w:rPr>
          <w:color w:val="1A1A2E"/>
          <w:sz w:val="22"/>
        </w:rPr>
        <w:t>Distinguir entre condiciones infecciosas y no infecciosas.</w:t>
      </w:r>
    </w:p>
    <w:p>
      <w:pPr>
        <w:pStyle w:val="ListBullet"/>
        <w:spacing w:after="80"/>
      </w:pPr>
      <w:r>
        <w:rPr>
          <w:color w:val="1A1A2E"/>
          <w:sz w:val="22"/>
        </w:rPr>
        <w:t>Saber cuándo NO trabajar y cuándo sí, con precaución.</w:t>
      </w:r>
    </w:p>
    <w:p>
      <w:pPr>
        <w:pStyle w:val="ListBullet"/>
        <w:spacing w:after="80"/>
      </w:pPr>
      <w:r>
        <w:rPr>
          <w:color w:val="1A1A2E"/>
          <w:sz w:val="22"/>
        </w:rPr>
        <w:t>Comunicarle a tu clienta la situación con términos claros y sin alarmar.</w:t>
      </w:r>
    </w:p>
    <w:p>
      <w:pPr>
        <w:pStyle w:val="ListBullet"/>
        <w:spacing w:after="80"/>
      </w:pPr>
      <w:r>
        <w:rPr>
          <w:color w:val="1A1A2E"/>
          <w:sz w:val="22"/>
        </w:rPr>
        <w:t>Derivar correctamente a un profesional médico cuando sea necesario.</w:t>
      </w:r>
    </w:p>
    <w:p>
      <w:pPr>
        <w:pStyle w:val="ListBullet"/>
        <w:spacing w:after="80"/>
      </w:pPr>
      <w:r>
        <w:rPr>
          <w:color w:val="1A1A2E"/>
          <w:sz w:val="22"/>
        </w:rPr>
        <w:t>Proteger tu reputación y la salud de tu clienta tomando la decisión correcta.</w:t>
      </w:r>
    </w:p>
    <w:p>
      <w:r>
        <w:br w:type="page"/>
      </w:r>
    </w:p>
    <w:p>
      <w:pPr>
        <w:shd w:val="clear" w:color="auto" w:fill="2E868A"/>
        <w:spacing w:before="80" w:after="200"/>
      </w:pPr>
      <w:r>
        <w:rPr>
          <w:b/>
          <w:color w:val="FFFFFF"/>
          <w:sz w:val="28"/>
        </w:rPr>
        <w:t xml:space="preserve">  03 · TEMARIO DE LA CLASE</w:t>
      </w:r>
    </w:p>
    <w:tbl>
      <w:tblPr>
        <w:tblStyle w:val="TableGrid"/>
        <w:tblW w:type="auto" w:w="0"/>
        <w:jc w:val="center"/>
        <w:tblLook w:firstColumn="1" w:firstRow="1" w:lastColumn="0" w:lastRow="0" w:noHBand="0" w:noVBand="1" w:val="04A0"/>
      </w:tblPr>
      <w:tblGrid>
        <w:gridCol w:w="3041"/>
        <w:gridCol w:w="3041"/>
        <w:gridCol w:w="3041"/>
      </w:tblGrid>
      <w:tr>
        <w:tc>
          <w:tcPr>
            <w:tcW w:type="dxa" w:w="680"/>
            <w:shd w:val="clear" w:color="auto" w:fill="2E868A"/>
          </w:tcPr>
          <w:p>
            <w:pPr>
              <w:jc w:val="center"/>
            </w:pPr>
            <w:r>
              <w:rPr>
                <w:b/>
                <w:color w:val="FFFFFF"/>
                <w:sz w:val="22"/>
              </w:rPr>
              <w:t>#</w:t>
            </w:r>
          </w:p>
        </w:tc>
        <w:tc>
          <w:tcPr>
            <w:tcW w:type="dxa" w:w="5953"/>
            <w:shd w:val="clear" w:color="auto" w:fill="2E868A"/>
          </w:tcPr>
          <w:p>
            <w:pPr>
              <w:jc w:val="center"/>
            </w:pPr>
            <w:r>
              <w:rPr>
                <w:b/>
                <w:color w:val="FFFFFF"/>
                <w:sz w:val="22"/>
              </w:rPr>
              <w:t>Tema</w:t>
            </w:r>
          </w:p>
        </w:tc>
        <w:tc>
          <w:tcPr>
            <w:tcW w:type="dxa" w:w="1417"/>
            <w:shd w:val="clear" w:color="auto" w:fill="2E868A"/>
          </w:tcPr>
          <w:p>
            <w:pPr>
              <w:jc w:val="center"/>
            </w:pPr>
            <w:r>
              <w:rPr>
                <w:b/>
                <w:color w:val="FFFFFF"/>
                <w:sz w:val="22"/>
              </w:rPr>
              <w:t>Tiempo</w:t>
            </w:r>
          </w:p>
        </w:tc>
      </w:tr>
      <w:tr>
        <w:tc>
          <w:tcPr>
            <w:tcW w:type="dxa" w:w="680"/>
            <w:shd w:val="clear" w:color="auto" w:fill="F5F5F5"/>
          </w:tcPr>
          <w:p>
            <w:pPr>
              <w:jc w:val="center"/>
            </w:pPr>
            <w:r>
              <w:rPr>
                <w:b/>
                <w:color w:val="1A1A2E"/>
                <w:sz w:val="22"/>
              </w:rPr>
              <w:t>1</w:t>
            </w:r>
          </w:p>
        </w:tc>
        <w:tc>
          <w:tcPr>
            <w:tcW w:type="dxa" w:w="5953"/>
            <w:shd w:val="clear" w:color="auto" w:fill="F5F5F5"/>
          </w:tcPr>
          <w:p>
            <w:r>
              <w:rPr>
                <w:color w:val="1A1A2E"/>
                <w:sz w:val="22"/>
              </w:rPr>
              <w:t>¿Por qué debemos conocer las enfermedades de las uñas?</w:t>
            </w:r>
          </w:p>
        </w:tc>
        <w:tc>
          <w:tcPr>
            <w:tcW w:type="dxa" w:w="1417"/>
            <w:shd w:val="clear" w:color="auto" w:fill="F5F5F5"/>
          </w:tcPr>
          <w:p>
            <w:pPr>
              <w:jc w:val="center"/>
            </w:pPr>
            <w:r>
              <w:rPr>
                <w:color w:val="1A1A2E"/>
                <w:sz w:val="22"/>
              </w:rPr>
              <w:t>10 min</w:t>
            </w:r>
          </w:p>
        </w:tc>
      </w:tr>
      <w:tr>
        <w:tc>
          <w:tcPr>
            <w:tcW w:type="dxa" w:w="680"/>
            <w:shd w:val="clear" w:color="auto" w:fill="FFFFFF"/>
          </w:tcPr>
          <w:p>
            <w:pPr>
              <w:jc w:val="center"/>
            </w:pPr>
            <w:r>
              <w:rPr>
                <w:b/>
                <w:color w:val="1A1A2E"/>
                <w:sz w:val="22"/>
              </w:rPr>
              <w:t>2</w:t>
            </w:r>
          </w:p>
        </w:tc>
        <w:tc>
          <w:tcPr>
            <w:tcW w:type="dxa" w:w="5953"/>
            <w:shd w:val="clear" w:color="auto" w:fill="FFFFFF"/>
          </w:tcPr>
          <w:p>
            <w:r>
              <w:rPr>
                <w:color w:val="1A1A2E"/>
                <w:sz w:val="22"/>
              </w:rPr>
              <w:t>Clasificación: infecciosas vs. no infecciosas</w:t>
            </w:r>
          </w:p>
        </w:tc>
        <w:tc>
          <w:tcPr>
            <w:tcW w:type="dxa" w:w="1417"/>
            <w:shd w:val="clear" w:color="auto" w:fill="FFFFFF"/>
          </w:tcPr>
          <w:p>
            <w:pPr>
              <w:jc w:val="center"/>
            </w:pPr>
            <w:r>
              <w:rPr>
                <w:color w:val="1A1A2E"/>
                <w:sz w:val="22"/>
              </w:rPr>
              <w:t>10 min</w:t>
            </w:r>
          </w:p>
        </w:tc>
      </w:tr>
      <w:tr>
        <w:tc>
          <w:tcPr>
            <w:tcW w:type="dxa" w:w="680"/>
            <w:shd w:val="clear" w:color="auto" w:fill="F5F5F5"/>
          </w:tcPr>
          <w:p>
            <w:pPr>
              <w:jc w:val="center"/>
            </w:pPr>
            <w:r>
              <w:rPr>
                <w:b/>
                <w:color w:val="1A1A2E"/>
                <w:sz w:val="22"/>
              </w:rPr>
              <w:t>3</w:t>
            </w:r>
          </w:p>
        </w:tc>
        <w:tc>
          <w:tcPr>
            <w:tcW w:type="dxa" w:w="5953"/>
            <w:shd w:val="clear" w:color="auto" w:fill="F5F5F5"/>
          </w:tcPr>
          <w:p>
            <w:r>
              <w:rPr>
                <w:color w:val="1A1A2E"/>
                <w:sz w:val="22"/>
              </w:rPr>
              <w:t>Enfermedades infecciosas: bacterianas, virales y micóticas</w:t>
            </w:r>
          </w:p>
        </w:tc>
        <w:tc>
          <w:tcPr>
            <w:tcW w:type="dxa" w:w="1417"/>
            <w:shd w:val="clear" w:color="auto" w:fill="F5F5F5"/>
          </w:tcPr>
          <w:p>
            <w:pPr>
              <w:jc w:val="center"/>
            </w:pPr>
            <w:r>
              <w:rPr>
                <w:color w:val="1A1A2E"/>
                <w:sz w:val="22"/>
              </w:rPr>
              <w:t>25 min</w:t>
            </w:r>
          </w:p>
        </w:tc>
      </w:tr>
      <w:tr>
        <w:tc>
          <w:tcPr>
            <w:tcW w:type="dxa" w:w="680"/>
            <w:shd w:val="clear" w:color="auto" w:fill="FFFFFF"/>
          </w:tcPr>
          <w:p>
            <w:pPr>
              <w:jc w:val="center"/>
            </w:pPr>
            <w:r>
              <w:rPr>
                <w:b/>
                <w:color w:val="1A1A2E"/>
                <w:sz w:val="22"/>
              </w:rPr>
              <w:t>4</w:t>
            </w:r>
          </w:p>
        </w:tc>
        <w:tc>
          <w:tcPr>
            <w:tcW w:type="dxa" w:w="5953"/>
            <w:shd w:val="clear" w:color="auto" w:fill="FFFFFF"/>
          </w:tcPr>
          <w:p>
            <w:r>
              <w:rPr>
                <w:color w:val="1A1A2E"/>
                <w:sz w:val="22"/>
              </w:rPr>
              <w:t>Enfermedades no infecciosas: onicólisis, manchas y otras</w:t>
            </w:r>
          </w:p>
        </w:tc>
        <w:tc>
          <w:tcPr>
            <w:tcW w:type="dxa" w:w="1417"/>
            <w:shd w:val="clear" w:color="auto" w:fill="FFFFFF"/>
          </w:tcPr>
          <w:p>
            <w:pPr>
              <w:jc w:val="center"/>
            </w:pPr>
            <w:r>
              <w:rPr>
                <w:color w:val="1A1A2E"/>
                <w:sz w:val="22"/>
              </w:rPr>
              <w:t>20 min</w:t>
            </w:r>
          </w:p>
        </w:tc>
      </w:tr>
      <w:tr>
        <w:tc>
          <w:tcPr>
            <w:tcW w:type="dxa" w:w="680"/>
            <w:shd w:val="clear" w:color="auto" w:fill="F5F5F5"/>
          </w:tcPr>
          <w:p>
            <w:pPr>
              <w:jc w:val="center"/>
            </w:pPr>
            <w:r>
              <w:rPr>
                <w:b/>
                <w:color w:val="1A1A2E"/>
                <w:sz w:val="22"/>
              </w:rPr>
              <w:t>5</w:t>
            </w:r>
          </w:p>
        </w:tc>
        <w:tc>
          <w:tcPr>
            <w:tcW w:type="dxa" w:w="5953"/>
            <w:shd w:val="clear" w:color="auto" w:fill="F5F5F5"/>
          </w:tcPr>
          <w:p>
            <w:r>
              <w:rPr>
                <w:color w:val="1A1A2E"/>
                <w:sz w:val="22"/>
              </w:rPr>
              <w:t>Cómo hablar con tu clienta: guiones prácticos</w:t>
            </w:r>
          </w:p>
        </w:tc>
        <w:tc>
          <w:tcPr>
            <w:tcW w:type="dxa" w:w="1417"/>
            <w:shd w:val="clear" w:color="auto" w:fill="F5F5F5"/>
          </w:tcPr>
          <w:p>
            <w:pPr>
              <w:jc w:val="center"/>
            </w:pPr>
            <w:r>
              <w:rPr>
                <w:color w:val="1A1A2E"/>
                <w:sz w:val="22"/>
              </w:rPr>
              <w:t>15 min</w:t>
            </w:r>
          </w:p>
        </w:tc>
      </w:tr>
      <w:tr>
        <w:tc>
          <w:tcPr>
            <w:tcW w:type="dxa" w:w="680"/>
            <w:shd w:val="clear" w:color="auto" w:fill="FFFFFF"/>
          </w:tcPr>
          <w:p>
            <w:pPr>
              <w:jc w:val="center"/>
            </w:pPr>
            <w:r>
              <w:rPr>
                <w:b/>
                <w:color w:val="1A1A2E"/>
                <w:sz w:val="22"/>
              </w:rPr>
              <w:t>6</w:t>
            </w:r>
          </w:p>
        </w:tc>
        <w:tc>
          <w:tcPr>
            <w:tcW w:type="dxa" w:w="5953"/>
            <w:shd w:val="clear" w:color="auto" w:fill="FFFFFF"/>
          </w:tcPr>
          <w:p>
            <w:r>
              <w:rPr>
                <w:color w:val="1A1A2E"/>
                <w:sz w:val="22"/>
              </w:rPr>
              <w:t>Casos reales: lo que he visto en mi mesa de trabajo</w:t>
            </w:r>
          </w:p>
        </w:tc>
        <w:tc>
          <w:tcPr>
            <w:tcW w:type="dxa" w:w="1417"/>
            <w:shd w:val="clear" w:color="auto" w:fill="FFFFFF"/>
          </w:tcPr>
          <w:p>
            <w:pPr>
              <w:jc w:val="center"/>
            </w:pPr>
            <w:r>
              <w:rPr>
                <w:color w:val="1A1A2E"/>
                <w:sz w:val="22"/>
              </w:rPr>
              <w:t>15 min</w:t>
            </w:r>
          </w:p>
        </w:tc>
      </w:tr>
      <w:tr>
        <w:tc>
          <w:tcPr>
            <w:tcW w:type="dxa" w:w="680"/>
            <w:shd w:val="clear" w:color="auto" w:fill="F5F5F5"/>
          </w:tcPr>
          <w:p>
            <w:pPr>
              <w:jc w:val="center"/>
            </w:pPr>
            <w:r>
              <w:rPr>
                <w:b/>
                <w:color w:val="1A1A2E"/>
                <w:sz w:val="22"/>
              </w:rPr>
              <w:t>7</w:t>
            </w:r>
          </w:p>
        </w:tc>
        <w:tc>
          <w:tcPr>
            <w:tcW w:type="dxa" w:w="5953"/>
            <w:shd w:val="clear" w:color="auto" w:fill="F5F5F5"/>
          </w:tcPr>
          <w:p>
            <w:r>
              <w:rPr>
                <w:color w:val="1A1A2E"/>
                <w:sz w:val="22"/>
              </w:rPr>
              <w:t>Resumen y preguntas</w:t>
            </w:r>
          </w:p>
        </w:tc>
        <w:tc>
          <w:tcPr>
            <w:tcW w:type="dxa" w:w="1417"/>
            <w:shd w:val="clear" w:color="auto" w:fill="F5F5F5"/>
          </w:tcPr>
          <w:p>
            <w:pPr>
              <w:jc w:val="center"/>
            </w:pPr>
            <w:r>
              <w:rPr>
                <w:color w:val="1A1A2E"/>
                <w:sz w:val="22"/>
              </w:rPr>
              <w:t>10 min</w:t>
            </w:r>
          </w:p>
        </w:tc>
      </w:tr>
    </w:tbl>
    <w:p/>
    <w:p>
      <w:r>
        <w:br w:type="page"/>
      </w:r>
    </w:p>
    <w:p>
      <w:pPr>
        <w:shd w:val="clear" w:color="auto" w:fill="2E868A"/>
        <w:spacing w:before="80" w:after="200"/>
      </w:pPr>
      <w:r>
        <w:rPr>
          <w:b/>
          <w:color w:val="FFFFFF"/>
          <w:sz w:val="28"/>
        </w:rPr>
        <w:t xml:space="preserve">  04 · DESARROLLO PASO A PASO</w:t>
      </w:r>
    </w:p>
    <w:p>
      <w:pPr>
        <w:spacing w:before="200" w:after="80"/>
        <w:pBdr>
          <w:bottom w:val="single" w:sz="4" w:space="1" w:color="2E868A"/>
        </w:pBdr>
      </w:pPr>
      <w:r>
        <w:rPr>
          <w:b/>
          <w:color w:val="2E868A"/>
          <w:sz w:val="24"/>
        </w:rPr>
        <w:t>TEMA 1 · ¿Por qué debemos conocer las enfermedades? (10 min)</w:t>
      </w:r>
    </w:p>
    <w:p>
      <w:pPr>
        <w:spacing w:after="120"/>
      </w:pPr>
      <w:r>
        <w:rPr>
          <w:b w:val="0"/>
          <w:color w:val="1A1A2E"/>
          <w:sz w:val="22"/>
        </w:rPr>
        <w:t>Cómo abrir el tema:</w:t>
      </w:r>
    </w:p>
    <w:p>
      <w:pPr>
        <w:spacing w:after="120"/>
      </w:pPr>
      <w:r>
        <w:rPr>
          <w:b w:val="0"/>
          <w:color w:val="1A1A2E"/>
          <w:sz w:val="22"/>
        </w:rPr>
        <w:t>"Chicas, antes de hablar de colores, bases y técnicas, necesitamos hablar de algo que muchas manicuristas evitan porque les da miedo o vergüenza: ¿qué hacemos cuando llega una clienta con una uña que no se ve bien?"</w:t>
      </w:r>
    </w:p>
    <w:p>
      <w:pPr>
        <w:spacing w:after="120"/>
      </w:pPr>
      <w:r>
        <w:rPr>
          <w:b w:val="0"/>
          <w:color w:val="1A1A2E"/>
          <w:sz w:val="22"/>
        </w:rPr>
        <w:t>Puntos a desarrollar:</w:t>
      </w:r>
    </w:p>
    <w:p>
      <w:pPr>
        <w:pStyle w:val="ListBullet"/>
        <w:spacing w:after="80"/>
      </w:pPr>
      <w:r>
        <w:rPr>
          <w:color w:val="1A1A2E"/>
          <w:sz w:val="22"/>
        </w:rPr>
        <w:t>Como profesionales, somos la primera línea de detección.</w:t>
      </w:r>
    </w:p>
    <w:p>
      <w:pPr>
        <w:pStyle w:val="ListBullet"/>
        <w:spacing w:after="80"/>
      </w:pPr>
      <w:r>
        <w:rPr>
          <w:color w:val="1A1A2E"/>
          <w:sz w:val="22"/>
        </w:rPr>
        <w:t>No somos médicas, pero sí responsables de NO agravar una situación.</w:t>
      </w:r>
    </w:p>
    <w:p>
      <w:pPr>
        <w:pStyle w:val="ListBullet"/>
        <w:spacing w:after="80"/>
      </w:pPr>
      <w:r>
        <w:rPr>
          <w:color w:val="1A1A2E"/>
          <w:sz w:val="22"/>
        </w:rPr>
        <w:t>Negarte a trabajar una uña enferma NO es perder la clienta — es ganar su respeto.</w:t>
      </w:r>
    </w:p>
    <w:p>
      <w:pPr>
        <w:pStyle w:val="ListBullet"/>
        <w:spacing w:after="80"/>
      </w:pPr>
      <w:r>
        <w:rPr>
          <w:color w:val="1A1A2E"/>
          <w:sz w:val="22"/>
        </w:rPr>
        <w:t>Aplicar producto sobre una enfermedad puede ocultar síntomas y empeorar el cuadro.</w:t>
      </w:r>
    </w:p>
    <w:p>
      <w:pPr>
        <w:spacing w:after="120"/>
      </w:pPr>
      <w:r>
        <w:rPr>
          <w:b/>
          <w:color w:val="C9A05A"/>
          <w:sz w:val="22"/>
        </w:rPr>
        <w:t>→ Pregunta para el grupo: "¿Alguna vez les llegó una uña que no lucía bien? ¿Qué hicieron?"</w:t>
      </w:r>
    </w:p>
    <w:p>
      <w:pPr>
        <w:spacing w:before="200" w:after="80"/>
        <w:pBdr>
          <w:bottom w:val="single" w:sz="4" w:space="1" w:color="2E868A"/>
        </w:pBdr>
      </w:pPr>
      <w:r>
        <w:rPr>
          <w:b/>
          <w:color w:val="2E868A"/>
          <w:sz w:val="24"/>
        </w:rPr>
        <w:t>TEMA 2 · Clasificación general (10 min)</w:t>
      </w:r>
    </w:p>
    <w:p>
      <w:pPr>
        <w:spacing w:after="120"/>
      </w:pPr>
      <w:r>
        <w:rPr>
          <w:b w:val="0"/>
          <w:color w:val="1A1A2E"/>
          <w:sz w:val="22"/>
        </w:rPr>
        <w:t>Explicar que las enfermedades ungueales se dividen en dos grandes grupos: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C0392B"/>
          </w:tcPr>
          <w:p>
            <w:pPr>
              <w:jc w:val="center"/>
            </w:pPr>
            <w:r>
              <w:rPr>
                <w:b/>
                <w:color w:val="FFFFFF"/>
                <w:sz w:val="22"/>
              </w:rPr>
              <w:t>INFECCIOSAS</w:t>
            </w:r>
          </w:p>
        </w:tc>
        <w:tc>
          <w:tcPr>
            <w:tcW w:type="dxa" w:w="4561"/>
            <w:shd w:val="clear" w:color="auto" w:fill="2E868A"/>
          </w:tcPr>
          <w:p>
            <w:pPr>
              <w:jc w:val="center"/>
            </w:pPr>
            <w:r>
              <w:rPr>
                <w:b/>
                <w:color w:val="FFFFFF"/>
                <w:sz w:val="22"/>
              </w:rPr>
              <w:t>NO INFECCIOSAS</w:t>
            </w:r>
          </w:p>
        </w:tc>
      </w:tr>
      <w:tr>
        <w:tc>
          <w:tcPr>
            <w:tcW w:type="dxa" w:w="4561"/>
            <w:shd w:val="clear" w:color="auto" w:fill="FDECEA"/>
          </w:tcPr>
          <w:p>
            <w:r>
              <w:rPr>
                <w:sz w:val="22"/>
              </w:rPr>
              <w:t>Bacterianas</w:t>
              <w:br/>
              <w:t>Virales</w:t>
              <w:br/>
              <w:t>Micóticas (hongos)</w:t>
            </w:r>
          </w:p>
        </w:tc>
        <w:tc>
          <w:tcPr>
            <w:tcW w:type="dxa" w:w="4561"/>
            <w:shd w:val="clear" w:color="auto" w:fill="E8F4F8"/>
          </w:tcPr>
          <w:p>
            <w:r>
              <w:rPr>
                <w:sz w:val="22"/>
              </w:rPr>
              <w:t>Onicólisis</w:t>
              <w:br/>
              <w:t>Leuconiquía / manchas</w:t>
              <w:br/>
              <w:t>Onicosquisis</w:t>
              <w:br/>
              <w:t>Koiloniquia</w:t>
              <w:br/>
              <w:t>Onicorrexis</w:t>
              <w:br/>
              <w:t>Dedos de Hipócrates</w:t>
            </w:r>
          </w:p>
        </w:tc>
      </w:tr>
      <w:tr>
        <w:tc>
          <w:tcPr>
            <w:tcW w:type="dxa" w:w="4561"/>
            <w:shd w:val="clear" w:color="auto" w:fill="FDECEA"/>
          </w:tcPr>
          <w:p/>
        </w:tc>
        <w:tc>
          <w:tcPr>
            <w:tcW w:type="dxa" w:w="4561"/>
            <w:shd w:val="clear" w:color="auto" w:fill="E8F4F8"/>
          </w:tcPr>
          <w:p/>
        </w:tc>
      </w:tr>
    </w:tbl>
    <w:p/>
    <w:p>
      <w:pPr>
        <w:spacing w:after="120"/>
      </w:pPr>
      <w:r>
        <w:rPr>
          <w:b/>
          <w:color w:val="2E868A"/>
          <w:sz w:val="22"/>
        </w:rPr>
        <w:t>→ Regla de oro:</w:t>
      </w:r>
    </w:p>
    <w:p>
      <w:pPr>
        <w:spacing w:after="120"/>
      </w:pPr>
      <w:r>
        <w:rPr>
          <w:b/>
          <w:color w:val="C0392B"/>
          <w:sz w:val="22"/>
        </w:rPr>
        <w:t>Las infecciosas son CONTRAINDICACIÓN ABSOLUTA para aplicar cualquier producto.</w:t>
      </w:r>
    </w:p>
    <w:p>
      <w:r>
        <w:br w:type="page"/>
      </w:r>
    </w:p>
    <w:p>
      <w:pPr>
        <w:spacing w:before="200" w:after="80"/>
        <w:pBdr>
          <w:bottom w:val="single" w:sz="4" w:space="1" w:color="2E868A"/>
        </w:pBdr>
      </w:pPr>
      <w:r>
        <w:rPr>
          <w:b/>
          <w:color w:val="2E868A"/>
          <w:sz w:val="24"/>
        </w:rPr>
        <w:t>TEMA 3 · Enfermedades infecciosas (25 min)</w:t>
      </w:r>
    </w:p>
    <w:tbl>
      <w:tblPr>
        <w:tblStyle w:val="TableGrid"/>
        <w:tblW w:type="auto" w:w="0"/>
        <w:tblLook w:firstColumn="1" w:firstRow="1" w:lastColumn="0" w:lastRow="0" w:noHBand="0" w:noVBand="1" w:val="04A0"/>
      </w:tblPr>
      <w:tblGrid>
        <w:gridCol w:w="4561"/>
        <w:gridCol w:w="4561"/>
      </w:tblGrid>
      <w:tr>
        <w:tc>
          <w:tcPr>
            <w:tcW w:type="dxa" w:w="9122"/>
            <w:gridSpan w:val="2"/>
            <w:shd w:val="clear" w:color="auto" w:fill="C0392B"/>
          </w:tcPr>
          <w:p>
            <w:r>
              <w:rPr>
                <w:b/>
                <w:color w:val="FFFFFF"/>
                <w:sz w:val="24"/>
              </w:rPr>
              <w:t>🦠 Bacterianas</w:t>
            </w:r>
          </w:p>
        </w:tc>
      </w:tr>
      <w:tr>
        <w:tc>
          <w:tcPr>
            <w:tcW w:type="dxa" w:w="4561"/>
            <w:shd w:val="clear" w:color="auto" w:fill="FDECEA"/>
          </w:tcPr>
          <w:p>
            <w:r>
              <w:rPr>
                <w:b/>
                <w:sz w:val="22"/>
              </w:rPr>
              <w:t>Panadizo</w:t>
            </w:r>
          </w:p>
        </w:tc>
        <w:tc>
          <w:tcPr>
            <w:tcW w:type="dxa" w:w="4561"/>
            <w:shd w:val="clear" w:color="auto" w:fill="FDECEA"/>
          </w:tcPr>
          <w:p>
            <w:r>
              <w:rPr>
                <w:sz w:val="22"/>
              </w:rPr>
              <w:t>Infección aguda del tejido blando alrededor de la uña. Enrojecimiento, hinchazón, pus. Derivar al médico de inmediato.</w:t>
            </w:r>
          </w:p>
        </w:tc>
      </w:tr>
      <w:tr>
        <w:tc>
          <w:tcPr>
            <w:tcW w:type="dxa" w:w="4561"/>
            <w:shd w:val="clear" w:color="auto" w:fill="FFFFFF"/>
          </w:tcPr>
          <w:p>
            <w:r>
              <w:rPr>
                <w:b/>
                <w:sz w:val="22"/>
              </w:rPr>
              <w:t>Paroniquia</w:t>
            </w:r>
          </w:p>
        </w:tc>
        <w:tc>
          <w:tcPr>
            <w:tcW w:type="dxa" w:w="4561"/>
            <w:shd w:val="clear" w:color="auto" w:fill="FFFFFF"/>
          </w:tcPr>
          <w:p>
            <w:r>
              <w:rPr>
                <w:sz w:val="22"/>
              </w:rPr>
              <w:t>Inflamación del rodillo periungueal. Puede ser aguda (infecciosa) o crónica (eczema/psoriasis). NO trabajar.</w:t>
            </w:r>
          </w:p>
        </w:tc>
      </w:tr>
      <w:tr>
        <w:tc>
          <w:tcPr>
            <w:tcW w:type="dxa" w:w="4561"/>
            <w:shd w:val="clear" w:color="auto" w:fill="FDECEA"/>
          </w:tcPr>
          <w:p>
            <w:r>
              <w:rPr>
                <w:b/>
                <w:sz w:val="22"/>
              </w:rPr>
              <w:t>Pseudomona</w:t>
              <w:br/>
              <w:t>(bacilo piociánico)</w:t>
            </w:r>
          </w:p>
        </w:tc>
        <w:tc>
          <w:tcPr>
            <w:tcW w:type="dxa" w:w="4561"/>
            <w:shd w:val="clear" w:color="auto" w:fill="FDECEA"/>
          </w:tcPr>
          <w:p>
            <w:r>
              <w:rPr>
                <w:sz w:val="22"/>
              </w:rPr>
              <w:t>Mancha verde-oscura bajo la placa. Bacteria que se desarrolla en ambiente húmedo bajo el recubrimiento. Derivar al dermatólogo.</w:t>
            </w:r>
          </w:p>
        </w:tc>
      </w:tr>
    </w:tbl>
    <w:p/>
    <w:tbl>
      <w:tblPr>
        <w:tblStyle w:val="TableGrid"/>
        <w:tblW w:type="auto" w:w="0"/>
        <w:tblLook w:firstColumn="1" w:firstRow="1" w:lastColumn="0" w:lastRow="0" w:noHBand="0" w:noVBand="1" w:val="04A0"/>
      </w:tblPr>
      <w:tblGrid>
        <w:gridCol w:w="4561"/>
        <w:gridCol w:w="4561"/>
      </w:tblGrid>
      <w:tr>
        <w:tc>
          <w:tcPr>
            <w:tcW w:type="dxa" w:w="9122"/>
            <w:gridSpan w:val="2"/>
            <w:shd w:val="clear" w:color="auto" w:fill="E74C3C"/>
          </w:tcPr>
          <w:p>
            <w:r>
              <w:rPr>
                <w:b/>
                <w:color w:val="FFFFFF"/>
                <w:sz w:val="24"/>
              </w:rPr>
              <w:t>🔴 Virales</w:t>
            </w:r>
          </w:p>
        </w:tc>
      </w:tr>
      <w:tr>
        <w:tc>
          <w:tcPr>
            <w:tcW w:type="dxa" w:w="4561"/>
            <w:shd w:val="clear" w:color="auto" w:fill="FDECEA"/>
          </w:tcPr>
          <w:p>
            <w:r>
              <w:rPr>
                <w:b/>
                <w:sz w:val="22"/>
              </w:rPr>
              <w:t>Herpes</w:t>
            </w:r>
          </w:p>
        </w:tc>
        <w:tc>
          <w:tcPr>
            <w:tcW w:type="dxa" w:w="4561"/>
            <w:shd w:val="clear" w:color="auto" w:fill="FDECEA"/>
          </w:tcPr>
          <w:p>
            <w:r>
              <w:rPr>
                <w:sz w:val="22"/>
              </w:rPr>
              <w:t>Vesículas agrupadas cerca de la uña. Alta contagiosidad. NO trabajar mientras haya lesión activa.</w:t>
            </w:r>
          </w:p>
        </w:tc>
      </w:tr>
      <w:tr>
        <w:tc>
          <w:tcPr>
            <w:tcW w:type="dxa" w:w="4561"/>
            <w:shd w:val="clear" w:color="auto" w:fill="FFFFFF"/>
          </w:tcPr>
          <w:p>
            <w:r>
              <w:rPr>
                <w:b/>
                <w:sz w:val="22"/>
              </w:rPr>
              <w:t>VPH – Verrugas</w:t>
            </w:r>
          </w:p>
        </w:tc>
        <w:tc>
          <w:tcPr>
            <w:tcW w:type="dxa" w:w="4561"/>
            <w:shd w:val="clear" w:color="auto" w:fill="FFFFFF"/>
          </w:tcPr>
          <w:p>
            <w:r>
              <w:rPr>
                <w:sz w:val="22"/>
              </w:rPr>
              <w:t>Verrugas periungueales. Contacto directo. Derivar al dermatólogo.</w:t>
            </w:r>
          </w:p>
        </w:tc>
      </w:tr>
    </w:tbl>
    <w:p/>
    <w:tbl>
      <w:tblPr>
        <w:tblStyle w:val="TableGrid"/>
        <w:tblW w:type="auto" w:w="0"/>
        <w:tblLook w:firstColumn="1" w:firstRow="1" w:lastColumn="0" w:lastRow="0" w:noHBand="0" w:noVBand="1" w:val="04A0"/>
      </w:tblPr>
      <w:tblGrid>
        <w:gridCol w:w="4561"/>
        <w:gridCol w:w="4561"/>
      </w:tblGrid>
      <w:tr>
        <w:tc>
          <w:tcPr>
            <w:tcW w:type="dxa" w:w="9122"/>
            <w:gridSpan w:val="2"/>
            <w:shd w:val="clear" w:color="auto" w:fill="873600"/>
          </w:tcPr>
          <w:p>
            <w:r>
              <w:rPr>
                <w:b/>
                <w:color w:val="FFFFFF"/>
                <w:sz w:val="24"/>
              </w:rPr>
              <w:t>🍄 Micóticas (Hongos)</w:t>
            </w:r>
          </w:p>
        </w:tc>
      </w:tr>
      <w:tr>
        <w:tc>
          <w:tcPr>
            <w:tcW w:type="dxa" w:w="4561"/>
            <w:shd w:val="clear" w:color="auto" w:fill="FDECEA"/>
          </w:tcPr>
          <w:p>
            <w:r>
              <w:rPr>
                <w:b/>
                <w:sz w:val="22"/>
              </w:rPr>
              <w:t>Onicomicosis</w:t>
              <w:br/>
              <w:t>(hongo de la uña)</w:t>
            </w:r>
          </w:p>
        </w:tc>
        <w:tc>
          <w:tcPr>
            <w:tcW w:type="dxa" w:w="4561"/>
            <w:shd w:val="clear" w:color="auto" w:fill="FDECEA"/>
          </w:tcPr>
          <w:p>
            <w:r>
              <w:rPr>
                <w:sz w:val="22"/>
              </w:rPr>
              <w:t>Desmenuzamiento, cambio de color (amarillo/verde/negro), engrosamiento. Familias: dermatofitos, cándida, moho. NUNCA cubrir con producto — aunque la clienta insista. Derivar a dermatólogo y podólogo.</w:t>
            </w:r>
          </w:p>
        </w:tc>
      </w:tr>
      <w:tr>
        <w:tc>
          <w:tcPr>
            <w:tcW w:type="dxa" w:w="4561"/>
            <w:shd w:val="clear" w:color="auto" w:fill="FFFFFF"/>
          </w:tcPr>
          <w:p>
            <w:r>
              <w:rPr>
                <w:b/>
                <w:sz w:val="22"/>
              </w:rPr>
              <w:t>¡OJO!</w:t>
            </w:r>
          </w:p>
        </w:tc>
        <w:tc>
          <w:tcPr>
            <w:tcW w:type="dxa" w:w="4561"/>
            <w:shd w:val="clear" w:color="auto" w:fill="FFFFFF"/>
          </w:tcPr>
          <w:p>
            <w:r>
              <w:rPr>
                <w:sz w:val="22"/>
              </w:rPr>
              <w:t>No todos los hongos huelen ni pican. Guíate por el aspecto visual de la placa.</w:t>
            </w:r>
          </w:p>
        </w:tc>
      </w:tr>
    </w:tbl>
    <w:p/>
    <w:p>
      <w:pPr>
        <w:spacing w:before="200" w:after="80"/>
        <w:pBdr>
          <w:bottom w:val="single" w:sz="4" w:space="1" w:color="2E868A"/>
        </w:pBdr>
      </w:pPr>
      <w:r>
        <w:rPr>
          <w:b/>
          <w:color w:val="2E868A"/>
          <w:sz w:val="24"/>
        </w:rPr>
        <w:t>TEMA 4 · Enfermedades no infecciosas (20 min)</w:t>
      </w:r>
    </w:p>
    <w:tbl>
      <w:tblPr>
        <w:tblStyle w:val="TableGrid"/>
        <w:tblW w:type="auto" w:w="0"/>
        <w:tblLook w:firstColumn="1" w:firstRow="1" w:lastColumn="0" w:lastRow="0" w:noHBand="0" w:noVBand="1" w:val="04A0"/>
      </w:tblPr>
      <w:tblGrid>
        <w:gridCol w:w="4561"/>
        <w:gridCol w:w="4561"/>
      </w:tblGrid>
      <w:tr>
        <w:tc>
          <w:tcPr>
            <w:tcW w:type="dxa" w:w="4561"/>
            <w:shd w:val="clear" w:color="auto" w:fill="2E868A"/>
          </w:tcPr>
          <w:p>
            <w:pPr>
              <w:jc w:val="center"/>
            </w:pPr>
            <w:r>
              <w:rPr>
                <w:b/>
                <w:color w:val="FFFFFF"/>
                <w:sz w:val="22"/>
              </w:rPr>
              <w:t>CONDICIÓN</w:t>
            </w:r>
          </w:p>
        </w:tc>
        <w:tc>
          <w:tcPr>
            <w:tcW w:type="dxa" w:w="4561"/>
            <w:shd w:val="clear" w:color="auto" w:fill="2E868A"/>
          </w:tcPr>
          <w:p>
            <w:pPr>
              <w:jc w:val="center"/>
            </w:pPr>
            <w:r>
              <w:rPr>
                <w:b/>
                <w:color w:val="FFFFFF"/>
                <w:sz w:val="22"/>
              </w:rPr>
              <w:t>QUÉ ES / CONDUCTA</w:t>
            </w:r>
          </w:p>
        </w:tc>
      </w:tr>
      <w:tr>
        <w:tc>
          <w:tcPr>
            <w:tcW w:type="dxa" w:w="4561"/>
            <w:shd w:val="clear" w:color="auto" w:fill="E8F4F8"/>
          </w:tcPr>
          <w:p>
            <w:r>
              <w:rPr>
                <w:b/>
                <w:sz w:val="22"/>
              </w:rPr>
              <w:t>Onicólisis</w:t>
            </w:r>
          </w:p>
        </w:tc>
        <w:tc>
          <w:tcPr>
            <w:tcW w:type="dxa" w:w="4561"/>
            <w:shd w:val="clear" w:color="auto" w:fill="E8F4F8"/>
          </w:tcPr>
          <w:p>
            <w:r>
              <w:rPr>
                <w:sz w:val="22"/>
              </w:rPr>
              <w:t>Separación de la placa del lecho. Causas: trauma, gel-lac mal aplicado, bases ácidas, problemas cardiovasculares/endocrinos. NO aplicar material encima.</w:t>
            </w:r>
          </w:p>
        </w:tc>
      </w:tr>
      <w:tr>
        <w:tc>
          <w:tcPr>
            <w:tcW w:type="dxa" w:w="4561"/>
            <w:shd w:val="clear" w:color="auto" w:fill="FFFFFF"/>
          </w:tcPr>
          <w:p>
            <w:r>
              <w:rPr>
                <w:b/>
                <w:sz w:val="22"/>
              </w:rPr>
              <w:t>Leuconiquia</w:t>
            </w:r>
          </w:p>
        </w:tc>
        <w:tc>
          <w:tcPr>
            <w:tcW w:type="dxa" w:w="4561"/>
            <w:shd w:val="clear" w:color="auto" w:fill="FFFFFF"/>
          </w:tcPr>
          <w:p>
            <w:r>
              <w:rPr>
                <w:sz w:val="22"/>
              </w:rPr>
              <w:t>Manchas blancas. Por medicamentos, déficit/exceso de hierro, calcio o zinc, hemoglobina baja o manicura incorrecta.</w:t>
            </w:r>
          </w:p>
        </w:tc>
      </w:tr>
      <w:tr>
        <w:tc>
          <w:tcPr>
            <w:tcW w:type="dxa" w:w="4561"/>
            <w:shd w:val="clear" w:color="auto" w:fill="E8F4F8"/>
          </w:tcPr>
          <w:p>
            <w:r>
              <w:rPr>
                <w:b/>
                <w:sz w:val="22"/>
              </w:rPr>
              <w:t>Manchas oscuras</w:t>
            </w:r>
          </w:p>
        </w:tc>
        <w:tc>
          <w:tcPr>
            <w:tcW w:type="dxa" w:w="4561"/>
            <w:shd w:val="clear" w:color="auto" w:fill="E8F4F8"/>
          </w:tcPr>
          <w:p>
            <w:r>
              <w:rPr>
                <w:sz w:val="22"/>
              </w:rPr>
              <w:t>Generalmente hemorragias del lecho. En mujeres pueden ser franjas longitudinales por desequilibrio hormonal. Observar y derivar si persiste.</w:t>
            </w:r>
          </w:p>
        </w:tc>
      </w:tr>
      <w:tr>
        <w:tc>
          <w:tcPr>
            <w:tcW w:type="dxa" w:w="4561"/>
            <w:shd w:val="clear" w:color="auto" w:fill="FFFFFF"/>
          </w:tcPr>
          <w:p>
            <w:r>
              <w:rPr>
                <w:b/>
                <w:sz w:val="22"/>
              </w:rPr>
              <w:t>Onicosquisis</w:t>
            </w:r>
          </w:p>
        </w:tc>
        <w:tc>
          <w:tcPr>
            <w:tcW w:type="dxa" w:w="4561"/>
            <w:shd w:val="clear" w:color="auto" w:fill="FFFFFF"/>
          </w:tcPr>
          <w:p>
            <w:r>
              <w:rPr>
                <w:sz w:val="22"/>
              </w:rPr>
              <w:t>El borde libre se separa en capas por factores externos (químicos, físicos). Principalmente índice, medio y anular.</w:t>
            </w:r>
          </w:p>
        </w:tc>
      </w:tr>
      <w:tr>
        <w:tc>
          <w:tcPr>
            <w:tcW w:type="dxa" w:w="4561"/>
            <w:shd w:val="clear" w:color="auto" w:fill="E8F4F8"/>
          </w:tcPr>
          <w:p>
            <w:r>
              <w:rPr>
                <w:b/>
                <w:sz w:val="22"/>
              </w:rPr>
              <w:t>Koiloniquia</w:t>
            </w:r>
          </w:p>
        </w:tc>
        <w:tc>
          <w:tcPr>
            <w:tcW w:type="dxa" w:w="4561"/>
            <w:shd w:val="clear" w:color="auto" w:fill="E8F4F8"/>
          </w:tcPr>
          <w:p>
            <w:r>
              <w:rPr>
                <w:sz w:val="22"/>
              </w:rPr>
              <w:t>"Uña en cuchara" – centro cóncavo, bordes levantados. Déficit de hierro, trastornos endocrinos. Derivar al médico.</w:t>
            </w:r>
          </w:p>
        </w:tc>
      </w:tr>
      <w:tr>
        <w:tc>
          <w:tcPr>
            <w:tcW w:type="dxa" w:w="4561"/>
            <w:shd w:val="clear" w:color="auto" w:fill="FFFFFF"/>
          </w:tcPr>
          <w:p>
            <w:r>
              <w:rPr>
                <w:b/>
                <w:sz w:val="22"/>
              </w:rPr>
              <w:t>Onicorrexis</w:t>
              <w:br/>
              <w:t>(picadura de dedal)</w:t>
            </w:r>
          </w:p>
        </w:tc>
        <w:tc>
          <w:tcPr>
            <w:tcW w:type="dxa" w:w="4561"/>
            <w:shd w:val="clear" w:color="auto" w:fill="FFFFFF"/>
          </w:tcPr>
          <w:p>
            <w:r>
              <w:rPr>
                <w:sz w:val="22"/>
              </w:rPr>
              <w:t>Pequeñas depresiones puntiformes. Principal causa: psoriasis. También alopecia, eczema, artritis.</w:t>
            </w:r>
          </w:p>
        </w:tc>
      </w:tr>
      <w:tr>
        <w:tc>
          <w:tcPr>
            <w:tcW w:type="dxa" w:w="4561"/>
            <w:shd w:val="clear" w:color="auto" w:fill="E8F4F8"/>
          </w:tcPr>
          <w:p>
            <w:r>
              <w:rPr>
                <w:b/>
                <w:sz w:val="22"/>
              </w:rPr>
              <w:t>Dedos de Hipócrates</w:t>
            </w:r>
          </w:p>
        </w:tc>
        <w:tc>
          <w:tcPr>
            <w:tcW w:type="dxa" w:w="4561"/>
            <w:shd w:val="clear" w:color="auto" w:fill="E8F4F8"/>
          </w:tcPr>
          <w:p>
            <w:r>
              <w:rPr>
                <w:sz w:val="22"/>
              </w:rPr>
              <w:t>Engrosamiento de tejidos en falanges distales. Asociado a enfermedades crónicas del pulmón, corazón o digestivo. Derivar al médico.</w:t>
            </w:r>
          </w:p>
        </w:tc>
      </w:tr>
      <w:tr>
        <w:tc>
          <w:tcPr>
            <w:tcW w:type="dxa" w:w="4561"/>
            <w:shd w:val="clear" w:color="auto" w:fill="FFFFFF"/>
          </w:tcPr>
          <w:p>
            <w:r>
              <w:rPr>
                <w:b/>
                <w:sz w:val="22"/>
              </w:rPr>
              <w:t>Síntoma Terry</w:t>
            </w:r>
          </w:p>
        </w:tc>
        <w:tc>
          <w:tcPr>
            <w:tcW w:type="dxa" w:w="4561"/>
            <w:shd w:val="clear" w:color="auto" w:fill="FFFFFF"/>
          </w:tcPr>
          <w:p>
            <w:r>
              <w:rPr>
                <w:sz w:val="22"/>
              </w:rPr>
              <w:t>Uña bicolor: 2/3 blancos + 1/3 rosado distal. Trastorno metabólico o patología renal. Informar a la clienta.</w:t>
            </w:r>
          </w:p>
        </w:tc>
      </w:tr>
    </w:tbl>
    <w:p>
      <w:r>
        <w:br w:type="page"/>
      </w:r>
    </w:p>
    <w:p>
      <w:pPr>
        <w:spacing w:before="200" w:after="80"/>
        <w:pBdr>
          <w:bottom w:val="single" w:sz="4" w:space="1" w:color="2E868A"/>
        </w:pBdr>
      </w:pPr>
      <w:r>
        <w:rPr>
          <w:b/>
          <w:color w:val="2E868A"/>
          <w:sz w:val="24"/>
        </w:rPr>
        <w:t>TEMA 5 · Cómo hablar con tu clienta (15 min)</w:t>
      </w:r>
    </w:p>
    <w:p>
      <w:pPr>
        <w:spacing w:after="120"/>
      </w:pPr>
      <w:r>
        <w:rPr>
          <w:b w:val="0"/>
          <w:color w:val="1A1A2E"/>
          <w:sz w:val="22"/>
        </w:rPr>
        <w:t>El momento más difícil no es identificar la enfermedad — es decírselo a la clienta sin que se sienta juzgada, sin alarmarla y sin perder su confianza.</w:t>
      </w:r>
    </w:p>
    <w:p>
      <w:r>
        <w:rPr>
          <w:b/>
          <w:color w:val="2E868A"/>
          <w:sz w:val="22"/>
        </w:rPr>
        <w:t>▸ Situación: Posible hongo</w:t>
      </w:r>
    </w:p>
    <w:p>
      <w:pPr>
        <w:shd w:val="clear" w:color="auto" w:fill="F0F7F7"/>
        <w:spacing w:after="200"/>
      </w:pPr>
      <w:r>
        <w:rPr>
          <w:i/>
          <w:color w:val="1A1A2E"/>
          <w:sz w:val="22"/>
        </w:rPr>
        <w:t xml:space="preserve">  "Noto que tu uña tiene una coloración y textura diferente a lo normal. Por respeto a tu salud y la mía, hoy no voy a aplicarle ningún producto. Te recomiendo visitar a un dermatólogo para que la evalúe. Cuando tengas el tratamiento, con gusto retomamos tu servicio."</w:t>
      </w:r>
    </w:p>
    <w:p>
      <w:r>
        <w:rPr>
          <w:b/>
          <w:color w:val="2E868A"/>
          <w:sz w:val="22"/>
        </w:rPr>
        <w:t>▸ Situación: Onicólisis (uña despegada)</w:t>
      </w:r>
    </w:p>
    <w:p>
      <w:pPr>
        <w:shd w:val="clear" w:color="auto" w:fill="F0F7F7"/>
        <w:spacing w:after="200"/>
      </w:pPr>
      <w:r>
        <w:rPr>
          <w:i/>
          <w:color w:val="1A1A2E"/>
          <w:sz w:val="22"/>
        </w:rPr>
        <w:t xml:space="preserve">  "Tu uña está un poco separada del lecho — eso se llama onicólisis. Si le aplicamos gel-lac encima podemos atrapar humedad y empeorar el cuadro. Lo más responsable hoy es dejar la uña libre y cuidarla."</w:t>
      </w:r>
    </w:p>
    <w:p>
      <w:r>
        <w:rPr>
          <w:b/>
          <w:color w:val="2E868A"/>
          <w:sz w:val="22"/>
        </w:rPr>
        <w:t>▸ Situación: Clienta que insiste en que la trabajen</w:t>
      </w:r>
    </w:p>
    <w:p>
      <w:pPr>
        <w:shd w:val="clear" w:color="auto" w:fill="F0F7F7"/>
        <w:spacing w:after="200"/>
      </w:pPr>
      <w:r>
        <w:rPr>
          <w:i/>
          <w:color w:val="1A1A2E"/>
          <w:sz w:val="22"/>
        </w:rPr>
        <w:t xml:space="preserve">  "Entiendo que es incómodo, pero mi trabajo es cuidar tus uñas, no solo pintarlas. Si te dejo así y empeora, ambas salimos perdiendo. Hagamos lo correcto hoy para que puedas disfrutar tus uñas mañana."</w:t>
      </w:r>
    </w:p>
    <w:p/>
    <w:p>
      <w:pPr>
        <w:spacing w:before="200" w:after="80"/>
        <w:pBdr>
          <w:bottom w:val="single" w:sz="4" w:space="1" w:color="2E868A"/>
        </w:pBdr>
      </w:pPr>
      <w:r>
        <w:rPr>
          <w:b/>
          <w:color w:val="2E868A"/>
          <w:sz w:val="24"/>
        </w:rPr>
        <w:t>TEMA 6 · Casos reales de mi mesa de trabajo (15 min)</w:t>
      </w:r>
    </w:p>
    <w:p>
      <w:pPr>
        <w:shd w:val="clear" w:color="auto" w:fill="1A1A2E"/>
        <w:spacing w:before="120" w:after="0"/>
      </w:pPr>
      <w:r>
        <w:rPr>
          <w:b/>
          <w:color w:val="FFFFFF"/>
          <w:sz w:val="22"/>
        </w:rPr>
        <w:t xml:space="preserve">  Caso 1 – El hongo que nadie quería ver</w:t>
      </w:r>
    </w:p>
    <w:p>
      <w:pPr>
        <w:shd w:val="clear" w:color="auto" w:fill="F5F5F5"/>
        <w:spacing w:after="280"/>
      </w:pPr>
      <w:r>
        <w:rPr>
          <w:color w:val="1A1A2E"/>
          <w:sz w:val="22"/>
        </w:rPr>
        <w:t xml:space="preserve">  Una clienta llegó con la uña del pulgar amarilla y engrosada. Me dijo que era "una mancha de esmalte viejo". Al retirar el recubrimiento anterior era evidente: onicomicosis en etapa 2. Le expliqué con calma que no podía continuar el servicio y la derivé al dermatólogo. Volvió tres meses después con la uña tratada — y se convirtió en una clienta fiel. Me agradeció que fuera honesta con ella cuando otras manicuristas simplemente habían cubierto la uña.</w:t>
      </w:r>
    </w:p>
    <w:p>
      <w:pPr>
        <w:shd w:val="clear" w:color="auto" w:fill="1A1A2E"/>
        <w:spacing w:before="120" w:after="0"/>
      </w:pPr>
      <w:r>
        <w:rPr>
          <w:b/>
          <w:color w:val="FFFFFF"/>
          <w:sz w:val="22"/>
        </w:rPr>
        <w:t xml:space="preserve">  Caso 2 – La onicólisis "que no molestaba"</w:t>
      </w:r>
    </w:p>
    <w:p>
      <w:pPr>
        <w:shd w:val="clear" w:color="auto" w:fill="F5F5F5"/>
        <w:spacing w:after="280"/>
      </w:pPr>
      <w:r>
        <w:rPr>
          <w:color w:val="1A1A2E"/>
          <w:sz w:val="22"/>
        </w:rPr>
        <w:t xml:space="preserve">  Una clienta habitual llegó con una uña separada del lecho en casi un tercio de la placa. Decía que no le dolía y quería que le pusiera gel igual. Le expliqué que el espacio entre la uña y el lecho es un ambiente perfecto para que se instale un hongo. Decidimos dejar esa uña libre, hidratar el lecho y aplicar solo capa de color en las demás. Cuatro semanas después la uña recuperó su adhesión completamente.</w:t>
      </w:r>
    </w:p>
    <w:p>
      <w:r>
        <w:br w:type="page"/>
      </w:r>
    </w:p>
    <w:p>
      <w:pPr>
        <w:shd w:val="clear" w:color="auto" w:fill="2E868A"/>
        <w:spacing w:before="80" w:after="200"/>
      </w:pPr>
      <w:r>
        <w:rPr>
          <w:b/>
          <w:color w:val="FFFFFF"/>
          <w:sz w:val="28"/>
        </w:rPr>
        <w:t xml:space="preserve">  05 · RESUMEN – 5 PUNTOS CLAVE</w:t>
      </w:r>
    </w:p>
    <w:tbl>
      <w:tblPr>
        <w:tblStyle w:val="TableGrid"/>
        <w:tblW w:type="auto" w:w="0"/>
        <w:tblLook w:firstColumn="1" w:firstRow="1" w:lastColumn="0" w:lastRow="0" w:noHBand="0" w:noVBand="1" w:val="04A0"/>
      </w:tblPr>
      <w:tblGrid>
        <w:gridCol w:w="4561"/>
        <w:gridCol w:w="4561"/>
      </w:tblGrid>
      <w:tr>
        <w:tc>
          <w:tcPr>
            <w:tcW w:type="dxa" w:w="680"/>
            <w:shd w:val="clear" w:color="auto" w:fill="2E868A"/>
          </w:tcPr>
          <w:p>
            <w:pPr>
              <w:jc w:val="center"/>
            </w:pPr>
            <w:r>
              <w:rPr>
                <w:b/>
                <w:color w:val="FFFFFF"/>
                <w:sz w:val="32"/>
              </w:rPr>
              <w:t>1</w:t>
            </w:r>
          </w:p>
        </w:tc>
        <w:tc>
          <w:tcPr>
            <w:tcW w:type="dxa" w:w="4561"/>
            <w:shd w:val="clear" w:color="auto" w:fill="F0F7F7"/>
          </w:tcPr>
          <w:p>
            <w:r>
              <w:rPr>
                <w:color w:val="1A1A2E"/>
                <w:sz w:val="22"/>
              </w:rPr>
              <w:t>NO aplicar ningún producto sobre una uña con enfermedad infecciosa activa.</w:t>
            </w:r>
          </w:p>
        </w:tc>
      </w:tr>
    </w:tbl>
    <w:p/>
    <w:tbl>
      <w:tblPr>
        <w:tblStyle w:val="TableGrid"/>
        <w:tblW w:type="auto" w:w="0"/>
        <w:tblLook w:firstColumn="1" w:firstRow="1" w:lastColumn="0" w:lastRow="0" w:noHBand="0" w:noVBand="1" w:val="04A0"/>
      </w:tblPr>
      <w:tblGrid>
        <w:gridCol w:w="4561"/>
        <w:gridCol w:w="4561"/>
      </w:tblGrid>
      <w:tr>
        <w:tc>
          <w:tcPr>
            <w:tcW w:type="dxa" w:w="680"/>
            <w:shd w:val="clear" w:color="auto" w:fill="2E868A"/>
          </w:tcPr>
          <w:p>
            <w:pPr>
              <w:jc w:val="center"/>
            </w:pPr>
            <w:r>
              <w:rPr>
                <w:b/>
                <w:color w:val="FFFFFF"/>
                <w:sz w:val="32"/>
              </w:rPr>
              <w:t>2</w:t>
            </w:r>
          </w:p>
        </w:tc>
        <w:tc>
          <w:tcPr>
            <w:tcW w:type="dxa" w:w="4561"/>
            <w:shd w:val="clear" w:color="auto" w:fill="F0F7F7"/>
          </w:tcPr>
          <w:p>
            <w:r>
              <w:rPr>
                <w:color w:val="1A1A2E"/>
                <w:sz w:val="22"/>
              </w:rPr>
              <w:t>El hongo no siempre huele ni pica — guíate siempre por el aspecto visual.</w:t>
            </w:r>
          </w:p>
        </w:tc>
      </w:tr>
    </w:tbl>
    <w:p/>
    <w:tbl>
      <w:tblPr>
        <w:tblStyle w:val="TableGrid"/>
        <w:tblW w:type="auto" w:w="0"/>
        <w:tblLook w:firstColumn="1" w:firstRow="1" w:lastColumn="0" w:lastRow="0" w:noHBand="0" w:noVBand="1" w:val="04A0"/>
      </w:tblPr>
      <w:tblGrid>
        <w:gridCol w:w="4561"/>
        <w:gridCol w:w="4561"/>
      </w:tblGrid>
      <w:tr>
        <w:tc>
          <w:tcPr>
            <w:tcW w:type="dxa" w:w="680"/>
            <w:shd w:val="clear" w:color="auto" w:fill="2E868A"/>
          </w:tcPr>
          <w:p>
            <w:pPr>
              <w:jc w:val="center"/>
            </w:pPr>
            <w:r>
              <w:rPr>
                <w:b/>
                <w:color w:val="FFFFFF"/>
                <w:sz w:val="32"/>
              </w:rPr>
              <w:t>3</w:t>
            </w:r>
          </w:p>
        </w:tc>
        <w:tc>
          <w:tcPr>
            <w:tcW w:type="dxa" w:w="4561"/>
            <w:shd w:val="clear" w:color="auto" w:fill="F0F7F7"/>
          </w:tcPr>
          <w:p>
            <w:r>
              <w:rPr>
                <w:color w:val="1A1A2E"/>
                <w:sz w:val="22"/>
              </w:rPr>
              <w:t>Negarte a trabajar una uña enferma es un acto de profesionalismo, no una pérdida.</w:t>
            </w:r>
          </w:p>
        </w:tc>
      </w:tr>
    </w:tbl>
    <w:p/>
    <w:tbl>
      <w:tblPr>
        <w:tblStyle w:val="TableGrid"/>
        <w:tblW w:type="auto" w:w="0"/>
        <w:tblLook w:firstColumn="1" w:firstRow="1" w:lastColumn="0" w:lastRow="0" w:noHBand="0" w:noVBand="1" w:val="04A0"/>
      </w:tblPr>
      <w:tblGrid>
        <w:gridCol w:w="4561"/>
        <w:gridCol w:w="4561"/>
      </w:tblGrid>
      <w:tr>
        <w:tc>
          <w:tcPr>
            <w:tcW w:type="dxa" w:w="680"/>
            <w:shd w:val="clear" w:color="auto" w:fill="2E868A"/>
          </w:tcPr>
          <w:p>
            <w:pPr>
              <w:jc w:val="center"/>
            </w:pPr>
            <w:r>
              <w:rPr>
                <w:b/>
                <w:color w:val="FFFFFF"/>
                <w:sz w:val="32"/>
              </w:rPr>
              <w:t>4</w:t>
            </w:r>
          </w:p>
        </w:tc>
        <w:tc>
          <w:tcPr>
            <w:tcW w:type="dxa" w:w="4561"/>
            <w:shd w:val="clear" w:color="auto" w:fill="F0F7F7"/>
          </w:tcPr>
          <w:p>
            <w:r>
              <w:rPr>
                <w:color w:val="1A1A2E"/>
                <w:sz w:val="22"/>
              </w:rPr>
              <w:t>Hablar con seguridad y empatía genera confianza — no pierdas la clienta, cuídala.</w:t>
            </w:r>
          </w:p>
        </w:tc>
      </w:tr>
    </w:tbl>
    <w:p/>
    <w:tbl>
      <w:tblPr>
        <w:tblStyle w:val="TableGrid"/>
        <w:tblW w:type="auto" w:w="0"/>
        <w:tblLook w:firstColumn="1" w:firstRow="1" w:lastColumn="0" w:lastRow="0" w:noHBand="0" w:noVBand="1" w:val="04A0"/>
      </w:tblPr>
      <w:tblGrid>
        <w:gridCol w:w="4561"/>
        <w:gridCol w:w="4561"/>
      </w:tblGrid>
      <w:tr>
        <w:tc>
          <w:tcPr>
            <w:tcW w:type="dxa" w:w="680"/>
            <w:shd w:val="clear" w:color="auto" w:fill="2E868A"/>
          </w:tcPr>
          <w:p>
            <w:pPr>
              <w:jc w:val="center"/>
            </w:pPr>
            <w:r>
              <w:rPr>
                <w:b/>
                <w:color w:val="FFFFFF"/>
                <w:sz w:val="32"/>
              </w:rPr>
              <w:t>5</w:t>
            </w:r>
          </w:p>
        </w:tc>
        <w:tc>
          <w:tcPr>
            <w:tcW w:type="dxa" w:w="4561"/>
            <w:shd w:val="clear" w:color="auto" w:fill="F0F7F7"/>
          </w:tcPr>
          <w:p>
            <w:r>
              <w:rPr>
                <w:color w:val="1A1A2E"/>
                <w:sz w:val="22"/>
              </w:rPr>
              <w:t>Siempre deriva al médico. Nunca diagnostiques, solo observa y comunica.</w:t>
            </w:r>
          </w:p>
        </w:tc>
      </w:tr>
    </w:tbl>
    <w:p/>
    <w:p>
      <w:pPr>
        <w:pBdr>
          <w:bottom w:val="single" w:sz="6" w:space="1" w:color="C9A05A"/>
        </w:pBdr>
        <w:spacing w:before="40" w:after="40"/>
      </w:pPr>
    </w:p>
    <w:p/>
    <w:p>
      <w:pPr>
        <w:spacing w:before="160" w:after="160"/>
        <w:jc w:val="center"/>
        <w:shd w:val="clear" w:color="auto" w:fill="1A1A2E"/>
      </w:pPr>
      <w:r>
        <w:rPr>
          <w:i/>
          <w:color w:val="FFFFFF"/>
          <w:sz w:val="22"/>
        </w:rPr>
        <w:t>"Más allá de la teoría, que hoy se consigue en todas las plataformas, mi objetivo es que conectes con casos prácticos reales que pueden encontrarse en tu propia mesa de trabajo."</w:t>
      </w:r>
    </w:p>
    <w:p>
      <w:pPr>
        <w:spacing w:before="120"/>
        <w:jc w:val="center"/>
      </w:pPr>
      <w:r>
        <w:rPr>
          <w:b/>
          <w:color w:val="2E868A"/>
          <w:sz w:val="22"/>
        </w:rPr>
        <w:t>— Harú Marcano</w:t>
      </w:r>
    </w:p>
    <w:p/>
    <w:p>
      <w:pPr>
        <w:jc w:val="center"/>
      </w:pPr>
      <w:r>
        <w:rPr>
          <w:i/>
          <w:color w:val="888888"/>
          <w:sz w:val="18"/>
        </w:rPr>
        <w:t>* La presentación de diapositivas es el archivo complementario de este manual.</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