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A6B" w:sz="12" w:space="6"/>
        </w:pBdr>
        <w:spacing w:after="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Motor Tributário Conect  |  Relatório de Status</w:t>
      </w:r>
    </w:p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Versão Sprint — 27 de março de 2026  |  Confidencial</w:t>
      </w:r>
    </w:p>
    <w:p>
      <w:pPr>
        <w:pBdr>
          <w:bottom w:val="single" w:color="1A3A6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Resumo Executivo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O que é esse projeto?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Estamos construindo um motor de cálculo tributário que automatiza, com precisão contábil, toda a análise de impostos para empresas do Simples Nacional — incluindo os impactos da Reforma Tributária (Reforma que entra em vigor de 2026 a 2033). A ferramenta calcula a guia de impostos mensal de cada cliente, simula cenários estratégicos e gera alertas de risco automaticamente.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Por que isso importa?</w:t>
      </w:r>
    </w:p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 a nova lei do IVA (IBS + CBS), cada empresa do Simples Nacional precisa decidir se continua recolhendo o imposto por dentro do Simples ou por fora — e essa decisão vale dezenas de milhares de reais por ano. O motor faz esse cálculo em segundos, com precisão de centavos.</w:t>
      </w:r>
    </w:p>
    <w:p>
      <w:pPr>
        <w:pBdr>
          <w:bottom w:val="single" w:color="1A3A6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Validação com Empresas Reais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Testamos o motor com 3 empresas reais da carteira, comparando o resultado do sistema com a guia gerada pelo portal oficial da Receita Federal (e-CAC). Os três testes passaram.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foi calculado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Canavezi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Guia de impostos mensal (comércio varejista)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 Aprovado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Itangua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Guia mensal com faturamento alto (acima de R$ 3,6 M/ano)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✅  Aprovado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Confi-ar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Guia com 4 atividades diferentes (comércio + serviço + impostos retidos)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5000"/>
                <w:sz w:val="18"/>
                <w:szCs w:val="18"/>
              </w:rPr>
              <w:t xml:space="preserve">⏳  Calculado à mão — automático em desenvolvimento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Diferença máxima encontrada: R$ 74,36 em uma guia de R$ 25.567 — equivalente a 0,29% de erro, dentro da margem aceitável.</w:t>
      </w:r>
    </w:p>
    <w:p>
      <w:pPr>
        <w:spacing w:after="3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 Confi-ar ainda não é calculada automaticamente pelo motor porque tem 4 atividades diferentes ao mesmo tempo. Isso está sendo desenvolvido agora (próxima entrega).</w:t>
      </w:r>
    </w:p>
    <w:p>
      <w:pPr>
        <w:pBdr>
          <w:bottom w:val="single" w:color="1A3A6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Estado Atual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960"/>
        <w:gridCol w:w="1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Blindagem dos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Garante que nenhum dado errado entra no sistema (CNPJ inválido, valor negativo,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Cálculo do Simples Nacional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 a guia de impostos mensal com precisão para qualquer 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Análise do IVA (Nova Lei)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Mostra exatamente qual fatia do imposto vira crédito para o comprador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Simulação de Opt-Out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Simula o cenário onde a empresa recolhe o IVA por fora para gerar crédito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✅ Pronto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automáticos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 avisos de risco (limite de faturamento, perda de contrato B2B,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🔄 65%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tela onde o contador insere os dados e vê o resultado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🔄 40%</w:t>
            </w:r>
          </w:p>
        </w:tc>
      </w:tr>
    </w:tbl>
    <w:p>
      <w:pPr>
        <w:spacing w:after="360"/>
      </w:pPr>
    </w:p>
    <w:p>
      <w:pPr>
        <w:pBdr>
          <w:bottom w:val="single" w:color="1A3A6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Próximas Entregas — Ordem de Execução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que falta para liberar o sistema para uso com clientes: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600"/>
        <w:gridCol w:w="1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será feito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Motor passa a calcular empresas com múltiplas atividades automaticamente (como a Confi-ar)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Confi-ar 100% automática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alertas de risco implementados (faturamento perto do limite, risco de perder contrato,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5 concluída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Tela web espelhando os alertas — visual completo para uso com cliente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Fase 6 avançada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Suite de testes completa — 130+ verificações automáticas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Sistema liberado para uso</w:t>
            </w:r>
          </w:p>
        </w:tc>
      </w:tr>
    </w:tbl>
    <w:p>
      <w:pPr>
        <w:spacing w:after="360"/>
      </w:pPr>
    </w:p>
    <w:p>
      <w:pPr>
        <w:pBdr>
          <w:bottom w:val="single" w:color="1A3A6B" w:sz="6" w:space="4"/>
        </w:pBdr>
        <w:spacing w:before="300" w:after="16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Critério de Liberação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 sistema será considerado pronto para uso com clientes quando: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 auditorias aprovadas no e-CAC</w:t>
      </w:r>
      <w:r>
        <w:rPr>
          <w:rFonts w:ascii="Arial" w:cs="Arial" w:eastAsia="Arial" w:hAnsi="Arial"/>
          <w:i/>
          <w:iCs/>
          <w:color w:val="1A6B3A"/>
          <w:sz w:val="20"/>
          <w:szCs w:val="20"/>
        </w:rPr>
        <w:t xml:space="preserve">   — Concluído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⏳ 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Confi-ar calculada automaticamente pelo motor (delta ≤ R$15)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   — Em desenvolvimento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⏳ 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4 alertas de risco implementados e testados (130+ testes automáticos)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   — Em desenvolvimento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⏳ 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Tela web refletindo todos os alertas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   — Em desenvolvimento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⏳  </w:t>
      </w: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Validação final: pronto para uso em atendimento presencial ao cliente</w:t>
      </w: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   — Em desenvolvimento</w:t>
      </w:r>
    </w:p>
    <w:p>
      <w:pPr>
        <w:spacing w:after="360"/>
      </w:pPr>
    </w:p>
    <w:p>
      <w:pPr>
        <w:pBdr>
          <w:top w:val="single" w:color="1A3A6B" w:sz="6" w:space="6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Conect  |  Motor Tributário Transicional 2026–2033  |  Uso interno e exclusivo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2026-03-26T19:27:12.335Z</dcterms:created>
  <dcterms:modified xsi:type="dcterms:W3CDTF">2026-03-26T19:27:12.336Z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