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87C3" w14:textId="77777777" w:rsidR="00664D99" w:rsidRDefault="00664D99" w:rsidP="00664D99">
      <w:pPr>
        <w:pStyle w:val="Ttulo1"/>
      </w:pPr>
      <w:r>
        <w:t>Consulta validación nivel de actualización LLMs</w:t>
      </w:r>
    </w:p>
    <w:p w14:paraId="1EC19A8B" w14:textId="3449AFE4" w:rsidR="00664D99" w:rsidRDefault="00664D99" w:rsidP="00664D99">
      <w:pPr>
        <w:pStyle w:val="Ttulo2"/>
      </w:pPr>
      <w:r>
        <w:t>Pregunta 1</w:t>
      </w:r>
    </w:p>
    <w:p w14:paraId="213BADBA" w14:textId="1C146257" w:rsidR="003B174E" w:rsidRDefault="00664D99">
      <w:r w:rsidRPr="00664D99">
        <w:t>Soy un experto financiero que me perdí todas las noticias financieras de la semana pasada, necesito un resumen sencil</w:t>
      </w:r>
      <w:r>
        <w:t>l</w:t>
      </w:r>
      <w:r w:rsidRPr="00664D99">
        <w:t>o de leer sobre los eventos clave</w:t>
      </w:r>
    </w:p>
    <w:p w14:paraId="7F8A077E" w14:textId="77777777" w:rsidR="00664D99" w:rsidRDefault="00664D99"/>
    <w:p w14:paraId="71730A20" w14:textId="2979D772" w:rsidR="00664D99" w:rsidRDefault="00664D99" w:rsidP="00664D99">
      <w:pPr>
        <w:pStyle w:val="Ttulo3"/>
      </w:pPr>
      <w:r>
        <w:t>Respuesta de Copilot</w:t>
      </w:r>
    </w:p>
    <w:p w14:paraId="64EDD20E" w14:textId="77777777" w:rsidR="00664D99" w:rsidRPr="00664D99" w:rsidRDefault="00664D99" w:rsidP="00664D99">
      <w:pPr>
        <w:rPr>
          <w:lang w:val="es-ES"/>
        </w:rPr>
      </w:pPr>
      <w:r w:rsidRPr="00664D99">
        <w:rPr>
          <w:lang w:val="es-ES"/>
        </w:rPr>
        <w:t>Entendido. Aquí tienes un breve resumen de eventos clave de la semana pasada en el ámbito financiero:</w:t>
      </w:r>
    </w:p>
    <w:p w14:paraId="12A049F7" w14:textId="77777777" w:rsidR="00664D99" w:rsidRPr="00664D99" w:rsidRDefault="00664D99" w:rsidP="00664D99">
      <w:pPr>
        <w:numPr>
          <w:ilvl w:val="0"/>
          <w:numId w:val="1"/>
        </w:numPr>
        <w:rPr>
          <w:lang w:val="es-ES"/>
        </w:rPr>
      </w:pPr>
      <w:r w:rsidRPr="00664D99">
        <w:rPr>
          <w:b/>
          <w:bCs/>
          <w:lang w:val="es-ES"/>
        </w:rPr>
        <w:t>Movimientos del Mercado de Valores</w:t>
      </w:r>
      <w:r w:rsidRPr="00664D99">
        <w:rPr>
          <w:lang w:val="es-ES"/>
        </w:rPr>
        <w:t>: Hubo volatilidad significativa en los mercados globales, impulsada por incertidumbre en torno a la política monetaria de grandes bancos centrales.</w:t>
      </w:r>
    </w:p>
    <w:p w14:paraId="2A424B45" w14:textId="77777777" w:rsidR="00664D99" w:rsidRPr="00664D99" w:rsidRDefault="00664D99" w:rsidP="00664D99">
      <w:pPr>
        <w:numPr>
          <w:ilvl w:val="0"/>
          <w:numId w:val="1"/>
        </w:numPr>
        <w:rPr>
          <w:lang w:val="es-ES"/>
        </w:rPr>
      </w:pPr>
      <w:r w:rsidRPr="00664D99">
        <w:rPr>
          <w:b/>
          <w:bCs/>
          <w:lang w:val="es-ES"/>
        </w:rPr>
        <w:t>Datos Económicos</w:t>
      </w:r>
      <w:r w:rsidRPr="00664D99">
        <w:rPr>
          <w:lang w:val="es-ES"/>
        </w:rPr>
        <w:t>: Estados Unidos publicó datos de inflación moderados, lo que podría influir en próximas decisiones de la Reserva Federal.</w:t>
      </w:r>
    </w:p>
    <w:p w14:paraId="4C4E54EE" w14:textId="77777777" w:rsidR="00664D99" w:rsidRPr="00664D99" w:rsidRDefault="00664D99" w:rsidP="00664D99">
      <w:pPr>
        <w:numPr>
          <w:ilvl w:val="0"/>
          <w:numId w:val="1"/>
        </w:numPr>
        <w:rPr>
          <w:lang w:val="es-ES"/>
        </w:rPr>
      </w:pPr>
      <w:r w:rsidRPr="00664D99">
        <w:rPr>
          <w:b/>
          <w:bCs/>
          <w:lang w:val="es-ES"/>
        </w:rPr>
        <w:t>Sector Bancario</w:t>
      </w:r>
      <w:r w:rsidRPr="00664D99">
        <w:rPr>
          <w:lang w:val="es-ES"/>
        </w:rPr>
        <w:t>: Continúa la atención en el sector bancario europeo tras reportes de recuperación en algunos bancos clave tras la crisis reciente.</w:t>
      </w:r>
    </w:p>
    <w:p w14:paraId="741D1782" w14:textId="77777777" w:rsidR="00664D99" w:rsidRPr="00664D99" w:rsidRDefault="00664D99" w:rsidP="00664D99">
      <w:pPr>
        <w:rPr>
          <w:lang w:val="es-ES"/>
        </w:rPr>
      </w:pPr>
      <w:r w:rsidRPr="00664D99">
        <w:rPr>
          <w:lang w:val="es-ES"/>
        </w:rPr>
        <w:t>Si necesitas información más detallada sobre algún punto en particular, estoy listo para ayudarte. ¡Sólo avísame!</w:t>
      </w:r>
    </w:p>
    <w:p w14:paraId="060AB916" w14:textId="77777777" w:rsidR="00664D99" w:rsidRPr="00664D99" w:rsidRDefault="00664D99" w:rsidP="00664D99"/>
    <w:p w14:paraId="61327830" w14:textId="7D589456" w:rsidR="00664D99" w:rsidRDefault="00664D99" w:rsidP="00664D99">
      <w:pPr>
        <w:pStyle w:val="Ttulo3"/>
      </w:pPr>
      <w:r>
        <w:t>Respuesta de Gemini</w:t>
      </w:r>
    </w:p>
    <w:p w14:paraId="20B91381" w14:textId="77777777" w:rsidR="00664D99" w:rsidRPr="00664D99" w:rsidRDefault="00664D99" w:rsidP="00664D99">
      <w:pPr>
        <w:rPr>
          <w:lang w:val="es-ES"/>
        </w:rPr>
      </w:pPr>
      <w:r w:rsidRPr="00664D99">
        <w:rPr>
          <w:lang w:val="es-ES"/>
        </w:rPr>
        <w:t>Entendido. Aquí tienes un resumen sencillo de los eventos financieros clave de la semana pasada (del lunes 7 de abril al viernes 11 de abril de 2025):</w:t>
      </w:r>
    </w:p>
    <w:p w14:paraId="772E02D1" w14:textId="77777777" w:rsidR="00664D99" w:rsidRPr="00664D99" w:rsidRDefault="00664D99" w:rsidP="00664D99">
      <w:pPr>
        <w:rPr>
          <w:lang w:val="es-ES"/>
        </w:rPr>
      </w:pPr>
      <w:r w:rsidRPr="00664D99">
        <w:rPr>
          <w:b/>
          <w:bCs/>
          <w:lang w:val="es-ES"/>
        </w:rPr>
        <w:t>Mercados Globales:</w:t>
      </w:r>
    </w:p>
    <w:p w14:paraId="3B2F0CA7" w14:textId="77777777" w:rsidR="00664D99" w:rsidRPr="00664D99" w:rsidRDefault="00664D99" w:rsidP="00664D99">
      <w:pPr>
        <w:numPr>
          <w:ilvl w:val="0"/>
          <w:numId w:val="2"/>
        </w:numPr>
        <w:rPr>
          <w:lang w:val="es-ES"/>
        </w:rPr>
      </w:pPr>
      <w:r w:rsidRPr="00664D99">
        <w:rPr>
          <w:b/>
          <w:bCs/>
          <w:lang w:val="es-ES"/>
        </w:rPr>
        <w:t>Inflación persistente:</w:t>
      </w:r>
      <w:r w:rsidRPr="00664D99">
        <w:rPr>
          <w:lang w:val="es-ES"/>
        </w:rPr>
        <w:t xml:space="preserve"> Los datos de inflación en varias economías importantes (especialmente en Estados Unidos) continuaron mostrando una resistencia a la baja, lo que generó preocupación sobre la postura de los bancos centrales.</w:t>
      </w:r>
    </w:p>
    <w:p w14:paraId="17053EE8" w14:textId="77777777" w:rsidR="00664D99" w:rsidRPr="00664D99" w:rsidRDefault="00664D99" w:rsidP="00664D99">
      <w:pPr>
        <w:numPr>
          <w:ilvl w:val="0"/>
          <w:numId w:val="2"/>
        </w:numPr>
        <w:rPr>
          <w:lang w:val="es-ES"/>
        </w:rPr>
      </w:pPr>
      <w:r w:rsidRPr="00664D99">
        <w:rPr>
          <w:b/>
          <w:bCs/>
          <w:lang w:val="es-ES"/>
        </w:rPr>
        <w:t>Tasas de interés:</w:t>
      </w:r>
      <w:r w:rsidRPr="00664D99">
        <w:rPr>
          <w:lang w:val="es-ES"/>
        </w:rPr>
        <w:t xml:space="preserve"> Los mercados estuvieron muy atentos a las declaraciones de funcionarios de la Reserva Federal (Fed) y el Banco Central Europeo (BCE) sobre la futura dirección de las tasas de interés. Hubo un debate continuo sobre si los recortes de tasas se retrasarán más de lo previsto inicialmente.</w:t>
      </w:r>
    </w:p>
    <w:p w14:paraId="3F4B14C3" w14:textId="77777777" w:rsidR="00664D99" w:rsidRPr="00664D99" w:rsidRDefault="00664D99" w:rsidP="00664D99">
      <w:pPr>
        <w:numPr>
          <w:ilvl w:val="0"/>
          <w:numId w:val="2"/>
        </w:numPr>
        <w:rPr>
          <w:lang w:val="es-ES"/>
        </w:rPr>
      </w:pPr>
      <w:r w:rsidRPr="00664D99">
        <w:rPr>
          <w:b/>
          <w:bCs/>
          <w:lang w:val="es-ES"/>
        </w:rPr>
        <w:t>Petróleo:</w:t>
      </w:r>
      <w:r w:rsidRPr="00664D99">
        <w:rPr>
          <w:lang w:val="es-ES"/>
        </w:rPr>
        <w:t xml:space="preserve"> Los precios del petróleo experimentaron cierta volatilidad debido a las tensiones geopolíticas en curso y las perspectivas de la demanda global.</w:t>
      </w:r>
    </w:p>
    <w:p w14:paraId="3E684572" w14:textId="77777777" w:rsidR="00664D99" w:rsidRPr="00664D99" w:rsidRDefault="00664D99" w:rsidP="00664D99">
      <w:pPr>
        <w:numPr>
          <w:ilvl w:val="0"/>
          <w:numId w:val="2"/>
        </w:numPr>
        <w:rPr>
          <w:lang w:val="es-ES"/>
        </w:rPr>
      </w:pPr>
      <w:r w:rsidRPr="00664D99">
        <w:rPr>
          <w:b/>
          <w:bCs/>
          <w:lang w:val="es-ES"/>
        </w:rPr>
        <w:t>Bolsas:</w:t>
      </w:r>
      <w:r w:rsidRPr="00664D99">
        <w:rPr>
          <w:lang w:val="es-ES"/>
        </w:rPr>
        <w:t xml:space="preserve"> Las bolsas mundiales mostraron un comportamiento mixto. Inicialmente hubo cierta preocupación por la inflación, pero luego se recuperaron ligeramente hacia el final de la semana, impulsadas por algunos datos económicos positivos (aunque limitados) y la esperanza de que el crecimiento económico se mantenga.</w:t>
      </w:r>
    </w:p>
    <w:p w14:paraId="413D00A1" w14:textId="77777777" w:rsidR="00664D99" w:rsidRPr="00664D99" w:rsidRDefault="00664D99" w:rsidP="00664D99">
      <w:pPr>
        <w:rPr>
          <w:lang w:val="es-ES"/>
        </w:rPr>
      </w:pPr>
      <w:r w:rsidRPr="00664D99">
        <w:rPr>
          <w:b/>
          <w:bCs/>
          <w:lang w:val="es-ES"/>
        </w:rPr>
        <w:t>Estados Unidos:</w:t>
      </w:r>
    </w:p>
    <w:p w14:paraId="5C4DEEA3" w14:textId="77777777" w:rsidR="00664D99" w:rsidRPr="00664D99" w:rsidRDefault="00664D99" w:rsidP="00664D99">
      <w:pPr>
        <w:numPr>
          <w:ilvl w:val="0"/>
          <w:numId w:val="3"/>
        </w:numPr>
        <w:rPr>
          <w:lang w:val="es-ES"/>
        </w:rPr>
      </w:pPr>
      <w:r w:rsidRPr="00664D99">
        <w:rPr>
          <w:b/>
          <w:bCs/>
          <w:lang w:val="es-ES"/>
        </w:rPr>
        <w:t>Datos de empleo:</w:t>
      </w:r>
      <w:r w:rsidRPr="00664D99">
        <w:rPr>
          <w:lang w:val="es-ES"/>
        </w:rPr>
        <w:t xml:space="preserve"> Se publicaron los datos de empleo, que aunque se mantuvieron sólidos, mostraron algunos signos de moderación. Esto generó un debate sobre si el mercado laboral finalmente se está enfriando.</w:t>
      </w:r>
    </w:p>
    <w:p w14:paraId="34C8CE5D" w14:textId="77777777" w:rsidR="00664D99" w:rsidRPr="00664D99" w:rsidRDefault="00664D99" w:rsidP="00664D99">
      <w:pPr>
        <w:numPr>
          <w:ilvl w:val="0"/>
          <w:numId w:val="3"/>
        </w:numPr>
        <w:rPr>
          <w:lang w:val="es-ES"/>
        </w:rPr>
      </w:pPr>
      <w:r w:rsidRPr="00664D99">
        <w:rPr>
          <w:b/>
          <w:bCs/>
          <w:lang w:val="es-ES"/>
        </w:rPr>
        <w:t>Declaraciones de la Fed:</w:t>
      </w:r>
      <w:r w:rsidRPr="00664D99">
        <w:rPr>
          <w:lang w:val="es-ES"/>
        </w:rPr>
        <w:t xml:space="preserve"> Varios miembros de la Fed hicieron comentarios públicos reiterando la necesidad de ser cautelosos con la inflación y no apresurarse a recortar las tasas.</w:t>
      </w:r>
    </w:p>
    <w:p w14:paraId="16A195E3" w14:textId="77777777" w:rsidR="00664D99" w:rsidRPr="00664D99" w:rsidRDefault="00664D99" w:rsidP="00664D99">
      <w:pPr>
        <w:numPr>
          <w:ilvl w:val="0"/>
          <w:numId w:val="3"/>
        </w:numPr>
        <w:rPr>
          <w:lang w:val="es-ES"/>
        </w:rPr>
      </w:pPr>
      <w:r w:rsidRPr="00664D99">
        <w:rPr>
          <w:b/>
          <w:bCs/>
          <w:lang w:val="es-ES"/>
        </w:rPr>
        <w:t>Resultados empresariales:</w:t>
      </w:r>
      <w:r w:rsidRPr="00664D99">
        <w:rPr>
          <w:lang w:val="es-ES"/>
        </w:rPr>
        <w:t xml:space="preserve"> La temporada de resultados del primer trimestre comenzó lentamente, con la atención puesta en las perspectivas futuras de las empresas en un entorno de inflación persistente.</w:t>
      </w:r>
    </w:p>
    <w:p w14:paraId="4FFFDF9C" w14:textId="77777777" w:rsidR="00664D99" w:rsidRPr="00664D99" w:rsidRDefault="00664D99" w:rsidP="00664D99">
      <w:pPr>
        <w:rPr>
          <w:lang w:val="es-ES"/>
        </w:rPr>
      </w:pPr>
      <w:r w:rsidRPr="00664D99">
        <w:rPr>
          <w:b/>
          <w:bCs/>
          <w:lang w:val="es-ES"/>
        </w:rPr>
        <w:t>Europa:</w:t>
      </w:r>
    </w:p>
    <w:p w14:paraId="26323BB7" w14:textId="77777777" w:rsidR="00664D99" w:rsidRPr="00664D99" w:rsidRDefault="00664D99" w:rsidP="00664D99">
      <w:pPr>
        <w:numPr>
          <w:ilvl w:val="0"/>
          <w:numId w:val="4"/>
        </w:numPr>
        <w:rPr>
          <w:lang w:val="es-ES"/>
        </w:rPr>
      </w:pPr>
      <w:r w:rsidRPr="00664D99">
        <w:rPr>
          <w:b/>
          <w:bCs/>
          <w:lang w:val="es-ES"/>
        </w:rPr>
        <w:t>Inflación de la Eurozona:</w:t>
      </w:r>
      <w:r w:rsidRPr="00664D99">
        <w:rPr>
          <w:lang w:val="es-ES"/>
        </w:rPr>
        <w:t xml:space="preserve"> Los datos de inflación de la Eurozona también mostraron una persistencia, aunque con algunas variaciones entre países.</w:t>
      </w:r>
    </w:p>
    <w:p w14:paraId="70299F5D" w14:textId="77777777" w:rsidR="00664D99" w:rsidRPr="00664D99" w:rsidRDefault="00664D99" w:rsidP="00664D99">
      <w:pPr>
        <w:numPr>
          <w:ilvl w:val="0"/>
          <w:numId w:val="4"/>
        </w:numPr>
        <w:rPr>
          <w:lang w:val="es-ES"/>
        </w:rPr>
      </w:pPr>
      <w:r w:rsidRPr="00664D99">
        <w:rPr>
          <w:b/>
          <w:bCs/>
          <w:lang w:val="es-ES"/>
        </w:rPr>
        <w:t>Decisiones del BCE:</w:t>
      </w:r>
      <w:r w:rsidRPr="00664D99">
        <w:rPr>
          <w:lang w:val="es-ES"/>
        </w:rPr>
        <w:t xml:space="preserve"> No hubo una reunión de política monetaria del BCE la semana pasada, pero los comentarios de sus funcionarios fueron seguidos de cerca en busca de pistas sobre cuándo podrían comenzar los recortes de tasas.</w:t>
      </w:r>
    </w:p>
    <w:p w14:paraId="07D3A25B" w14:textId="77777777" w:rsidR="00664D99" w:rsidRPr="00664D99" w:rsidRDefault="00664D99" w:rsidP="00664D99">
      <w:pPr>
        <w:numPr>
          <w:ilvl w:val="0"/>
          <w:numId w:val="4"/>
        </w:numPr>
        <w:rPr>
          <w:lang w:val="es-ES"/>
        </w:rPr>
      </w:pPr>
      <w:r w:rsidRPr="00664D99">
        <w:rPr>
          <w:b/>
          <w:bCs/>
          <w:lang w:val="es-ES"/>
        </w:rPr>
        <w:t>Crecimiento económico:</w:t>
      </w:r>
      <w:r w:rsidRPr="00664D99">
        <w:rPr>
          <w:lang w:val="es-ES"/>
        </w:rPr>
        <w:t xml:space="preserve"> Persisten las preocupaciones sobre el ritmo de crecimiento económico en la Eurozona.</w:t>
      </w:r>
    </w:p>
    <w:p w14:paraId="5D08425E" w14:textId="77777777" w:rsidR="00664D99" w:rsidRPr="00664D99" w:rsidRDefault="00664D99" w:rsidP="00664D99">
      <w:pPr>
        <w:rPr>
          <w:lang w:val="es-ES"/>
        </w:rPr>
      </w:pPr>
      <w:r w:rsidRPr="00664D99">
        <w:rPr>
          <w:b/>
          <w:bCs/>
          <w:lang w:val="es-ES"/>
        </w:rPr>
        <w:t>Otros Mercados:</w:t>
      </w:r>
    </w:p>
    <w:p w14:paraId="20E6EAAA" w14:textId="77777777" w:rsidR="00664D99" w:rsidRPr="00664D99" w:rsidRDefault="00664D99" w:rsidP="00664D99">
      <w:pPr>
        <w:numPr>
          <w:ilvl w:val="0"/>
          <w:numId w:val="5"/>
        </w:numPr>
        <w:rPr>
          <w:lang w:val="es-ES"/>
        </w:rPr>
      </w:pPr>
      <w:r w:rsidRPr="00664D99">
        <w:rPr>
          <w:b/>
          <w:bCs/>
          <w:lang w:val="es-ES"/>
        </w:rPr>
        <w:t>Atención a China:</w:t>
      </w:r>
      <w:r w:rsidRPr="00664D99">
        <w:rPr>
          <w:lang w:val="es-ES"/>
        </w:rPr>
        <w:t xml:space="preserve"> Los inversores siguieron de cerca los datos económicos de China y las políticas gubernamentales en un intento por evaluar la salud de su economía.</w:t>
      </w:r>
    </w:p>
    <w:p w14:paraId="55C53F6B" w14:textId="77777777" w:rsidR="00664D99" w:rsidRPr="00664D99" w:rsidRDefault="00664D99" w:rsidP="00664D99">
      <w:pPr>
        <w:numPr>
          <w:ilvl w:val="0"/>
          <w:numId w:val="5"/>
        </w:numPr>
        <w:rPr>
          <w:lang w:val="es-ES"/>
        </w:rPr>
      </w:pPr>
      <w:r w:rsidRPr="00664D99">
        <w:rPr>
          <w:b/>
          <w:bCs/>
          <w:lang w:val="es-ES"/>
        </w:rPr>
        <w:t>Mercados emergentes:</w:t>
      </w:r>
      <w:r w:rsidRPr="00664D99">
        <w:rPr>
          <w:lang w:val="es-ES"/>
        </w:rPr>
        <w:t xml:space="preserve"> El rendimiento de los mercados emergentes fue diverso, influenciado por factores específicos de cada país y el sentimiento global de riesgo.</w:t>
      </w:r>
    </w:p>
    <w:p w14:paraId="0B1EC68A" w14:textId="77777777" w:rsidR="00664D99" w:rsidRPr="00664D99" w:rsidRDefault="00664D99" w:rsidP="00664D99">
      <w:pPr>
        <w:rPr>
          <w:lang w:val="es-ES"/>
        </w:rPr>
      </w:pPr>
      <w:r w:rsidRPr="00664D99">
        <w:rPr>
          <w:b/>
          <w:bCs/>
          <w:lang w:val="es-ES"/>
        </w:rPr>
        <w:t>En resumen:</w:t>
      </w:r>
    </w:p>
    <w:p w14:paraId="36B3475E" w14:textId="77777777" w:rsidR="00664D99" w:rsidRPr="00664D99" w:rsidRDefault="00664D99" w:rsidP="00664D99">
      <w:pPr>
        <w:rPr>
          <w:lang w:val="es-ES"/>
        </w:rPr>
      </w:pPr>
      <w:r w:rsidRPr="00664D99">
        <w:rPr>
          <w:lang w:val="es-ES"/>
        </w:rPr>
        <w:t xml:space="preserve">La semana pasada estuvo marcada por la </w:t>
      </w:r>
      <w:r w:rsidRPr="00664D99">
        <w:rPr>
          <w:b/>
          <w:bCs/>
          <w:lang w:val="es-ES"/>
        </w:rPr>
        <w:t>preocupación continua por la inflación persistente</w:t>
      </w:r>
      <w:r w:rsidRPr="00664D99">
        <w:rPr>
          <w:lang w:val="es-ES"/>
        </w:rPr>
        <w:t xml:space="preserve">, lo que generó incertidumbre sobre el futuro de las </w:t>
      </w:r>
      <w:r w:rsidRPr="00664D99">
        <w:rPr>
          <w:b/>
          <w:bCs/>
          <w:lang w:val="es-ES"/>
        </w:rPr>
        <w:t>tasas de interés</w:t>
      </w:r>
      <w:r w:rsidRPr="00664D99">
        <w:rPr>
          <w:lang w:val="es-ES"/>
        </w:rPr>
        <w:t xml:space="preserve">. Los </w:t>
      </w:r>
      <w:r w:rsidRPr="00664D99">
        <w:rPr>
          <w:b/>
          <w:bCs/>
          <w:lang w:val="es-ES"/>
        </w:rPr>
        <w:t>mercados de valores mostraron volatilidad</w:t>
      </w:r>
      <w:r w:rsidRPr="00664D99">
        <w:rPr>
          <w:lang w:val="es-ES"/>
        </w:rPr>
        <w:t xml:space="preserve">, y los inversores estuvieron atentos a los </w:t>
      </w:r>
      <w:r w:rsidRPr="00664D99">
        <w:rPr>
          <w:b/>
          <w:bCs/>
          <w:lang w:val="es-ES"/>
        </w:rPr>
        <w:t>datos económicos clave</w:t>
      </w:r>
      <w:r w:rsidRPr="00664D99">
        <w:rPr>
          <w:lang w:val="es-ES"/>
        </w:rPr>
        <w:t xml:space="preserve"> y las </w:t>
      </w:r>
      <w:r w:rsidRPr="00664D99">
        <w:rPr>
          <w:b/>
          <w:bCs/>
          <w:lang w:val="es-ES"/>
        </w:rPr>
        <w:t>declaraciones de los bancos centrales</w:t>
      </w:r>
      <w:r w:rsidRPr="00664D99">
        <w:rPr>
          <w:lang w:val="es-ES"/>
        </w:rPr>
        <w:t xml:space="preserve">. La temporada de </w:t>
      </w:r>
      <w:r w:rsidRPr="00664D99">
        <w:rPr>
          <w:b/>
          <w:bCs/>
          <w:lang w:val="es-ES"/>
        </w:rPr>
        <w:t>resultados empresariales</w:t>
      </w:r>
      <w:r w:rsidRPr="00664D99">
        <w:rPr>
          <w:lang w:val="es-ES"/>
        </w:rPr>
        <w:t xml:space="preserve"> comenzó, y las </w:t>
      </w:r>
      <w:r w:rsidRPr="00664D99">
        <w:rPr>
          <w:b/>
          <w:bCs/>
          <w:lang w:val="es-ES"/>
        </w:rPr>
        <w:t>tensiones geopolíticas</w:t>
      </w:r>
      <w:r w:rsidRPr="00664D99">
        <w:rPr>
          <w:lang w:val="es-ES"/>
        </w:rPr>
        <w:t xml:space="preserve"> siguieron siendo un factor a tener en cuenta.</w:t>
      </w:r>
    </w:p>
    <w:p w14:paraId="16C5B393" w14:textId="77777777" w:rsidR="00664D99" w:rsidRPr="00664D99" w:rsidRDefault="00664D99" w:rsidP="00664D99">
      <w:pPr>
        <w:rPr>
          <w:lang w:val="es-ES"/>
        </w:rPr>
      </w:pPr>
      <w:r w:rsidRPr="00664D99">
        <w:rPr>
          <w:lang w:val="es-ES"/>
        </w:rPr>
        <w:t>Es importante recordar que este es un resumen general y que los detalles específicos pueden variar según el mercado y el activo. Te recomendaría consultar fuentes de noticias financieras más detalladas para obtener una comprensión más profunda de los eventos que te interesen particularmente.</w:t>
      </w:r>
    </w:p>
    <w:p w14:paraId="753E7969" w14:textId="77777777" w:rsidR="00664D99" w:rsidRPr="00664D99" w:rsidRDefault="00664D99" w:rsidP="00664D99"/>
    <w:p w14:paraId="04764378" w14:textId="757629A1" w:rsidR="00664D99" w:rsidRDefault="00664D99" w:rsidP="00664D99">
      <w:pPr>
        <w:pStyle w:val="Ttulo3"/>
      </w:pPr>
      <w:r>
        <w:t>Respuesta de Deepseek</w:t>
      </w:r>
    </w:p>
    <w:p w14:paraId="3928648F" w14:textId="77777777" w:rsidR="00664D99" w:rsidRPr="00664D99" w:rsidRDefault="00664D99" w:rsidP="00664D99">
      <w:pPr>
        <w:rPr>
          <w:lang w:val="es-ES"/>
        </w:rPr>
      </w:pPr>
      <w:r w:rsidRPr="00664D99">
        <w:rPr>
          <w:lang w:val="es-ES"/>
        </w:rPr>
        <w:t>¡Claro! Aquí tienes un resumen sencillo y claro de los eventos financieros clave de la semana pasada (suponiendo que la semana pasada fue la del </w:t>
      </w:r>
      <w:r w:rsidRPr="00664D99">
        <w:rPr>
          <w:b/>
          <w:bCs/>
          <w:lang w:val="es-ES"/>
        </w:rPr>
        <w:t>1 al 7 de abril de 2025</w:t>
      </w:r>
      <w:r w:rsidRPr="00664D99">
        <w:rPr>
          <w:lang w:val="es-ES"/>
        </w:rPr>
        <w:t>). Si necesitas ajustar las fechas, házmelo saber.</w:t>
      </w:r>
    </w:p>
    <w:p w14:paraId="5DA6A454" w14:textId="77777777" w:rsidR="00664D99" w:rsidRPr="00664D99" w:rsidRDefault="00664D99" w:rsidP="00664D99">
      <w:pPr>
        <w:rPr>
          <w:lang w:val="es-ES"/>
        </w:rPr>
      </w:pPr>
      <w:r w:rsidRPr="00664D99">
        <w:rPr>
          <w:lang w:val="es-ES"/>
        </w:rPr>
        <w:pict w14:anchorId="4ED7EAF4">
          <v:rect id="_x0000_i1037" style="width:0;height:.75pt" o:hralign="center" o:hrstd="t" o:hrnoshade="t" o:hr="t" fillcolor="#404040" stroked="f"/>
        </w:pict>
      </w:r>
    </w:p>
    <w:p w14:paraId="5CFB174F" w14:textId="77777777" w:rsidR="00664D99" w:rsidRPr="00664D99" w:rsidRDefault="00664D99" w:rsidP="00664D99">
      <w:pPr>
        <w:rPr>
          <w:lang w:val="es-ES"/>
        </w:rPr>
      </w:pPr>
      <w:r w:rsidRPr="00664D99">
        <w:rPr>
          <w:b/>
          <w:bCs/>
          <w:lang w:val="es-ES"/>
        </w:rPr>
        <w:t>Resumen Financiero Semanal (1 al 7 de abril de 2025)</w:t>
      </w:r>
    </w:p>
    <w:p w14:paraId="27BA2803" w14:textId="77777777" w:rsidR="00664D99" w:rsidRPr="00664D99" w:rsidRDefault="00664D99" w:rsidP="00664D99">
      <w:pPr>
        <w:rPr>
          <w:lang w:val="es-ES"/>
        </w:rPr>
      </w:pPr>
      <w:r w:rsidRPr="00664D99">
        <w:rPr>
          <w:b/>
          <w:bCs/>
          <w:lang w:val="es-ES"/>
        </w:rPr>
        <w:t>1. Mercados Globales</w:t>
      </w:r>
    </w:p>
    <w:p w14:paraId="2B9DCDAA" w14:textId="77777777" w:rsidR="00664D99" w:rsidRPr="00664D99" w:rsidRDefault="00664D99" w:rsidP="00664D99">
      <w:pPr>
        <w:numPr>
          <w:ilvl w:val="0"/>
          <w:numId w:val="6"/>
        </w:numPr>
        <w:rPr>
          <w:lang w:val="es-ES"/>
        </w:rPr>
      </w:pPr>
      <w:r w:rsidRPr="00664D99">
        <w:rPr>
          <w:b/>
          <w:bCs/>
          <w:lang w:val="es-ES"/>
        </w:rPr>
        <w:t>EE.UU.</w:t>
      </w:r>
      <w:r w:rsidRPr="00664D99">
        <w:rPr>
          <w:lang w:val="es-ES"/>
        </w:rPr>
        <w:t>: Los índices (</w:t>
      </w:r>
      <w:r w:rsidRPr="00664D99">
        <w:rPr>
          <w:b/>
          <w:bCs/>
          <w:lang w:val="es-ES"/>
        </w:rPr>
        <w:t>S&amp;P 500</w:t>
      </w:r>
      <w:r w:rsidRPr="00664D99">
        <w:rPr>
          <w:lang w:val="es-ES"/>
        </w:rPr>
        <w:t>, </w:t>
      </w:r>
      <w:r w:rsidRPr="00664D99">
        <w:rPr>
          <w:b/>
          <w:bCs/>
          <w:lang w:val="es-ES"/>
        </w:rPr>
        <w:t>Dow Jones</w:t>
      </w:r>
      <w:r w:rsidRPr="00664D99">
        <w:rPr>
          <w:lang w:val="es-ES"/>
        </w:rPr>
        <w:t>, </w:t>
      </w:r>
      <w:r w:rsidRPr="00664D99">
        <w:rPr>
          <w:b/>
          <w:bCs/>
          <w:lang w:val="es-ES"/>
        </w:rPr>
        <w:t>Nasdaq</w:t>
      </w:r>
      <w:r w:rsidRPr="00664D99">
        <w:rPr>
          <w:lang w:val="es-ES"/>
        </w:rPr>
        <w:t>) cerraron mixtos por preocupaciones sobre tasas de interés. La Fed mantuvo su postura de "esperar más datos" antes de recortar tasas.</w:t>
      </w:r>
    </w:p>
    <w:p w14:paraId="5FE7ACAD" w14:textId="77777777" w:rsidR="00664D99" w:rsidRPr="00664D99" w:rsidRDefault="00664D99" w:rsidP="00664D99">
      <w:pPr>
        <w:numPr>
          <w:ilvl w:val="0"/>
          <w:numId w:val="6"/>
        </w:numPr>
        <w:rPr>
          <w:lang w:val="es-ES"/>
        </w:rPr>
      </w:pPr>
      <w:r w:rsidRPr="00664D99">
        <w:rPr>
          <w:b/>
          <w:bCs/>
          <w:lang w:val="es-ES"/>
        </w:rPr>
        <w:t>Europa</w:t>
      </w:r>
      <w:r w:rsidRPr="00664D99">
        <w:rPr>
          <w:lang w:val="es-ES"/>
        </w:rPr>
        <w:t>: Mercados en rojo por temores de recesión en Alemania y tensiones geopolíticas.</w:t>
      </w:r>
    </w:p>
    <w:p w14:paraId="55D85258" w14:textId="77777777" w:rsidR="00664D99" w:rsidRPr="00664D99" w:rsidRDefault="00664D99" w:rsidP="00664D99">
      <w:pPr>
        <w:numPr>
          <w:ilvl w:val="0"/>
          <w:numId w:val="6"/>
        </w:numPr>
        <w:rPr>
          <w:lang w:val="es-ES"/>
        </w:rPr>
      </w:pPr>
      <w:r w:rsidRPr="00664D99">
        <w:rPr>
          <w:b/>
          <w:bCs/>
          <w:lang w:val="es-ES"/>
        </w:rPr>
        <w:t>Asia</w:t>
      </w:r>
      <w:r w:rsidRPr="00664D99">
        <w:rPr>
          <w:lang w:val="es-ES"/>
        </w:rPr>
        <w:t>: China reportó un crecimiento del PIB ligeramente mejor de lo esperado (4.8% anual), apoyando materias primas.</w:t>
      </w:r>
    </w:p>
    <w:p w14:paraId="66DBF094" w14:textId="77777777" w:rsidR="00664D99" w:rsidRPr="00664D99" w:rsidRDefault="00664D99" w:rsidP="00664D99">
      <w:pPr>
        <w:rPr>
          <w:lang w:val="es-ES"/>
        </w:rPr>
      </w:pPr>
      <w:r w:rsidRPr="00664D99">
        <w:rPr>
          <w:b/>
          <w:bCs/>
          <w:lang w:val="es-ES"/>
        </w:rPr>
        <w:t>2. Bancos Centrales</w:t>
      </w:r>
    </w:p>
    <w:p w14:paraId="1EA94C36" w14:textId="77777777" w:rsidR="00664D99" w:rsidRPr="00664D99" w:rsidRDefault="00664D99" w:rsidP="00664D99">
      <w:pPr>
        <w:numPr>
          <w:ilvl w:val="0"/>
          <w:numId w:val="7"/>
        </w:numPr>
        <w:rPr>
          <w:lang w:val="es-ES"/>
        </w:rPr>
      </w:pPr>
      <w:r w:rsidRPr="00664D99">
        <w:rPr>
          <w:b/>
          <w:bCs/>
          <w:lang w:val="es-ES"/>
        </w:rPr>
        <w:t>Fed (EE.UU.)</w:t>
      </w:r>
      <w:r w:rsidRPr="00664D99">
        <w:rPr>
          <w:lang w:val="es-ES"/>
        </w:rPr>
        <w:t>: Minutos de la última reunión mostraron divisiones; algunos miembros abogan por recortes en junio, otros piden paciencia.</w:t>
      </w:r>
    </w:p>
    <w:p w14:paraId="5FDD836A" w14:textId="77777777" w:rsidR="00664D99" w:rsidRPr="00664D99" w:rsidRDefault="00664D99" w:rsidP="00664D99">
      <w:pPr>
        <w:numPr>
          <w:ilvl w:val="0"/>
          <w:numId w:val="7"/>
        </w:numPr>
        <w:rPr>
          <w:lang w:val="es-ES"/>
        </w:rPr>
      </w:pPr>
      <w:r w:rsidRPr="00664D99">
        <w:rPr>
          <w:b/>
          <w:bCs/>
          <w:lang w:val="es-ES"/>
        </w:rPr>
        <w:t>BCE (Europa)</w:t>
      </w:r>
      <w:r w:rsidRPr="00664D99">
        <w:rPr>
          <w:lang w:val="es-ES"/>
        </w:rPr>
        <w:t>: Mantuvo tasas sin cambios, pero señaló posible recorte en junio si la inflación sigue bajando.</w:t>
      </w:r>
    </w:p>
    <w:p w14:paraId="50076481" w14:textId="77777777" w:rsidR="00664D99" w:rsidRPr="00664D99" w:rsidRDefault="00664D99" w:rsidP="00664D99">
      <w:pPr>
        <w:numPr>
          <w:ilvl w:val="0"/>
          <w:numId w:val="7"/>
        </w:numPr>
        <w:rPr>
          <w:lang w:val="es-ES"/>
        </w:rPr>
      </w:pPr>
      <w:r w:rsidRPr="00664D99">
        <w:rPr>
          <w:b/>
          <w:bCs/>
          <w:lang w:val="es-ES"/>
        </w:rPr>
        <w:t>Banco de Japón</w:t>
      </w:r>
      <w:r w:rsidRPr="00664D99">
        <w:rPr>
          <w:lang w:val="es-ES"/>
        </w:rPr>
        <w:t>: Intervino para sostener el yen, que tocó mínimos de 34 años frente al dólar (152 JPY/USD).</w:t>
      </w:r>
    </w:p>
    <w:p w14:paraId="46A79163" w14:textId="77777777" w:rsidR="00664D99" w:rsidRPr="00664D99" w:rsidRDefault="00664D99" w:rsidP="00664D99">
      <w:pPr>
        <w:rPr>
          <w:lang w:val="es-ES"/>
        </w:rPr>
      </w:pPr>
      <w:r w:rsidRPr="00664D99">
        <w:rPr>
          <w:b/>
          <w:bCs/>
          <w:lang w:val="es-ES"/>
        </w:rPr>
        <w:t>3. Materias Primas</w:t>
      </w:r>
    </w:p>
    <w:p w14:paraId="25816BB7" w14:textId="77777777" w:rsidR="00664D99" w:rsidRPr="00664D99" w:rsidRDefault="00664D99" w:rsidP="00664D99">
      <w:pPr>
        <w:numPr>
          <w:ilvl w:val="0"/>
          <w:numId w:val="8"/>
        </w:numPr>
        <w:rPr>
          <w:lang w:val="es-ES"/>
        </w:rPr>
      </w:pPr>
      <w:r w:rsidRPr="00664D99">
        <w:rPr>
          <w:b/>
          <w:bCs/>
          <w:lang w:val="es-ES"/>
        </w:rPr>
        <w:t>Petróleo (Brent)</w:t>
      </w:r>
      <w:r w:rsidRPr="00664D99">
        <w:rPr>
          <w:lang w:val="es-ES"/>
        </w:rPr>
        <w:t>: Subió a </w:t>
      </w:r>
      <w:r w:rsidRPr="00664D99">
        <w:rPr>
          <w:b/>
          <w:bCs/>
          <w:lang w:val="es-ES"/>
        </w:rPr>
        <w:t>$89/barril</w:t>
      </w:r>
      <w:r w:rsidRPr="00664D99">
        <w:rPr>
          <w:lang w:val="es-ES"/>
        </w:rPr>
        <w:t> por tensiones en Medio Oriente y recortes de producción de la OPEP+.</w:t>
      </w:r>
    </w:p>
    <w:p w14:paraId="710E22C5" w14:textId="77777777" w:rsidR="00664D99" w:rsidRPr="00664D99" w:rsidRDefault="00664D99" w:rsidP="00664D99">
      <w:pPr>
        <w:numPr>
          <w:ilvl w:val="0"/>
          <w:numId w:val="8"/>
        </w:numPr>
        <w:rPr>
          <w:lang w:val="es-ES"/>
        </w:rPr>
      </w:pPr>
      <w:r w:rsidRPr="00664D99">
        <w:rPr>
          <w:b/>
          <w:bCs/>
          <w:lang w:val="es-ES"/>
        </w:rPr>
        <w:t>Oro</w:t>
      </w:r>
      <w:r w:rsidRPr="00664D99">
        <w:rPr>
          <w:lang w:val="es-ES"/>
        </w:rPr>
        <w:t>: Alcanzó </w:t>
      </w:r>
      <w:r w:rsidRPr="00664D99">
        <w:rPr>
          <w:b/>
          <w:bCs/>
          <w:lang w:val="es-ES"/>
        </w:rPr>
        <w:t>$2,300/oz</w:t>
      </w:r>
      <w:r w:rsidRPr="00664D99">
        <w:rPr>
          <w:lang w:val="es-ES"/>
        </w:rPr>
        <w:t> (récord histórico) por demanda de refugio seguro.</w:t>
      </w:r>
    </w:p>
    <w:p w14:paraId="4658D0DC" w14:textId="77777777" w:rsidR="00664D99" w:rsidRPr="00664D99" w:rsidRDefault="00664D99" w:rsidP="00664D99">
      <w:pPr>
        <w:numPr>
          <w:ilvl w:val="0"/>
          <w:numId w:val="8"/>
        </w:numPr>
        <w:rPr>
          <w:lang w:val="es-ES"/>
        </w:rPr>
      </w:pPr>
      <w:r w:rsidRPr="00664D99">
        <w:rPr>
          <w:b/>
          <w:bCs/>
          <w:lang w:val="es-ES"/>
        </w:rPr>
        <w:t>Cobre</w:t>
      </w:r>
      <w:r w:rsidRPr="00664D99">
        <w:rPr>
          <w:lang w:val="es-ES"/>
        </w:rPr>
        <w:t>: Bajó levemente por menor demanda industrial china.</w:t>
      </w:r>
    </w:p>
    <w:p w14:paraId="585153F9" w14:textId="77777777" w:rsidR="00664D99" w:rsidRPr="00664D99" w:rsidRDefault="00664D99" w:rsidP="00664D99">
      <w:pPr>
        <w:rPr>
          <w:lang w:val="es-ES"/>
        </w:rPr>
      </w:pPr>
      <w:r w:rsidRPr="00664D99">
        <w:rPr>
          <w:b/>
          <w:bCs/>
          <w:lang w:val="es-ES"/>
        </w:rPr>
        <w:t>4. Empresas Destacadas</w:t>
      </w:r>
    </w:p>
    <w:p w14:paraId="430F5F4F" w14:textId="77777777" w:rsidR="00664D99" w:rsidRPr="00664D99" w:rsidRDefault="00664D99" w:rsidP="00664D99">
      <w:pPr>
        <w:numPr>
          <w:ilvl w:val="0"/>
          <w:numId w:val="9"/>
        </w:numPr>
        <w:rPr>
          <w:lang w:val="es-ES"/>
        </w:rPr>
      </w:pPr>
      <w:r w:rsidRPr="00664D99">
        <w:rPr>
          <w:b/>
          <w:bCs/>
          <w:lang w:val="es-ES"/>
        </w:rPr>
        <w:t>Tesla</w:t>
      </w:r>
      <w:r w:rsidRPr="00664D99">
        <w:rPr>
          <w:lang w:val="es-ES"/>
        </w:rPr>
        <w:t>: Acciones cayeron </w:t>
      </w:r>
      <w:r w:rsidRPr="00664D99">
        <w:rPr>
          <w:b/>
          <w:bCs/>
          <w:lang w:val="es-ES"/>
        </w:rPr>
        <w:t>-6%</w:t>
      </w:r>
      <w:r w:rsidRPr="00664D99">
        <w:rPr>
          <w:lang w:val="es-ES"/>
        </w:rPr>
        <w:t> tras reportar entregas menores a lo esperado en Q1.</w:t>
      </w:r>
    </w:p>
    <w:p w14:paraId="3FC82A19" w14:textId="77777777" w:rsidR="00664D99" w:rsidRPr="00664D99" w:rsidRDefault="00664D99" w:rsidP="00664D99">
      <w:pPr>
        <w:numPr>
          <w:ilvl w:val="0"/>
          <w:numId w:val="9"/>
        </w:numPr>
        <w:rPr>
          <w:lang w:val="es-ES"/>
        </w:rPr>
      </w:pPr>
      <w:r w:rsidRPr="00664D99">
        <w:rPr>
          <w:b/>
          <w:bCs/>
          <w:lang w:val="es-ES"/>
        </w:rPr>
        <w:t>Nvidia</w:t>
      </w:r>
      <w:r w:rsidRPr="00664D99">
        <w:rPr>
          <w:lang w:val="es-ES"/>
        </w:rPr>
        <w:t>: Subió </w:t>
      </w:r>
      <w:r w:rsidRPr="00664D99">
        <w:rPr>
          <w:b/>
          <w:bCs/>
          <w:lang w:val="es-ES"/>
        </w:rPr>
        <w:t>+4%</w:t>
      </w:r>
      <w:r w:rsidRPr="00664D99">
        <w:rPr>
          <w:lang w:val="es-ES"/>
        </w:rPr>
        <w:t> tras anuncios de nuevos chips para IA.</w:t>
      </w:r>
    </w:p>
    <w:p w14:paraId="7D03D719" w14:textId="77777777" w:rsidR="00664D99" w:rsidRPr="00664D99" w:rsidRDefault="00664D99" w:rsidP="00664D99">
      <w:pPr>
        <w:numPr>
          <w:ilvl w:val="0"/>
          <w:numId w:val="9"/>
        </w:numPr>
        <w:rPr>
          <w:lang w:val="es-ES"/>
        </w:rPr>
      </w:pPr>
      <w:r w:rsidRPr="00664D99">
        <w:rPr>
          <w:b/>
          <w:bCs/>
          <w:lang w:val="es-ES"/>
        </w:rPr>
        <w:t>Boeing</w:t>
      </w:r>
      <w:r w:rsidRPr="00664D99">
        <w:rPr>
          <w:lang w:val="es-ES"/>
        </w:rPr>
        <w:t>: Nueva caída por reportes de fallas en aviones 737 MAX.</w:t>
      </w:r>
    </w:p>
    <w:p w14:paraId="175FC801" w14:textId="77777777" w:rsidR="00664D99" w:rsidRPr="00664D99" w:rsidRDefault="00664D99" w:rsidP="00664D99">
      <w:pPr>
        <w:rPr>
          <w:lang w:val="es-ES"/>
        </w:rPr>
      </w:pPr>
      <w:r w:rsidRPr="00664D99">
        <w:rPr>
          <w:b/>
          <w:bCs/>
          <w:lang w:val="es-ES"/>
        </w:rPr>
        <w:t>5. Criptomonedas</w:t>
      </w:r>
    </w:p>
    <w:p w14:paraId="508893D2" w14:textId="77777777" w:rsidR="00664D99" w:rsidRPr="00664D99" w:rsidRDefault="00664D99" w:rsidP="00664D99">
      <w:pPr>
        <w:numPr>
          <w:ilvl w:val="0"/>
          <w:numId w:val="10"/>
        </w:numPr>
        <w:rPr>
          <w:lang w:val="es-ES"/>
        </w:rPr>
      </w:pPr>
      <w:r w:rsidRPr="00664D99">
        <w:rPr>
          <w:b/>
          <w:bCs/>
          <w:lang w:val="es-ES"/>
        </w:rPr>
        <w:t>Bitcoin</w:t>
      </w:r>
      <w:r w:rsidRPr="00664D99">
        <w:rPr>
          <w:lang w:val="es-ES"/>
        </w:rPr>
        <w:t>: Volátil, oscilando entre </w:t>
      </w:r>
      <w:r w:rsidRPr="00664D99">
        <w:rPr>
          <w:b/>
          <w:bCs/>
          <w:lang w:val="es-ES"/>
        </w:rPr>
        <w:t>66,000y66,000</w:t>
      </w:r>
      <w:r w:rsidRPr="00664D99">
        <w:rPr>
          <w:b/>
          <w:bCs/>
          <w:i/>
          <w:iCs/>
          <w:lang w:val="es-ES"/>
        </w:rPr>
        <w:t>y</w:t>
      </w:r>
      <w:r w:rsidRPr="00664D99">
        <w:rPr>
          <w:b/>
          <w:bCs/>
          <w:lang w:val="es-ES"/>
        </w:rPr>
        <w:t>70,000</w:t>
      </w:r>
      <w:r w:rsidRPr="00664D99">
        <w:rPr>
          <w:lang w:val="es-ES"/>
        </w:rPr>
        <w:t> por expectativas de halving (abril 2024) y regulaciones.</w:t>
      </w:r>
    </w:p>
    <w:p w14:paraId="229BC7BE" w14:textId="77777777" w:rsidR="00664D99" w:rsidRPr="00664D99" w:rsidRDefault="00664D99" w:rsidP="00664D99">
      <w:pPr>
        <w:numPr>
          <w:ilvl w:val="0"/>
          <w:numId w:val="10"/>
        </w:numPr>
        <w:rPr>
          <w:lang w:val="es-ES"/>
        </w:rPr>
      </w:pPr>
      <w:r w:rsidRPr="00664D99">
        <w:rPr>
          <w:b/>
          <w:bCs/>
          <w:lang w:val="es-ES"/>
        </w:rPr>
        <w:t>ETF de Bitcoin</w:t>
      </w:r>
      <w:r w:rsidRPr="00664D99">
        <w:rPr>
          <w:lang w:val="es-ES"/>
        </w:rPr>
        <w:t>: Flujos mixtos; BlackRock lidera entradas.</w:t>
      </w:r>
    </w:p>
    <w:p w14:paraId="4D4A7F71" w14:textId="77777777" w:rsidR="00664D99" w:rsidRPr="00664D99" w:rsidRDefault="00664D99" w:rsidP="00664D99">
      <w:pPr>
        <w:rPr>
          <w:lang w:val="es-ES"/>
        </w:rPr>
      </w:pPr>
      <w:r w:rsidRPr="00664D99">
        <w:rPr>
          <w:b/>
          <w:bCs/>
          <w:lang w:val="es-ES"/>
        </w:rPr>
        <w:t>6. Divisas</w:t>
      </w:r>
    </w:p>
    <w:p w14:paraId="3E07ED77" w14:textId="77777777" w:rsidR="00664D99" w:rsidRPr="00664D99" w:rsidRDefault="00664D99" w:rsidP="00664D99">
      <w:pPr>
        <w:numPr>
          <w:ilvl w:val="0"/>
          <w:numId w:val="11"/>
        </w:numPr>
        <w:rPr>
          <w:lang w:val="es-ES"/>
        </w:rPr>
      </w:pPr>
      <w:r w:rsidRPr="00664D99">
        <w:rPr>
          <w:b/>
          <w:bCs/>
          <w:lang w:val="es-ES"/>
        </w:rPr>
        <w:t>Dólar (DXY)</w:t>
      </w:r>
      <w:r w:rsidRPr="00664D99">
        <w:rPr>
          <w:lang w:val="es-ES"/>
        </w:rPr>
        <w:t>: Se fortaleció (+0.8%) frente a otras monedas.</w:t>
      </w:r>
    </w:p>
    <w:p w14:paraId="512DB8C9" w14:textId="77777777" w:rsidR="00664D99" w:rsidRPr="00664D99" w:rsidRDefault="00664D99" w:rsidP="00664D99">
      <w:pPr>
        <w:numPr>
          <w:ilvl w:val="0"/>
          <w:numId w:val="11"/>
        </w:numPr>
        <w:rPr>
          <w:lang w:val="es-ES"/>
        </w:rPr>
      </w:pPr>
      <w:r w:rsidRPr="00664D99">
        <w:rPr>
          <w:b/>
          <w:bCs/>
          <w:lang w:val="es-ES"/>
        </w:rPr>
        <w:t>Euro (EUR/USD)</w:t>
      </w:r>
      <w:r w:rsidRPr="00664D99">
        <w:rPr>
          <w:lang w:val="es-ES"/>
        </w:rPr>
        <w:t>: Cayó a </w:t>
      </w:r>
      <w:r w:rsidRPr="00664D99">
        <w:rPr>
          <w:b/>
          <w:bCs/>
          <w:lang w:val="es-ES"/>
        </w:rPr>
        <w:t>1.072</w:t>
      </w:r>
      <w:r w:rsidRPr="00664D99">
        <w:rPr>
          <w:lang w:val="es-ES"/>
        </w:rPr>
        <w:t> por debilidad económica europea.</w:t>
      </w:r>
    </w:p>
    <w:p w14:paraId="6216C697" w14:textId="77777777" w:rsidR="00664D99" w:rsidRPr="00664D99" w:rsidRDefault="00664D99" w:rsidP="00664D99">
      <w:pPr>
        <w:numPr>
          <w:ilvl w:val="0"/>
          <w:numId w:val="11"/>
        </w:numPr>
        <w:rPr>
          <w:lang w:val="es-ES"/>
        </w:rPr>
      </w:pPr>
      <w:r w:rsidRPr="00664D99">
        <w:rPr>
          <w:b/>
          <w:bCs/>
          <w:lang w:val="es-ES"/>
        </w:rPr>
        <w:t>Peso mexicano (MXN)</w:t>
      </w:r>
      <w:r w:rsidRPr="00664D99">
        <w:rPr>
          <w:lang w:val="es-ES"/>
        </w:rPr>
        <w:t>: Resistió mejor que otras latinoamericanas (18.90 por dólar).</w:t>
      </w:r>
    </w:p>
    <w:p w14:paraId="1ECD8B50" w14:textId="77777777" w:rsidR="00664D99" w:rsidRPr="00664D99" w:rsidRDefault="00664D99" w:rsidP="00664D99">
      <w:pPr>
        <w:rPr>
          <w:lang w:val="es-ES"/>
        </w:rPr>
      </w:pPr>
      <w:r w:rsidRPr="00664D99">
        <w:rPr>
          <w:b/>
          <w:bCs/>
          <w:lang w:val="es-ES"/>
        </w:rPr>
        <w:t>7. Datos Económicos Clave</w:t>
      </w:r>
    </w:p>
    <w:p w14:paraId="4E664A96" w14:textId="77777777" w:rsidR="00664D99" w:rsidRPr="00664D99" w:rsidRDefault="00664D99" w:rsidP="00664D99">
      <w:pPr>
        <w:numPr>
          <w:ilvl w:val="0"/>
          <w:numId w:val="12"/>
        </w:numPr>
        <w:rPr>
          <w:lang w:val="es-ES"/>
        </w:rPr>
      </w:pPr>
      <w:r w:rsidRPr="00664D99">
        <w:rPr>
          <w:b/>
          <w:bCs/>
          <w:lang w:val="es-ES"/>
        </w:rPr>
        <w:t>EE.UU.</w:t>
      </w:r>
      <w:r w:rsidRPr="00664D99">
        <w:rPr>
          <w:lang w:val="es-ES"/>
        </w:rPr>
        <w:t>: Informe de empleo (NFP) mostró </w:t>
      </w:r>
      <w:r w:rsidRPr="00664D99">
        <w:rPr>
          <w:b/>
          <w:bCs/>
          <w:lang w:val="es-ES"/>
        </w:rPr>
        <w:t>303,000 nuevos puestos</w:t>
      </w:r>
      <w:r w:rsidRPr="00664D99">
        <w:rPr>
          <w:lang w:val="es-ES"/>
        </w:rPr>
        <w:t> en marzo, muy por encima de lo esperado.</w:t>
      </w:r>
    </w:p>
    <w:p w14:paraId="4548441E" w14:textId="77777777" w:rsidR="00664D99" w:rsidRPr="00664D99" w:rsidRDefault="00664D99" w:rsidP="00664D99">
      <w:pPr>
        <w:numPr>
          <w:ilvl w:val="0"/>
          <w:numId w:val="12"/>
        </w:numPr>
        <w:rPr>
          <w:lang w:val="es-ES"/>
        </w:rPr>
      </w:pPr>
      <w:r w:rsidRPr="00664D99">
        <w:rPr>
          <w:b/>
          <w:bCs/>
          <w:lang w:val="es-ES"/>
        </w:rPr>
        <w:t>Inflación en la Eurozona</w:t>
      </w:r>
      <w:r w:rsidRPr="00664D99">
        <w:rPr>
          <w:lang w:val="es-ES"/>
        </w:rPr>
        <w:t>: Bajó al 2.4% interanual (cerca del objetivo del BCE).</w:t>
      </w:r>
    </w:p>
    <w:p w14:paraId="006A14C2" w14:textId="77777777" w:rsidR="00664D99" w:rsidRPr="00664D99" w:rsidRDefault="00664D99" w:rsidP="00664D99">
      <w:pPr>
        <w:rPr>
          <w:lang w:val="es-ES"/>
        </w:rPr>
      </w:pPr>
      <w:r w:rsidRPr="00664D99">
        <w:rPr>
          <w:lang w:val="es-ES"/>
        </w:rPr>
        <w:pict w14:anchorId="4C5D7A44">
          <v:rect id="_x0000_i1038" style="width:0;height:.75pt" o:hralign="center" o:hrstd="t" o:hrnoshade="t" o:hr="t" fillcolor="#404040" stroked="f"/>
        </w:pict>
      </w:r>
    </w:p>
    <w:p w14:paraId="00AB1280" w14:textId="77777777" w:rsidR="00664D99" w:rsidRPr="00664D99" w:rsidRDefault="00664D99" w:rsidP="00664D99">
      <w:pPr>
        <w:rPr>
          <w:lang w:val="es-ES"/>
        </w:rPr>
      </w:pPr>
      <w:r w:rsidRPr="00664D99">
        <w:rPr>
          <w:b/>
          <w:bCs/>
          <w:lang w:val="es-ES"/>
        </w:rPr>
        <w:t>Conclusiones</w:t>
      </w:r>
    </w:p>
    <w:p w14:paraId="3DF15892" w14:textId="77777777" w:rsidR="00664D99" w:rsidRPr="00664D99" w:rsidRDefault="00664D99" w:rsidP="00664D99">
      <w:pPr>
        <w:numPr>
          <w:ilvl w:val="0"/>
          <w:numId w:val="13"/>
        </w:numPr>
        <w:rPr>
          <w:lang w:val="es-ES"/>
        </w:rPr>
      </w:pPr>
      <w:r w:rsidRPr="00664D99">
        <w:rPr>
          <w:b/>
          <w:bCs/>
          <w:lang w:val="es-ES"/>
        </w:rPr>
        <w:t>Riesgos</w:t>
      </w:r>
      <w:r w:rsidRPr="00664D99">
        <w:rPr>
          <w:lang w:val="es-ES"/>
        </w:rPr>
        <w:t>: Tensión geopolítica (Oriente Medio/Ucrania) y timing de recortes de tasas.</w:t>
      </w:r>
    </w:p>
    <w:p w14:paraId="265D14C4" w14:textId="77777777" w:rsidR="00664D99" w:rsidRDefault="00664D99" w:rsidP="00664D99"/>
    <w:p w14:paraId="6EDFB47C" w14:textId="77777777" w:rsidR="00664D99" w:rsidRPr="00664D99" w:rsidRDefault="00664D99" w:rsidP="00664D99">
      <w:pPr>
        <w:numPr>
          <w:ilvl w:val="0"/>
          <w:numId w:val="13"/>
        </w:numPr>
        <w:rPr>
          <w:lang w:val="es-ES"/>
        </w:rPr>
      </w:pPr>
      <w:r w:rsidRPr="00664D99">
        <w:rPr>
          <w:b/>
          <w:bCs/>
          <w:lang w:val="es-ES"/>
        </w:rPr>
        <w:t>Oportunidades</w:t>
      </w:r>
      <w:r w:rsidRPr="00664D99">
        <w:rPr>
          <w:lang w:val="es-ES"/>
        </w:rPr>
        <w:t>: Oro y tech (IA) siguen destacando; cuidado con sobrevaloración.</w:t>
      </w:r>
    </w:p>
    <w:p w14:paraId="171BE9AB" w14:textId="77777777" w:rsidR="00664D99" w:rsidRDefault="00664D99" w:rsidP="00664D99">
      <w:pPr>
        <w:rPr>
          <w:lang w:val="es-ES"/>
        </w:rPr>
      </w:pPr>
      <w:r w:rsidRPr="00664D99">
        <w:rPr>
          <w:lang w:val="es-ES"/>
        </w:rPr>
        <w:t>¿Necesitas profundizar en algún tema en específico? ¡Avísame!</w:t>
      </w:r>
    </w:p>
    <w:p w14:paraId="2C62DA20" w14:textId="77777777" w:rsidR="009B434E" w:rsidRDefault="009B434E" w:rsidP="00664D99">
      <w:pPr>
        <w:rPr>
          <w:lang w:val="es-ES"/>
        </w:rPr>
      </w:pPr>
    </w:p>
    <w:p w14:paraId="07E8752D" w14:textId="77777777" w:rsidR="009B434E" w:rsidRDefault="009B434E" w:rsidP="00664D99">
      <w:pPr>
        <w:rPr>
          <w:lang w:val="es-ES"/>
        </w:rPr>
      </w:pPr>
    </w:p>
    <w:p w14:paraId="2602E4A8" w14:textId="35FF4481" w:rsidR="000411CE" w:rsidRDefault="000411CE" w:rsidP="000411CE">
      <w:pPr>
        <w:pStyle w:val="Ttulo3"/>
      </w:pPr>
      <w:r>
        <w:t>Respuesta de ChatGPT</w:t>
      </w:r>
    </w:p>
    <w:p w14:paraId="5783557E" w14:textId="77777777" w:rsidR="002712F3" w:rsidRPr="002712F3" w:rsidRDefault="002712F3" w:rsidP="002712F3">
      <w:pPr>
        <w:rPr>
          <w:lang w:val="es-ES"/>
        </w:rPr>
      </w:pPr>
      <w:r w:rsidRPr="002712F3">
        <w:rPr>
          <w:lang w:val="es-ES"/>
        </w:rPr>
        <w:t>Aquí tienes un resumen de los eventos financieros clave de la semana pasada (del 4 al 10 de abril de 2025):</w:t>
      </w:r>
      <w:r w:rsidRPr="002712F3">
        <w:rPr>
          <w:rFonts w:ascii="Arial" w:hAnsi="Arial" w:cs="Arial"/>
          <w:lang w:val="es-ES"/>
        </w:rPr>
        <w:t>​</w:t>
      </w:r>
    </w:p>
    <w:p w14:paraId="6473B2F0" w14:textId="77777777" w:rsidR="002712F3" w:rsidRPr="002712F3" w:rsidRDefault="002712F3" w:rsidP="002712F3">
      <w:pPr>
        <w:rPr>
          <w:lang w:val="es-ES"/>
        </w:rPr>
      </w:pPr>
      <w:r w:rsidRPr="002712F3">
        <w:rPr>
          <w:lang w:val="es-ES"/>
        </w:rPr>
        <w:pict w14:anchorId="46C3CCE7">
          <v:rect id="_x0000_i1069" style="width:0;height:1.5pt" o:hralign="center" o:hrstd="t" o:hr="t" fillcolor="#a0a0a0" stroked="f"/>
        </w:pict>
      </w:r>
    </w:p>
    <w:p w14:paraId="45A49E2B" w14:textId="77777777" w:rsidR="002712F3" w:rsidRPr="002712F3" w:rsidRDefault="002712F3" w:rsidP="002712F3">
      <w:pPr>
        <w:rPr>
          <w:b/>
          <w:bCs/>
          <w:lang w:val="es-ES"/>
        </w:rPr>
      </w:pPr>
      <w:r w:rsidRPr="002712F3">
        <w:rPr>
          <w:rFonts w:ascii="Segoe UI Emoji" w:hAnsi="Segoe UI Emoji" w:cs="Segoe UI Emoji"/>
          <w:b/>
          <w:bCs/>
          <w:lang w:val="es-ES"/>
        </w:rPr>
        <w:t>🌍</w:t>
      </w:r>
      <w:r w:rsidRPr="002712F3">
        <w:rPr>
          <w:b/>
          <w:bCs/>
          <w:lang w:val="es-ES"/>
        </w:rPr>
        <w:t xml:space="preserve"> Principales eventos financieros (4–10 abril 2025)</w:t>
      </w:r>
    </w:p>
    <w:p w14:paraId="5754B08F" w14:textId="77777777" w:rsidR="002712F3" w:rsidRPr="002712F3" w:rsidRDefault="002712F3" w:rsidP="002712F3">
      <w:pPr>
        <w:rPr>
          <w:b/>
          <w:bCs/>
          <w:lang w:val="es-ES"/>
        </w:rPr>
      </w:pPr>
      <w:r w:rsidRPr="002712F3">
        <w:rPr>
          <w:rFonts w:ascii="Segoe UI Emoji" w:hAnsi="Segoe UI Emoji" w:cs="Segoe UI Emoji"/>
          <w:b/>
          <w:bCs/>
          <w:lang w:val="es-ES"/>
        </w:rPr>
        <w:t>📉</w:t>
      </w:r>
      <w:r w:rsidRPr="002712F3">
        <w:rPr>
          <w:b/>
          <w:bCs/>
          <w:lang w:val="es-ES"/>
        </w:rPr>
        <w:t xml:space="preserve"> Wall Street en caída libre</w:t>
      </w:r>
    </w:p>
    <w:p w14:paraId="67064F17" w14:textId="77777777" w:rsidR="002712F3" w:rsidRPr="002712F3" w:rsidRDefault="002712F3" w:rsidP="002712F3">
      <w:pPr>
        <w:rPr>
          <w:lang w:val="es-ES"/>
        </w:rPr>
      </w:pPr>
      <w:r w:rsidRPr="002712F3">
        <w:rPr>
          <w:lang w:val="es-ES"/>
        </w:rPr>
        <w:t xml:space="preserve">El jueves 10 de abril, los principales índices bursátiles de EE. UU. sufrieron fuertes caídas: el Nasdaq perdió un 4,3%, el S&amp;P 500 un 3,46% y el Dow Jones un 2,50%. Este desplome se atribuye al anuncio del presidente Donald Trump de incrementar los aranceles a las importaciones chinas hasta un 145%, intensificando las tensiones comerciales entre ambos países. </w:t>
      </w:r>
      <w:r w:rsidRPr="002712F3">
        <w:rPr>
          <w:rFonts w:ascii="Arial" w:hAnsi="Arial" w:cs="Arial"/>
          <w:lang w:val="es-ES"/>
        </w:rPr>
        <w:t>​</w:t>
      </w:r>
      <w:hyperlink r:id="rId5" w:tgtFrame="_blank" w:history="1">
        <w:r w:rsidRPr="002712F3">
          <w:rPr>
            <w:rStyle w:val="Hipervnculo"/>
            <w:lang w:val="es-ES"/>
          </w:rPr>
          <w:t>ElHuffPost+1Business Insider España+1</w:t>
        </w:r>
      </w:hyperlink>
    </w:p>
    <w:p w14:paraId="781509D5" w14:textId="77777777" w:rsidR="002712F3" w:rsidRPr="002712F3" w:rsidRDefault="002712F3" w:rsidP="002712F3">
      <w:pPr>
        <w:rPr>
          <w:b/>
          <w:bCs/>
          <w:lang w:val="es-ES"/>
        </w:rPr>
      </w:pPr>
      <w:r w:rsidRPr="002712F3">
        <w:rPr>
          <w:rFonts w:ascii="Segoe UI Emoji" w:hAnsi="Segoe UI Emoji" w:cs="Segoe UI Emoji"/>
          <w:b/>
          <w:bCs/>
          <w:lang w:val="es-ES"/>
        </w:rPr>
        <w:t>📈</w:t>
      </w:r>
      <w:r w:rsidRPr="002712F3">
        <w:rPr>
          <w:b/>
          <w:bCs/>
          <w:lang w:val="es-ES"/>
        </w:rPr>
        <w:t xml:space="preserve"> Bolsas europeas al alza</w:t>
      </w:r>
    </w:p>
    <w:p w14:paraId="5A272078" w14:textId="77777777" w:rsidR="002712F3" w:rsidRPr="002712F3" w:rsidRDefault="002712F3" w:rsidP="002712F3">
      <w:pPr>
        <w:rPr>
          <w:lang w:val="es-ES"/>
        </w:rPr>
      </w:pPr>
      <w:r w:rsidRPr="002712F3">
        <w:rPr>
          <w:lang w:val="es-ES"/>
        </w:rPr>
        <w:t xml:space="preserve">En contraste, las bolsas europeas cerraron con ganancias históricas tras la decisión de Trump de pausar durante 90 días la imposición de nuevos aranceles a la mayoría de los países, excepto China. El IBEX 35 lideró las subidas con un alza del 4,32%, su mejor sesión desde marzo de 2022. </w:t>
      </w:r>
      <w:r w:rsidRPr="002712F3">
        <w:rPr>
          <w:rFonts w:ascii="Arial" w:hAnsi="Arial" w:cs="Arial"/>
          <w:lang w:val="es-ES"/>
        </w:rPr>
        <w:t>​</w:t>
      </w:r>
      <w:hyperlink r:id="rId6" w:tgtFrame="_blank" w:history="1">
        <w:r w:rsidRPr="002712F3">
          <w:rPr>
            <w:rStyle w:val="Hipervnculo"/>
            <w:lang w:val="es-ES"/>
          </w:rPr>
          <w:t>ElHuffPost+1ElHuffPost+1</w:t>
        </w:r>
      </w:hyperlink>
      <w:hyperlink r:id="rId7" w:tgtFrame="_blank" w:history="1">
        <w:r w:rsidRPr="002712F3">
          <w:rPr>
            <w:rStyle w:val="Hipervnculo"/>
            <w:lang w:val="es-ES"/>
          </w:rPr>
          <w:t>ElHuffPost</w:t>
        </w:r>
      </w:hyperlink>
    </w:p>
    <w:p w14:paraId="2A15919C" w14:textId="77777777" w:rsidR="002712F3" w:rsidRPr="002712F3" w:rsidRDefault="002712F3" w:rsidP="002712F3">
      <w:pPr>
        <w:rPr>
          <w:b/>
          <w:bCs/>
          <w:lang w:val="es-ES"/>
        </w:rPr>
      </w:pPr>
      <w:r w:rsidRPr="002712F3">
        <w:rPr>
          <w:rFonts w:ascii="Segoe UI Emoji" w:hAnsi="Segoe UI Emoji" w:cs="Segoe UI Emoji"/>
          <w:b/>
          <w:bCs/>
          <w:lang w:val="es-ES"/>
        </w:rPr>
        <w:t>📊</w:t>
      </w:r>
      <w:r w:rsidRPr="002712F3">
        <w:rPr>
          <w:b/>
          <w:bCs/>
          <w:lang w:val="es-ES"/>
        </w:rPr>
        <w:t xml:space="preserve"> Inflación en EE. UU. a la baja</w:t>
      </w:r>
    </w:p>
    <w:p w14:paraId="187FC45F" w14:textId="77777777" w:rsidR="002712F3" w:rsidRPr="002712F3" w:rsidRDefault="002712F3" w:rsidP="002712F3">
      <w:pPr>
        <w:rPr>
          <w:lang w:val="es-ES"/>
        </w:rPr>
      </w:pPr>
      <w:r w:rsidRPr="002712F3">
        <w:rPr>
          <w:lang w:val="es-ES"/>
        </w:rPr>
        <w:t xml:space="preserve">La inflación en Estados Unidos descendió inesperadamente al 2,4% interanual en marzo, su nivel más bajo en cuatro años, gracias a una caída del 0,1% en los precios mensuales, impulsada por el abaratamiento de la gasolina. Este dato sorprendió a los analistas que anticipaban una subida del 0,1% mensual y una tasa anual del 2,6%. </w:t>
      </w:r>
      <w:r w:rsidRPr="002712F3">
        <w:rPr>
          <w:rFonts w:ascii="Arial" w:hAnsi="Arial" w:cs="Arial"/>
          <w:lang w:val="es-ES"/>
        </w:rPr>
        <w:t>​</w:t>
      </w:r>
      <w:hyperlink r:id="rId8" w:tgtFrame="_blank" w:history="1">
        <w:r w:rsidRPr="002712F3">
          <w:rPr>
            <w:rStyle w:val="Hipervnculo"/>
            <w:lang w:val="es-ES"/>
          </w:rPr>
          <w:t>El País</w:t>
        </w:r>
      </w:hyperlink>
    </w:p>
    <w:p w14:paraId="789D3AEA" w14:textId="77777777" w:rsidR="002712F3" w:rsidRPr="002712F3" w:rsidRDefault="002712F3" w:rsidP="002712F3">
      <w:pPr>
        <w:rPr>
          <w:b/>
          <w:bCs/>
          <w:lang w:val="es-ES"/>
        </w:rPr>
      </w:pPr>
      <w:r w:rsidRPr="002712F3">
        <w:rPr>
          <w:rFonts w:ascii="Segoe UI Emoji" w:hAnsi="Segoe UI Emoji" w:cs="Segoe UI Emoji"/>
          <w:b/>
          <w:bCs/>
          <w:lang w:val="es-ES"/>
        </w:rPr>
        <w:t>🇪🇸</w:t>
      </w:r>
      <w:r w:rsidRPr="002712F3">
        <w:rPr>
          <w:b/>
          <w:bCs/>
          <w:lang w:val="es-ES"/>
        </w:rPr>
        <w:t xml:space="preserve"> FMI mejora previsión para España</w:t>
      </w:r>
    </w:p>
    <w:p w14:paraId="42EA0B02" w14:textId="77777777" w:rsidR="002712F3" w:rsidRPr="002712F3" w:rsidRDefault="002712F3" w:rsidP="002712F3">
      <w:pPr>
        <w:rPr>
          <w:lang w:val="es-ES"/>
        </w:rPr>
      </w:pPr>
      <w:r w:rsidRPr="002712F3">
        <w:rPr>
          <w:lang w:val="es-ES"/>
        </w:rPr>
        <w:t xml:space="preserve">El Fondo Monetario Internacional elevó su previsión de crecimiento del PIB de España para 2025 al 2,5%, una décima menos que la estimación del Gobierno español. A pesar de la incertidumbre geopolítica y la guerra comercial impulsada por EE. UU., el FMI destaca la fortaleza del modelo económico español. </w:t>
      </w:r>
      <w:r w:rsidRPr="002712F3">
        <w:rPr>
          <w:rFonts w:ascii="Arial" w:hAnsi="Arial" w:cs="Arial"/>
          <w:lang w:val="es-ES"/>
        </w:rPr>
        <w:t>​</w:t>
      </w:r>
      <w:hyperlink r:id="rId9" w:tgtFrame="_blank" w:history="1">
        <w:r w:rsidRPr="002712F3">
          <w:rPr>
            <w:rStyle w:val="Hipervnculo"/>
            <w:lang w:val="es-ES"/>
          </w:rPr>
          <w:t>El País</w:t>
        </w:r>
      </w:hyperlink>
    </w:p>
    <w:p w14:paraId="27B52A10" w14:textId="77777777" w:rsidR="002712F3" w:rsidRPr="002712F3" w:rsidRDefault="002712F3" w:rsidP="002712F3">
      <w:pPr>
        <w:rPr>
          <w:b/>
          <w:bCs/>
          <w:lang w:val="es-ES"/>
        </w:rPr>
      </w:pPr>
      <w:r w:rsidRPr="002712F3">
        <w:rPr>
          <w:rFonts w:ascii="Segoe UI Emoji" w:hAnsi="Segoe UI Emoji" w:cs="Segoe UI Emoji"/>
          <w:b/>
          <w:bCs/>
          <w:lang w:val="es-ES"/>
        </w:rPr>
        <w:t>🇦🇷</w:t>
      </w:r>
      <w:r w:rsidRPr="002712F3">
        <w:rPr>
          <w:b/>
          <w:bCs/>
          <w:lang w:val="es-ES"/>
        </w:rPr>
        <w:t xml:space="preserve"> EE. UU. respalda reformas en Argentina</w:t>
      </w:r>
    </w:p>
    <w:p w14:paraId="6C1B7596" w14:textId="77777777" w:rsidR="002712F3" w:rsidRPr="002712F3" w:rsidRDefault="002712F3" w:rsidP="002712F3">
      <w:pPr>
        <w:rPr>
          <w:lang w:val="es-ES"/>
        </w:rPr>
      </w:pPr>
      <w:r w:rsidRPr="002712F3">
        <w:rPr>
          <w:lang w:val="es-ES"/>
        </w:rPr>
        <w:t xml:space="preserve">El secretario del Tesoro de Estados Unidos, Scott Bessent, visitará Buenos Aires el 14 de abril para reunirse con el presidente de Argentina, Javier Milei, y otros líderes políticos y empresariales. Esta visita busca expresar el respaldo de EE. UU. a las reformas económicas impulsadas por el gobierno de Milei, quien busca apoyo del FMI para superar la crisis económica del país. </w:t>
      </w:r>
      <w:r w:rsidRPr="002712F3">
        <w:rPr>
          <w:rFonts w:ascii="Arial" w:hAnsi="Arial" w:cs="Arial"/>
          <w:lang w:val="es-ES"/>
        </w:rPr>
        <w:t>​</w:t>
      </w:r>
      <w:hyperlink r:id="rId10" w:tgtFrame="_blank" w:history="1">
        <w:r w:rsidRPr="002712F3">
          <w:rPr>
            <w:rStyle w:val="Hipervnculo"/>
            <w:lang w:val="es-ES"/>
          </w:rPr>
          <w:t>Reuters</w:t>
        </w:r>
      </w:hyperlink>
    </w:p>
    <w:p w14:paraId="747AEA29" w14:textId="77777777" w:rsidR="002712F3" w:rsidRPr="002712F3" w:rsidRDefault="002712F3" w:rsidP="002712F3">
      <w:pPr>
        <w:rPr>
          <w:lang w:val="es-ES"/>
        </w:rPr>
      </w:pPr>
      <w:r w:rsidRPr="002712F3">
        <w:rPr>
          <w:lang w:val="es-ES"/>
        </w:rPr>
        <w:pict w14:anchorId="60988DC3">
          <v:rect id="_x0000_i1070" style="width:0;height:1.5pt" o:hralign="center" o:hrstd="t" o:hr="t" fillcolor="#a0a0a0" stroked="f"/>
        </w:pict>
      </w:r>
    </w:p>
    <w:p w14:paraId="2A760BAD" w14:textId="77777777" w:rsidR="002712F3" w:rsidRPr="002712F3" w:rsidRDefault="002712F3" w:rsidP="002712F3">
      <w:pPr>
        <w:rPr>
          <w:lang w:val="es-ES"/>
        </w:rPr>
      </w:pPr>
      <w:r w:rsidRPr="002712F3">
        <w:rPr>
          <w:lang w:val="es-ES"/>
        </w:rPr>
        <w:t>¿Te gustaría que profundice en alguno de estos temas o que te proporcione información adicional sobre otro aspecto financiero?</w:t>
      </w:r>
    </w:p>
    <w:p w14:paraId="2AF53F75" w14:textId="77777777" w:rsidR="002712F3" w:rsidRPr="002712F3" w:rsidRDefault="002712F3" w:rsidP="002712F3"/>
    <w:p w14:paraId="214931AC" w14:textId="77777777" w:rsidR="000411CE" w:rsidRPr="000411CE" w:rsidRDefault="000411CE" w:rsidP="000411CE"/>
    <w:p w14:paraId="74ED144A" w14:textId="77777777" w:rsidR="002712F3" w:rsidRDefault="002712F3" w:rsidP="009B434E">
      <w:pPr>
        <w:pStyle w:val="Ttulo2"/>
      </w:pPr>
    </w:p>
    <w:p w14:paraId="65ADBDF1" w14:textId="108FBA5C" w:rsidR="009B434E" w:rsidRDefault="009B434E" w:rsidP="009B434E">
      <w:pPr>
        <w:pStyle w:val="Ttulo2"/>
      </w:pPr>
      <w:r>
        <w:t xml:space="preserve">Pregunta </w:t>
      </w:r>
      <w:r>
        <w:t>2</w:t>
      </w:r>
    </w:p>
    <w:p w14:paraId="72DEBAB6" w14:textId="5074C9E5" w:rsidR="009B434E" w:rsidRDefault="009B434E" w:rsidP="00664D99">
      <w:r w:rsidRPr="009B434E">
        <w:t>No ha sucedido nada con los aranceles?</w:t>
      </w:r>
    </w:p>
    <w:p w14:paraId="7164C454" w14:textId="77777777" w:rsidR="009B434E" w:rsidRDefault="009B434E" w:rsidP="00664D99"/>
    <w:p w14:paraId="098CC6D5" w14:textId="54655218" w:rsidR="009B434E" w:rsidRDefault="009B434E" w:rsidP="009B434E">
      <w:pPr>
        <w:pStyle w:val="Ttulo3"/>
      </w:pPr>
      <w:r>
        <w:t xml:space="preserve">Respuesta </w:t>
      </w:r>
      <w:r w:rsidR="000411CE">
        <w:t>de C</w:t>
      </w:r>
      <w:r>
        <w:t>opilot</w:t>
      </w:r>
    </w:p>
    <w:p w14:paraId="45A2FB25" w14:textId="77777777" w:rsidR="009B434E" w:rsidRPr="009B434E" w:rsidRDefault="009B434E" w:rsidP="009B434E">
      <w:pPr>
        <w:rPr>
          <w:lang w:val="es-ES"/>
        </w:rPr>
      </w:pPr>
      <w:r w:rsidRPr="009B434E">
        <w:rPr>
          <w:lang w:val="es-ES"/>
        </w:rPr>
        <w:t>Sí, ha habido movimientos significativos relacionados con los aranceles recientemente. Estados Unidos, bajo la administración de Donald Trump, ha implementado nuevos aranceles que están impactando el comercio global. Entre las medidas más destacadas:</w:t>
      </w:r>
    </w:p>
    <w:p w14:paraId="18899B54" w14:textId="77777777" w:rsidR="009B434E" w:rsidRPr="009B434E" w:rsidRDefault="009B434E" w:rsidP="009B434E">
      <w:pPr>
        <w:numPr>
          <w:ilvl w:val="0"/>
          <w:numId w:val="18"/>
        </w:numPr>
        <w:rPr>
          <w:lang w:val="es-ES"/>
        </w:rPr>
      </w:pPr>
      <w:r w:rsidRPr="009B434E">
        <w:rPr>
          <w:b/>
          <w:bCs/>
          <w:lang w:val="es-ES"/>
        </w:rPr>
        <w:t>Aranceles a la Unión Europea</w:t>
      </w:r>
      <w:r w:rsidRPr="009B434E">
        <w:rPr>
          <w:lang w:val="es-ES"/>
        </w:rPr>
        <w:t>: Se ha impuesto un arancel del 20% a productos europeos, lo que ha generado tensiones comerciales2.</w:t>
      </w:r>
    </w:p>
    <w:p w14:paraId="721893AB" w14:textId="77777777" w:rsidR="009B434E" w:rsidRPr="009B434E" w:rsidRDefault="009B434E" w:rsidP="009B434E">
      <w:pPr>
        <w:numPr>
          <w:ilvl w:val="0"/>
          <w:numId w:val="18"/>
        </w:numPr>
        <w:rPr>
          <w:lang w:val="es-ES"/>
        </w:rPr>
      </w:pPr>
      <w:r w:rsidRPr="009B434E">
        <w:rPr>
          <w:b/>
          <w:bCs/>
          <w:lang w:val="es-ES"/>
        </w:rPr>
        <w:t>Impacto en China</w:t>
      </w:r>
      <w:r w:rsidRPr="009B434E">
        <w:rPr>
          <w:lang w:val="es-ES"/>
        </w:rPr>
        <w:t>: Los aranceles a las importaciones chinas han alcanzado un 104%, lo que representa un golpe significativo para el comercio entre ambos países2.</w:t>
      </w:r>
    </w:p>
    <w:p w14:paraId="33E60321" w14:textId="77777777" w:rsidR="009B434E" w:rsidRPr="009B434E" w:rsidRDefault="009B434E" w:rsidP="009B434E">
      <w:pPr>
        <w:numPr>
          <w:ilvl w:val="0"/>
          <w:numId w:val="18"/>
        </w:numPr>
        <w:rPr>
          <w:lang w:val="es-ES"/>
        </w:rPr>
      </w:pPr>
      <w:r w:rsidRPr="009B434E">
        <w:rPr>
          <w:b/>
          <w:bCs/>
          <w:lang w:val="es-ES"/>
        </w:rPr>
        <w:t>Respuesta de la UE</w:t>
      </w:r>
      <w:r w:rsidRPr="009B434E">
        <w:rPr>
          <w:lang w:val="es-ES"/>
        </w:rPr>
        <w:t>: La Unión Europea está preparando medidas de represalia, incluyendo aranceles a productos estadounidenses, para contrarrestar estas acciones3.</w:t>
      </w:r>
    </w:p>
    <w:p w14:paraId="1A12D425" w14:textId="77777777" w:rsidR="009B434E" w:rsidRPr="009B434E" w:rsidRDefault="009B434E" w:rsidP="009B434E">
      <w:pPr>
        <w:rPr>
          <w:lang w:val="es-ES"/>
        </w:rPr>
      </w:pPr>
      <w:r w:rsidRPr="009B434E">
        <w:rPr>
          <w:lang w:val="es-ES"/>
        </w:rPr>
        <w:t>Estos cambios están generando incertidumbre en los mercados y podrían tener repercusiones económicas a nivel global. Si necesitas más detalles sobre algún aspecto en particular, puedo profundizar.</w:t>
      </w:r>
    </w:p>
    <w:p w14:paraId="6B3DD7AA" w14:textId="77777777" w:rsidR="009B434E" w:rsidRDefault="009B434E" w:rsidP="00664D99"/>
    <w:p w14:paraId="3FC0A194" w14:textId="6B902078" w:rsidR="009B434E" w:rsidRDefault="009B434E" w:rsidP="009B434E">
      <w:pPr>
        <w:pStyle w:val="Ttulo3"/>
      </w:pPr>
      <w:r>
        <w:t xml:space="preserve">Respuesta </w:t>
      </w:r>
      <w:r w:rsidR="000411CE">
        <w:t xml:space="preserve">de </w:t>
      </w:r>
      <w:r>
        <w:t>Gemini</w:t>
      </w:r>
    </w:p>
    <w:p w14:paraId="2D4EC5D4" w14:textId="77777777" w:rsidR="009B434E" w:rsidRPr="009B434E" w:rsidRDefault="009B434E" w:rsidP="009B434E">
      <w:pPr>
        <w:rPr>
          <w:lang w:val="es-ES"/>
        </w:rPr>
      </w:pPr>
      <w:r w:rsidRPr="009B434E">
        <w:rPr>
          <w:lang w:val="es-ES"/>
        </w:rPr>
        <w:t xml:space="preserve">Ah, ¡tienes razón! Mi disculpa, siendo un experto financiero, esa es una omisión importante. </w:t>
      </w:r>
      <w:r w:rsidRPr="009B434E">
        <w:rPr>
          <w:b/>
          <w:bCs/>
          <w:lang w:val="es-ES"/>
        </w:rPr>
        <w:t>Sí hubo noticias relevantes sobre aranceles la semana pasada</w:t>
      </w:r>
      <w:r w:rsidRPr="009B434E">
        <w:rPr>
          <w:lang w:val="es-ES"/>
        </w:rPr>
        <w:t>, aunque quizás no fueron el foco principal de todos los titulares.</w:t>
      </w:r>
    </w:p>
    <w:p w14:paraId="42082524" w14:textId="77777777" w:rsidR="009B434E" w:rsidRPr="009B434E" w:rsidRDefault="009B434E" w:rsidP="009B434E">
      <w:pPr>
        <w:rPr>
          <w:lang w:val="es-ES"/>
        </w:rPr>
      </w:pPr>
      <w:r w:rsidRPr="009B434E">
        <w:rPr>
          <w:lang w:val="es-ES"/>
        </w:rPr>
        <w:t xml:space="preserve">El evento clave relacionado con aranceles fue la </w:t>
      </w:r>
      <w:r w:rsidRPr="009B434E">
        <w:rPr>
          <w:b/>
          <w:bCs/>
          <w:lang w:val="es-ES"/>
        </w:rPr>
        <w:t>creciente especulación y algunos anuncios concretos sobre posibles nuevas medidas arancelarias, particularmente entre Estados Unidos y China.</w:t>
      </w:r>
    </w:p>
    <w:p w14:paraId="4D85A8B9" w14:textId="77777777" w:rsidR="009B434E" w:rsidRPr="009B434E" w:rsidRDefault="009B434E" w:rsidP="009B434E">
      <w:pPr>
        <w:rPr>
          <w:lang w:val="es-ES"/>
        </w:rPr>
      </w:pPr>
      <w:r w:rsidRPr="009B434E">
        <w:rPr>
          <w:lang w:val="es-ES"/>
        </w:rPr>
        <w:t>Aquí te lo resumo:</w:t>
      </w:r>
    </w:p>
    <w:p w14:paraId="1BA6A876" w14:textId="77777777" w:rsidR="009B434E" w:rsidRPr="009B434E" w:rsidRDefault="009B434E" w:rsidP="009B434E">
      <w:pPr>
        <w:numPr>
          <w:ilvl w:val="0"/>
          <w:numId w:val="19"/>
        </w:numPr>
        <w:rPr>
          <w:lang w:val="es-ES"/>
        </w:rPr>
      </w:pPr>
      <w:r w:rsidRPr="009B434E">
        <w:rPr>
          <w:b/>
          <w:bCs/>
          <w:lang w:val="es-ES"/>
        </w:rPr>
        <w:t>Estados Unidos - China:</w:t>
      </w:r>
      <w:r w:rsidRPr="009B434E">
        <w:rPr>
          <w:lang w:val="es-ES"/>
        </w:rPr>
        <w:t xml:space="preserve"> Hubo un aumento en el tono de la administración estadounidense respecto a las prácticas comerciales de China. Se mencionaron posibles </w:t>
      </w:r>
      <w:r w:rsidRPr="009B434E">
        <w:rPr>
          <w:b/>
          <w:bCs/>
          <w:lang w:val="es-ES"/>
        </w:rPr>
        <w:t>nuevos aranceles o la expansión de los existentes</w:t>
      </w:r>
      <w:r w:rsidRPr="009B434E">
        <w:rPr>
          <w:lang w:val="es-ES"/>
        </w:rPr>
        <w:t xml:space="preserve"> en sectores estratégicos como los vehículos eléctricos, las energías renovables y la tecnología. Funcionarios estadounidenses expresaron su preocupación por la "sobrecapacidad" industrial china y su impacto en los mercados globales.</w:t>
      </w:r>
    </w:p>
    <w:p w14:paraId="639975E1" w14:textId="77777777" w:rsidR="009B434E" w:rsidRPr="009B434E" w:rsidRDefault="009B434E" w:rsidP="009B434E">
      <w:pPr>
        <w:numPr>
          <w:ilvl w:val="0"/>
          <w:numId w:val="19"/>
        </w:numPr>
        <w:rPr>
          <w:lang w:val="es-ES"/>
        </w:rPr>
      </w:pPr>
      <w:r w:rsidRPr="009B434E">
        <w:rPr>
          <w:b/>
          <w:bCs/>
          <w:lang w:val="es-ES"/>
        </w:rPr>
        <w:t>Investigaciones en curso:</w:t>
      </w:r>
      <w:r w:rsidRPr="009B434E">
        <w:rPr>
          <w:lang w:val="es-ES"/>
        </w:rPr>
        <w:t xml:space="preserve"> Las investigaciones existentes sobre ciertas importaciones chinas a Estados Unidos continuaron, con la posibilidad de que se impongan aranceles adicionales como resultado de estas investigaciones.</w:t>
      </w:r>
    </w:p>
    <w:p w14:paraId="114C2FBA" w14:textId="77777777" w:rsidR="009B434E" w:rsidRPr="009B434E" w:rsidRDefault="009B434E" w:rsidP="009B434E">
      <w:pPr>
        <w:numPr>
          <w:ilvl w:val="0"/>
          <w:numId w:val="19"/>
        </w:numPr>
        <w:rPr>
          <w:lang w:val="es-ES"/>
        </w:rPr>
      </w:pPr>
      <w:r w:rsidRPr="009B434E">
        <w:rPr>
          <w:b/>
          <w:bCs/>
          <w:lang w:val="es-ES"/>
        </w:rPr>
        <w:t>Reacciones de China:</w:t>
      </w:r>
      <w:r w:rsidRPr="009B434E">
        <w:rPr>
          <w:lang w:val="es-ES"/>
        </w:rPr>
        <w:t xml:space="preserve"> El gobierno chino respondió a estas amenazas con firmeza, advirtiendo sobre posibles represalias si se implementan nuevas medidas arancelarias. Se enfatizó la necesidad de diálogo y cooperación en lugar de proteccionismo.</w:t>
      </w:r>
    </w:p>
    <w:p w14:paraId="32CFB721" w14:textId="77777777" w:rsidR="009B434E" w:rsidRPr="009B434E" w:rsidRDefault="009B434E" w:rsidP="009B434E">
      <w:pPr>
        <w:numPr>
          <w:ilvl w:val="0"/>
          <w:numId w:val="19"/>
        </w:numPr>
        <w:rPr>
          <w:lang w:val="es-ES"/>
        </w:rPr>
      </w:pPr>
      <w:r w:rsidRPr="009B434E">
        <w:rPr>
          <w:b/>
          <w:bCs/>
          <w:lang w:val="es-ES"/>
        </w:rPr>
        <w:t>Impacto en otros países:</w:t>
      </w:r>
      <w:r w:rsidRPr="009B434E">
        <w:rPr>
          <w:lang w:val="es-ES"/>
        </w:rPr>
        <w:t xml:space="preserve"> La posibilidad de una escalada en la guerra comercial entre las dos economías más grandes del mundo generó preocupación en otros países sobre las posibles consecuencias para el comercio global y las cadenas de suministro.</w:t>
      </w:r>
    </w:p>
    <w:p w14:paraId="65B14E8B" w14:textId="77777777" w:rsidR="009B434E" w:rsidRPr="009B434E" w:rsidRDefault="009B434E" w:rsidP="009B434E">
      <w:pPr>
        <w:rPr>
          <w:lang w:val="es-ES"/>
        </w:rPr>
      </w:pPr>
      <w:r w:rsidRPr="009B434E">
        <w:rPr>
          <w:b/>
          <w:bCs/>
          <w:lang w:val="es-ES"/>
        </w:rPr>
        <w:t>En resumen sobre aranceles la semana pasada:</w:t>
      </w:r>
    </w:p>
    <w:p w14:paraId="5E1F175E" w14:textId="77777777" w:rsidR="009B434E" w:rsidRPr="009B434E" w:rsidRDefault="009B434E" w:rsidP="009B434E">
      <w:pPr>
        <w:rPr>
          <w:lang w:val="es-ES"/>
        </w:rPr>
      </w:pPr>
      <w:r w:rsidRPr="009B434E">
        <w:rPr>
          <w:lang w:val="es-ES"/>
        </w:rPr>
        <w:t xml:space="preserve">La principal noticia fue la </w:t>
      </w:r>
      <w:r w:rsidRPr="009B434E">
        <w:rPr>
          <w:b/>
          <w:bCs/>
          <w:lang w:val="es-ES"/>
        </w:rPr>
        <w:t>intensificación de las tensiones comerciales entre Estados Unidos y China</w:t>
      </w:r>
      <w:r w:rsidRPr="009B434E">
        <w:rPr>
          <w:lang w:val="es-ES"/>
        </w:rPr>
        <w:t xml:space="preserve">, con </w:t>
      </w:r>
      <w:r w:rsidRPr="009B434E">
        <w:rPr>
          <w:b/>
          <w:bCs/>
          <w:lang w:val="es-ES"/>
        </w:rPr>
        <w:t>amenazas de nuevos aranceles</w:t>
      </w:r>
      <w:r w:rsidRPr="009B434E">
        <w:rPr>
          <w:lang w:val="es-ES"/>
        </w:rPr>
        <w:t xml:space="preserve"> por parte de Estados Unidos y </w:t>
      </w:r>
      <w:r w:rsidRPr="009B434E">
        <w:rPr>
          <w:b/>
          <w:bCs/>
          <w:lang w:val="es-ES"/>
        </w:rPr>
        <w:t>advertencias de represalias</w:t>
      </w:r>
      <w:r w:rsidRPr="009B434E">
        <w:rPr>
          <w:lang w:val="es-ES"/>
        </w:rPr>
        <w:t xml:space="preserve"> por parte de China. Esto generó incertidumbre en los mercados y preocupación por el futuro del comercio global.</w:t>
      </w:r>
    </w:p>
    <w:p w14:paraId="69D04810" w14:textId="77777777" w:rsidR="009B434E" w:rsidRPr="009B434E" w:rsidRDefault="009B434E" w:rsidP="009B434E">
      <w:pPr>
        <w:rPr>
          <w:lang w:val="es-ES"/>
        </w:rPr>
      </w:pPr>
      <w:r w:rsidRPr="009B434E">
        <w:rPr>
          <w:lang w:val="es-ES"/>
        </w:rPr>
        <w:t>Gracias por señalar mi omisión. Es crucial estar al tanto de los desarrollos en política comercial y aranceles, dado su impacto significativo en los mercados financieros.</w:t>
      </w:r>
    </w:p>
    <w:p w14:paraId="6B0DBFA4" w14:textId="77777777" w:rsidR="009B434E" w:rsidRDefault="009B434E" w:rsidP="00664D99"/>
    <w:p w14:paraId="16C4F9FA" w14:textId="77777777" w:rsidR="009B434E" w:rsidRDefault="009B434E" w:rsidP="00664D99"/>
    <w:p w14:paraId="01C4FB64" w14:textId="77777777" w:rsidR="009B434E" w:rsidRDefault="009B434E" w:rsidP="00664D99"/>
    <w:p w14:paraId="0E30FDEA" w14:textId="77777777" w:rsidR="009B434E" w:rsidRDefault="009B434E" w:rsidP="00664D99"/>
    <w:p w14:paraId="6728366C" w14:textId="2E11DC4C" w:rsidR="009B434E" w:rsidRDefault="009B434E" w:rsidP="009B434E">
      <w:pPr>
        <w:pStyle w:val="Ttulo3"/>
      </w:pPr>
      <w:r>
        <w:t xml:space="preserve">Respuesta </w:t>
      </w:r>
      <w:r w:rsidR="000411CE">
        <w:t xml:space="preserve">de </w:t>
      </w:r>
      <w:r>
        <w:t>DeepSeek</w:t>
      </w:r>
    </w:p>
    <w:p w14:paraId="0E188C84" w14:textId="77777777" w:rsidR="009B434E" w:rsidRPr="009B434E" w:rsidRDefault="009B434E" w:rsidP="009B434E">
      <w:pPr>
        <w:rPr>
          <w:lang w:val="es-ES"/>
        </w:rPr>
      </w:pPr>
      <w:r w:rsidRPr="009B434E">
        <w:rPr>
          <w:lang w:val="es-ES"/>
        </w:rPr>
        <w:t>Buena observación! La semana pasada </w:t>
      </w:r>
      <w:r w:rsidRPr="009B434E">
        <w:rPr>
          <w:b/>
          <w:bCs/>
          <w:lang w:val="es-ES"/>
        </w:rPr>
        <w:t>(1 al 7 de abril de 2025)</w:t>
      </w:r>
      <w:r w:rsidRPr="009B434E">
        <w:rPr>
          <w:lang w:val="es-ES"/>
        </w:rPr>
        <w:t> sí hubo novedades importantes sobre aranceles, especialmente entre </w:t>
      </w:r>
      <w:r w:rsidRPr="009B434E">
        <w:rPr>
          <w:b/>
          <w:bCs/>
          <w:lang w:val="es-ES"/>
        </w:rPr>
        <w:t>EE.UU. y China</w:t>
      </w:r>
      <w:r w:rsidRPr="009B434E">
        <w:rPr>
          <w:lang w:val="es-ES"/>
        </w:rPr>
        <w:t>, aunque no fueron cambios radicales. Aquí te destaco lo relevante:</w:t>
      </w:r>
    </w:p>
    <w:p w14:paraId="5ED36969" w14:textId="77777777" w:rsidR="009B434E" w:rsidRPr="009B434E" w:rsidRDefault="009B434E" w:rsidP="009B434E">
      <w:pPr>
        <w:rPr>
          <w:lang w:val="es-ES"/>
        </w:rPr>
      </w:pPr>
      <w:r w:rsidRPr="009B434E">
        <w:rPr>
          <w:lang w:val="es-ES"/>
        </w:rPr>
        <w:pict w14:anchorId="69AB6EE3">
          <v:rect id="_x0000_i1053" style="width:0;height:.75pt" o:hralign="center" o:hrstd="t" o:hrnoshade="t" o:hr="t" fillcolor="#404040" stroked="f"/>
        </w:pict>
      </w:r>
    </w:p>
    <w:p w14:paraId="6F7FC998" w14:textId="77777777" w:rsidR="009B434E" w:rsidRPr="009B434E" w:rsidRDefault="009B434E" w:rsidP="009B434E">
      <w:pPr>
        <w:rPr>
          <w:lang w:val="es-ES"/>
        </w:rPr>
      </w:pPr>
      <w:r w:rsidRPr="009B434E">
        <w:rPr>
          <w:b/>
          <w:bCs/>
          <w:lang w:val="es-ES"/>
        </w:rPr>
        <w:t>Actualización sobre Aranceles (Semana del 1 al 7 de abril de 2025)</w:t>
      </w:r>
    </w:p>
    <w:p w14:paraId="1465AE01" w14:textId="77777777" w:rsidR="009B434E" w:rsidRPr="009B434E" w:rsidRDefault="009B434E" w:rsidP="009B434E">
      <w:pPr>
        <w:rPr>
          <w:lang w:val="es-ES"/>
        </w:rPr>
      </w:pPr>
      <w:r w:rsidRPr="009B434E">
        <w:rPr>
          <w:b/>
          <w:bCs/>
          <w:lang w:val="es-ES"/>
        </w:rPr>
        <w:t>1. EE.UU. - China: Tensión Continúa</w:t>
      </w:r>
    </w:p>
    <w:p w14:paraId="1BD1117D" w14:textId="77777777" w:rsidR="009B434E" w:rsidRPr="009B434E" w:rsidRDefault="009B434E" w:rsidP="009B434E">
      <w:pPr>
        <w:numPr>
          <w:ilvl w:val="0"/>
          <w:numId w:val="14"/>
        </w:numPr>
        <w:rPr>
          <w:lang w:val="es-ES"/>
        </w:rPr>
      </w:pPr>
      <w:r w:rsidRPr="009B434E">
        <w:rPr>
          <w:b/>
          <w:bCs/>
          <w:lang w:val="es-ES"/>
        </w:rPr>
        <w:t>Nuevas investigaciones</w:t>
      </w:r>
      <w:r w:rsidRPr="009B434E">
        <w:rPr>
          <w:lang w:val="es-ES"/>
        </w:rPr>
        <w:t>: EE.UU. anunció una revisión de aranceles a </w:t>
      </w:r>
      <w:r w:rsidRPr="009B434E">
        <w:rPr>
          <w:b/>
          <w:bCs/>
          <w:lang w:val="es-ES"/>
        </w:rPr>
        <w:t>productos tecnológicos chinos</w:t>
      </w:r>
      <w:r w:rsidRPr="009B434E">
        <w:rPr>
          <w:lang w:val="es-ES"/>
        </w:rPr>
        <w:t> (chips, vehículos eléctricos y acero), alegando "subsidios injustos".</w:t>
      </w:r>
    </w:p>
    <w:p w14:paraId="3E98B9EF" w14:textId="77777777" w:rsidR="009B434E" w:rsidRPr="009B434E" w:rsidRDefault="009B434E" w:rsidP="009B434E">
      <w:pPr>
        <w:numPr>
          <w:ilvl w:val="0"/>
          <w:numId w:val="14"/>
        </w:numPr>
        <w:rPr>
          <w:lang w:val="es-ES"/>
        </w:rPr>
      </w:pPr>
      <w:r w:rsidRPr="009B434E">
        <w:rPr>
          <w:b/>
          <w:bCs/>
          <w:lang w:val="es-ES"/>
        </w:rPr>
        <w:t>Respuesta de China</w:t>
      </w:r>
      <w:r w:rsidRPr="009B434E">
        <w:rPr>
          <w:lang w:val="es-ES"/>
        </w:rPr>
        <w:t>: Amenazó con represalias sobre </w:t>
      </w:r>
      <w:r w:rsidRPr="009B434E">
        <w:rPr>
          <w:b/>
          <w:bCs/>
          <w:lang w:val="es-ES"/>
        </w:rPr>
        <w:t>agricultura (soja) y autos estadounidenses</w:t>
      </w:r>
      <w:r w:rsidRPr="009B434E">
        <w:rPr>
          <w:lang w:val="es-ES"/>
        </w:rPr>
        <w:t>, pero sin anuncios concretos aún.</w:t>
      </w:r>
    </w:p>
    <w:p w14:paraId="0421D148" w14:textId="77777777" w:rsidR="009B434E" w:rsidRPr="009B434E" w:rsidRDefault="009B434E" w:rsidP="009B434E">
      <w:pPr>
        <w:numPr>
          <w:ilvl w:val="0"/>
          <w:numId w:val="14"/>
        </w:numPr>
        <w:rPr>
          <w:lang w:val="es-ES"/>
        </w:rPr>
      </w:pPr>
      <w:r w:rsidRPr="009B434E">
        <w:rPr>
          <w:b/>
          <w:bCs/>
          <w:lang w:val="es-ES"/>
        </w:rPr>
        <w:t>Contexto</w:t>
      </w:r>
      <w:r w:rsidRPr="009B434E">
        <w:rPr>
          <w:lang w:val="es-ES"/>
        </w:rPr>
        <w:t>: Esto refleja la continuidad de la guerra comercial, aunque ambos países evitan escaladas bruscas en un año electoral en EE.UU.</w:t>
      </w:r>
    </w:p>
    <w:p w14:paraId="20666743" w14:textId="77777777" w:rsidR="009B434E" w:rsidRPr="009B434E" w:rsidRDefault="009B434E" w:rsidP="009B434E">
      <w:pPr>
        <w:rPr>
          <w:lang w:val="es-ES"/>
        </w:rPr>
      </w:pPr>
      <w:r w:rsidRPr="009B434E">
        <w:rPr>
          <w:b/>
          <w:bCs/>
          <w:lang w:val="es-ES"/>
        </w:rPr>
        <w:t>2. Europa - China</w:t>
      </w:r>
    </w:p>
    <w:p w14:paraId="13944059" w14:textId="77777777" w:rsidR="009B434E" w:rsidRPr="009B434E" w:rsidRDefault="009B434E" w:rsidP="009B434E">
      <w:pPr>
        <w:numPr>
          <w:ilvl w:val="0"/>
          <w:numId w:val="15"/>
        </w:numPr>
        <w:rPr>
          <w:lang w:val="es-ES"/>
        </w:rPr>
      </w:pPr>
      <w:r w:rsidRPr="009B434E">
        <w:rPr>
          <w:b/>
          <w:bCs/>
          <w:lang w:val="es-ES"/>
        </w:rPr>
        <w:t>UE investiga</w:t>
      </w:r>
      <w:r w:rsidRPr="009B434E">
        <w:rPr>
          <w:lang w:val="es-ES"/>
        </w:rPr>
        <w:t> ayudas estatales a </w:t>
      </w:r>
      <w:r w:rsidRPr="009B434E">
        <w:rPr>
          <w:b/>
          <w:bCs/>
          <w:lang w:val="es-ES"/>
        </w:rPr>
        <w:t>fabricantes de trenes y energía eólica chinos</w:t>
      </w:r>
      <w:r w:rsidRPr="009B434E">
        <w:rPr>
          <w:lang w:val="es-ES"/>
        </w:rPr>
        <w:t>, preludio de posibles aranceles.</w:t>
      </w:r>
    </w:p>
    <w:p w14:paraId="397542FD" w14:textId="77777777" w:rsidR="009B434E" w:rsidRPr="009B434E" w:rsidRDefault="009B434E" w:rsidP="009B434E">
      <w:pPr>
        <w:numPr>
          <w:ilvl w:val="0"/>
          <w:numId w:val="15"/>
        </w:numPr>
        <w:rPr>
          <w:lang w:val="es-ES"/>
        </w:rPr>
      </w:pPr>
      <w:r w:rsidRPr="009B434E">
        <w:rPr>
          <w:b/>
          <w:bCs/>
          <w:lang w:val="es-ES"/>
        </w:rPr>
        <w:t>China acusa a Europa</w:t>
      </w:r>
      <w:r w:rsidRPr="009B434E">
        <w:rPr>
          <w:lang w:val="es-ES"/>
        </w:rPr>
        <w:t> de "proteccionismo" y advierte sobre consecuencias para empresas como </w:t>
      </w:r>
      <w:r w:rsidRPr="009B434E">
        <w:rPr>
          <w:b/>
          <w:bCs/>
          <w:lang w:val="es-ES"/>
        </w:rPr>
        <w:t>BMW o Airbus</w:t>
      </w:r>
      <w:r w:rsidRPr="009B434E">
        <w:rPr>
          <w:lang w:val="es-ES"/>
        </w:rPr>
        <w:t>.</w:t>
      </w:r>
    </w:p>
    <w:p w14:paraId="6297C7A3" w14:textId="77777777" w:rsidR="009B434E" w:rsidRPr="009B434E" w:rsidRDefault="009B434E" w:rsidP="009B434E">
      <w:pPr>
        <w:rPr>
          <w:lang w:val="es-ES"/>
        </w:rPr>
      </w:pPr>
      <w:r w:rsidRPr="009B434E">
        <w:rPr>
          <w:b/>
          <w:bCs/>
          <w:lang w:val="es-ES"/>
        </w:rPr>
        <w:t>3. Otras Regiones</w:t>
      </w:r>
    </w:p>
    <w:p w14:paraId="73D2AF59" w14:textId="77777777" w:rsidR="009B434E" w:rsidRPr="009B434E" w:rsidRDefault="009B434E" w:rsidP="009B434E">
      <w:pPr>
        <w:numPr>
          <w:ilvl w:val="0"/>
          <w:numId w:val="16"/>
        </w:numPr>
        <w:rPr>
          <w:lang w:val="es-ES"/>
        </w:rPr>
      </w:pPr>
      <w:r w:rsidRPr="009B434E">
        <w:rPr>
          <w:b/>
          <w:bCs/>
          <w:lang w:val="es-ES"/>
        </w:rPr>
        <w:t>México</w:t>
      </w:r>
      <w:r w:rsidRPr="009B434E">
        <w:rPr>
          <w:lang w:val="es-ES"/>
        </w:rPr>
        <w:t>: EE.UU. presiona para evitar el </w:t>
      </w:r>
      <w:r w:rsidRPr="009B434E">
        <w:rPr>
          <w:b/>
          <w:bCs/>
          <w:lang w:val="es-ES"/>
        </w:rPr>
        <w:t>desvío de mercancías chinas</w:t>
      </w:r>
      <w:r w:rsidRPr="009B434E">
        <w:rPr>
          <w:lang w:val="es-ES"/>
        </w:rPr>
        <w:t> vía México (eludiendo aranceles).</w:t>
      </w:r>
    </w:p>
    <w:p w14:paraId="749DE230" w14:textId="77777777" w:rsidR="009B434E" w:rsidRPr="009B434E" w:rsidRDefault="009B434E" w:rsidP="009B434E">
      <w:pPr>
        <w:numPr>
          <w:ilvl w:val="0"/>
          <w:numId w:val="16"/>
        </w:numPr>
        <w:rPr>
          <w:lang w:val="es-ES"/>
        </w:rPr>
      </w:pPr>
      <w:r w:rsidRPr="009B434E">
        <w:rPr>
          <w:b/>
          <w:bCs/>
          <w:lang w:val="es-ES"/>
        </w:rPr>
        <w:t>India</w:t>
      </w:r>
      <w:r w:rsidRPr="009B434E">
        <w:rPr>
          <w:lang w:val="es-ES"/>
        </w:rPr>
        <w:t>: Subió aranceles a </w:t>
      </w:r>
      <w:r w:rsidRPr="009B434E">
        <w:rPr>
          <w:b/>
          <w:bCs/>
          <w:lang w:val="es-ES"/>
        </w:rPr>
        <w:t>bienes de lujo</w:t>
      </w:r>
      <w:r w:rsidRPr="009B434E">
        <w:rPr>
          <w:lang w:val="es-ES"/>
        </w:rPr>
        <w:t> para proteger su industria local.</w:t>
      </w:r>
    </w:p>
    <w:p w14:paraId="67FB4B30" w14:textId="77777777" w:rsidR="009B434E" w:rsidRPr="009B434E" w:rsidRDefault="009B434E" w:rsidP="009B434E">
      <w:pPr>
        <w:rPr>
          <w:lang w:val="es-ES"/>
        </w:rPr>
      </w:pPr>
      <w:r w:rsidRPr="009B434E">
        <w:rPr>
          <w:lang w:val="es-ES"/>
        </w:rPr>
        <w:pict w14:anchorId="70C9F067">
          <v:rect id="_x0000_i1054" style="width:0;height:.75pt" o:hralign="center" o:hrstd="t" o:hrnoshade="t" o:hr="t" fillcolor="#404040" stroked="f"/>
        </w:pict>
      </w:r>
    </w:p>
    <w:p w14:paraId="2E80651A" w14:textId="77777777" w:rsidR="009B434E" w:rsidRPr="009B434E" w:rsidRDefault="009B434E" w:rsidP="009B434E">
      <w:pPr>
        <w:rPr>
          <w:lang w:val="es-ES"/>
        </w:rPr>
      </w:pPr>
      <w:r w:rsidRPr="009B434E">
        <w:rPr>
          <w:b/>
          <w:bCs/>
          <w:lang w:val="es-ES"/>
        </w:rPr>
        <w:t>¿Por qué Importa?</w:t>
      </w:r>
    </w:p>
    <w:p w14:paraId="0EB3692B" w14:textId="77777777" w:rsidR="009B434E" w:rsidRPr="009B434E" w:rsidRDefault="009B434E" w:rsidP="009B434E">
      <w:pPr>
        <w:numPr>
          <w:ilvl w:val="0"/>
          <w:numId w:val="17"/>
        </w:numPr>
        <w:rPr>
          <w:lang w:val="es-ES"/>
        </w:rPr>
      </w:pPr>
      <w:r w:rsidRPr="009B434E">
        <w:rPr>
          <w:b/>
          <w:bCs/>
          <w:lang w:val="es-ES"/>
        </w:rPr>
        <w:t>Mercados</w:t>
      </w:r>
      <w:r w:rsidRPr="009B434E">
        <w:rPr>
          <w:lang w:val="es-ES"/>
        </w:rPr>
        <w:t>: Sectores como </w:t>
      </w:r>
      <w:r w:rsidRPr="009B434E">
        <w:rPr>
          <w:b/>
          <w:bCs/>
          <w:lang w:val="es-ES"/>
        </w:rPr>
        <w:t>tecnología, automotriz y acero</w:t>
      </w:r>
      <w:r w:rsidRPr="009B434E">
        <w:rPr>
          <w:lang w:val="es-ES"/>
        </w:rPr>
        <w:t> son sensibles a estas noticias (ej.: acciones de Tesla y Nvidia reaccionaron a rumores).</w:t>
      </w:r>
    </w:p>
    <w:p w14:paraId="13D65E7B" w14:textId="77777777" w:rsidR="009B434E" w:rsidRPr="009B434E" w:rsidRDefault="009B434E" w:rsidP="009B434E">
      <w:pPr>
        <w:numPr>
          <w:ilvl w:val="0"/>
          <w:numId w:val="17"/>
        </w:numPr>
        <w:rPr>
          <w:lang w:val="es-ES"/>
        </w:rPr>
      </w:pPr>
      <w:r w:rsidRPr="009B434E">
        <w:rPr>
          <w:b/>
          <w:bCs/>
          <w:lang w:val="es-ES"/>
        </w:rPr>
        <w:t>Inflación</w:t>
      </w:r>
      <w:r w:rsidRPr="009B434E">
        <w:rPr>
          <w:lang w:val="es-ES"/>
        </w:rPr>
        <w:t>: Aranceles podrían encarecer productos clave, complicando los esfuerzos de los bancos centrales.</w:t>
      </w:r>
    </w:p>
    <w:p w14:paraId="21F34F94" w14:textId="77777777" w:rsidR="009B434E" w:rsidRPr="009B434E" w:rsidRDefault="009B434E" w:rsidP="009B434E">
      <w:pPr>
        <w:numPr>
          <w:ilvl w:val="0"/>
          <w:numId w:val="17"/>
        </w:numPr>
        <w:rPr>
          <w:lang w:val="es-ES"/>
        </w:rPr>
      </w:pPr>
      <w:r w:rsidRPr="009B434E">
        <w:rPr>
          <w:b/>
          <w:bCs/>
          <w:lang w:val="es-ES"/>
        </w:rPr>
        <w:t>Cadenas de suministro</w:t>
      </w:r>
      <w:r w:rsidRPr="009B434E">
        <w:rPr>
          <w:lang w:val="es-ES"/>
        </w:rPr>
        <w:t>: Empresas reevalúan inversiones en China (ej.: Apple sigue diversificando hacia India y Vietnam).</w:t>
      </w:r>
    </w:p>
    <w:p w14:paraId="0E40B1C4" w14:textId="77777777" w:rsidR="009B434E" w:rsidRPr="009B434E" w:rsidRDefault="009B434E" w:rsidP="009B434E">
      <w:pPr>
        <w:rPr>
          <w:lang w:val="es-ES"/>
        </w:rPr>
      </w:pPr>
      <w:r w:rsidRPr="009B434E">
        <w:rPr>
          <w:b/>
          <w:bCs/>
          <w:lang w:val="es-ES"/>
        </w:rPr>
        <w:t>Pronóstico</w:t>
      </w:r>
      <w:r w:rsidRPr="009B434E">
        <w:rPr>
          <w:lang w:val="es-ES"/>
        </w:rPr>
        <w:t>: Espera más retórica dura, pero acciones limitadas hasta después de las elecciones en EE.UU. (noviembre 2024).</w:t>
      </w:r>
    </w:p>
    <w:p w14:paraId="62F06D3D" w14:textId="77777777" w:rsidR="009B434E" w:rsidRPr="009B434E" w:rsidRDefault="009B434E" w:rsidP="009B434E">
      <w:pPr>
        <w:rPr>
          <w:lang w:val="es-ES"/>
        </w:rPr>
      </w:pPr>
      <w:r w:rsidRPr="009B434E">
        <w:rPr>
          <w:lang w:val="es-ES"/>
        </w:rPr>
        <w:t>¿Quieres un análisis de algún sector o empresa en específico afectado por esto?</w:t>
      </w:r>
    </w:p>
    <w:p w14:paraId="1AD2094B" w14:textId="77777777" w:rsidR="009B434E" w:rsidRDefault="009B434E" w:rsidP="00664D99">
      <w:pPr>
        <w:rPr>
          <w:lang w:val="es-ES"/>
        </w:rPr>
      </w:pPr>
    </w:p>
    <w:p w14:paraId="2F737D1D" w14:textId="7B45FA9E" w:rsidR="000411CE" w:rsidRDefault="000411CE" w:rsidP="000411CE">
      <w:pPr>
        <w:pStyle w:val="Ttulo3"/>
        <w:rPr>
          <w:lang w:val="es-ES"/>
        </w:rPr>
      </w:pPr>
      <w:r>
        <w:rPr>
          <w:lang w:val="es-ES"/>
        </w:rPr>
        <w:t>Respuesta de ChatGPT</w:t>
      </w:r>
    </w:p>
    <w:p w14:paraId="5C3A9E5C" w14:textId="5E6B9661" w:rsidR="000411CE" w:rsidRPr="00664D99" w:rsidRDefault="002712F3" w:rsidP="00664D99">
      <w:pPr>
        <w:rPr>
          <w:lang w:val="es-ES"/>
        </w:rPr>
      </w:pPr>
      <w:r>
        <w:rPr>
          <w:lang w:val="es-ES"/>
        </w:rPr>
        <w:t>No le he hecho la segunda pregunta porque ya menciona aranceles en la respuesta a la primera pregunta.</w:t>
      </w:r>
    </w:p>
    <w:sectPr w:rsidR="000411CE" w:rsidRPr="00664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102"/>
    <w:multiLevelType w:val="multilevel"/>
    <w:tmpl w:val="7100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5D05"/>
    <w:multiLevelType w:val="multilevel"/>
    <w:tmpl w:val="ADFA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0587"/>
    <w:multiLevelType w:val="multilevel"/>
    <w:tmpl w:val="639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2221E"/>
    <w:multiLevelType w:val="multilevel"/>
    <w:tmpl w:val="230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452A"/>
    <w:multiLevelType w:val="multilevel"/>
    <w:tmpl w:val="57AA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935E4"/>
    <w:multiLevelType w:val="multilevel"/>
    <w:tmpl w:val="622E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07563"/>
    <w:multiLevelType w:val="multilevel"/>
    <w:tmpl w:val="728C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64442"/>
    <w:multiLevelType w:val="multilevel"/>
    <w:tmpl w:val="B45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D0B9C"/>
    <w:multiLevelType w:val="multilevel"/>
    <w:tmpl w:val="3DA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177BE"/>
    <w:multiLevelType w:val="multilevel"/>
    <w:tmpl w:val="290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55449"/>
    <w:multiLevelType w:val="multilevel"/>
    <w:tmpl w:val="831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F0D7C"/>
    <w:multiLevelType w:val="multilevel"/>
    <w:tmpl w:val="E86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10111"/>
    <w:multiLevelType w:val="multilevel"/>
    <w:tmpl w:val="40E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57986"/>
    <w:multiLevelType w:val="multilevel"/>
    <w:tmpl w:val="AC8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C37E4"/>
    <w:multiLevelType w:val="multilevel"/>
    <w:tmpl w:val="DA6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52109"/>
    <w:multiLevelType w:val="multilevel"/>
    <w:tmpl w:val="164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E75DF"/>
    <w:multiLevelType w:val="multilevel"/>
    <w:tmpl w:val="70BE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420E6"/>
    <w:multiLevelType w:val="multilevel"/>
    <w:tmpl w:val="C0E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20680"/>
    <w:multiLevelType w:val="multilevel"/>
    <w:tmpl w:val="0B5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5029">
    <w:abstractNumId w:val="0"/>
  </w:num>
  <w:num w:numId="2" w16cid:durableId="2123721147">
    <w:abstractNumId w:val="18"/>
  </w:num>
  <w:num w:numId="3" w16cid:durableId="712120540">
    <w:abstractNumId w:val="1"/>
  </w:num>
  <w:num w:numId="4" w16cid:durableId="647513336">
    <w:abstractNumId w:val="15"/>
  </w:num>
  <w:num w:numId="5" w16cid:durableId="83303941">
    <w:abstractNumId w:val="7"/>
  </w:num>
  <w:num w:numId="6" w16cid:durableId="139924083">
    <w:abstractNumId w:val="10"/>
  </w:num>
  <w:num w:numId="7" w16cid:durableId="1387099901">
    <w:abstractNumId w:val="2"/>
  </w:num>
  <w:num w:numId="8" w16cid:durableId="338775033">
    <w:abstractNumId w:val="3"/>
  </w:num>
  <w:num w:numId="9" w16cid:durableId="1578974632">
    <w:abstractNumId w:val="14"/>
  </w:num>
  <w:num w:numId="10" w16cid:durableId="596404155">
    <w:abstractNumId w:val="5"/>
  </w:num>
  <w:num w:numId="11" w16cid:durableId="1810170584">
    <w:abstractNumId w:val="9"/>
  </w:num>
  <w:num w:numId="12" w16cid:durableId="1657688097">
    <w:abstractNumId w:val="11"/>
  </w:num>
  <w:num w:numId="13" w16cid:durableId="981928078">
    <w:abstractNumId w:val="12"/>
  </w:num>
  <w:num w:numId="14" w16cid:durableId="378014561">
    <w:abstractNumId w:val="17"/>
  </w:num>
  <w:num w:numId="15" w16cid:durableId="2027321745">
    <w:abstractNumId w:val="6"/>
  </w:num>
  <w:num w:numId="16" w16cid:durableId="435056359">
    <w:abstractNumId w:val="4"/>
  </w:num>
  <w:num w:numId="17" w16cid:durableId="1792477137">
    <w:abstractNumId w:val="13"/>
  </w:num>
  <w:num w:numId="18" w16cid:durableId="1594822459">
    <w:abstractNumId w:val="16"/>
  </w:num>
  <w:num w:numId="19" w16cid:durableId="1599563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99"/>
    <w:rsid w:val="000411CE"/>
    <w:rsid w:val="001B6FB6"/>
    <w:rsid w:val="001E1C6E"/>
    <w:rsid w:val="002712F3"/>
    <w:rsid w:val="003926EF"/>
    <w:rsid w:val="003B174E"/>
    <w:rsid w:val="004E41EA"/>
    <w:rsid w:val="00664D99"/>
    <w:rsid w:val="00681EAE"/>
    <w:rsid w:val="007033B0"/>
    <w:rsid w:val="007C7490"/>
    <w:rsid w:val="009B434E"/>
    <w:rsid w:val="00C14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BF3B"/>
  <w15:chartTrackingRefBased/>
  <w15:docId w15:val="{D24CE9FA-90CF-40BB-A8D7-E6E9B0B0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4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4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4D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4D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4D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4D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4D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4D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4D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4D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4D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4D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4D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4D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4D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4D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4D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4D99"/>
    <w:rPr>
      <w:rFonts w:eastAsiaTheme="majorEastAsia" w:cstheme="majorBidi"/>
      <w:color w:val="272727" w:themeColor="text1" w:themeTint="D8"/>
    </w:rPr>
  </w:style>
  <w:style w:type="paragraph" w:styleId="Ttulo">
    <w:name w:val="Title"/>
    <w:basedOn w:val="Normal"/>
    <w:next w:val="Normal"/>
    <w:link w:val="TtuloCar"/>
    <w:uiPriority w:val="10"/>
    <w:qFormat/>
    <w:rsid w:val="00664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4D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4D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4D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4D99"/>
    <w:pPr>
      <w:spacing w:before="160"/>
      <w:jc w:val="center"/>
    </w:pPr>
    <w:rPr>
      <w:i/>
      <w:iCs/>
      <w:color w:val="404040" w:themeColor="text1" w:themeTint="BF"/>
    </w:rPr>
  </w:style>
  <w:style w:type="character" w:customStyle="1" w:styleId="CitaCar">
    <w:name w:val="Cita Car"/>
    <w:basedOn w:val="Fuentedeprrafopredeter"/>
    <w:link w:val="Cita"/>
    <w:uiPriority w:val="29"/>
    <w:rsid w:val="00664D99"/>
    <w:rPr>
      <w:i/>
      <w:iCs/>
      <w:color w:val="404040" w:themeColor="text1" w:themeTint="BF"/>
    </w:rPr>
  </w:style>
  <w:style w:type="paragraph" w:styleId="Prrafodelista">
    <w:name w:val="List Paragraph"/>
    <w:basedOn w:val="Normal"/>
    <w:uiPriority w:val="34"/>
    <w:qFormat/>
    <w:rsid w:val="00664D99"/>
    <w:pPr>
      <w:ind w:left="720"/>
      <w:contextualSpacing/>
    </w:pPr>
  </w:style>
  <w:style w:type="character" w:styleId="nfasisintenso">
    <w:name w:val="Intense Emphasis"/>
    <w:basedOn w:val="Fuentedeprrafopredeter"/>
    <w:uiPriority w:val="21"/>
    <w:qFormat/>
    <w:rsid w:val="00664D99"/>
    <w:rPr>
      <w:i/>
      <w:iCs/>
      <w:color w:val="0F4761" w:themeColor="accent1" w:themeShade="BF"/>
    </w:rPr>
  </w:style>
  <w:style w:type="paragraph" w:styleId="Citadestacada">
    <w:name w:val="Intense Quote"/>
    <w:basedOn w:val="Normal"/>
    <w:next w:val="Normal"/>
    <w:link w:val="CitadestacadaCar"/>
    <w:uiPriority w:val="30"/>
    <w:qFormat/>
    <w:rsid w:val="00664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4D99"/>
    <w:rPr>
      <w:i/>
      <w:iCs/>
      <w:color w:val="0F4761" w:themeColor="accent1" w:themeShade="BF"/>
    </w:rPr>
  </w:style>
  <w:style w:type="character" w:styleId="Referenciaintensa">
    <w:name w:val="Intense Reference"/>
    <w:basedOn w:val="Fuentedeprrafopredeter"/>
    <w:uiPriority w:val="32"/>
    <w:qFormat/>
    <w:rsid w:val="00664D99"/>
    <w:rPr>
      <w:b/>
      <w:bCs/>
      <w:smallCaps/>
      <w:color w:val="0F4761" w:themeColor="accent1" w:themeShade="BF"/>
      <w:spacing w:val="5"/>
    </w:rPr>
  </w:style>
  <w:style w:type="character" w:styleId="Hipervnculo">
    <w:name w:val="Hyperlink"/>
    <w:basedOn w:val="Fuentedeprrafopredeter"/>
    <w:uiPriority w:val="99"/>
    <w:unhideWhenUsed/>
    <w:rsid w:val="002712F3"/>
    <w:rPr>
      <w:color w:val="467886" w:themeColor="hyperlink"/>
      <w:u w:val="single"/>
    </w:rPr>
  </w:style>
  <w:style w:type="character" w:styleId="Mencinsinresolver">
    <w:name w:val="Unresolved Mention"/>
    <w:basedOn w:val="Fuentedeprrafopredeter"/>
    <w:uiPriority w:val="99"/>
    <w:semiHidden/>
    <w:unhideWhenUsed/>
    <w:rsid w:val="00271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3586">
      <w:bodyDiv w:val="1"/>
      <w:marLeft w:val="0"/>
      <w:marRight w:val="0"/>
      <w:marTop w:val="0"/>
      <w:marBottom w:val="0"/>
      <w:divBdr>
        <w:top w:val="none" w:sz="0" w:space="0" w:color="auto"/>
        <w:left w:val="none" w:sz="0" w:space="0" w:color="auto"/>
        <w:bottom w:val="none" w:sz="0" w:space="0" w:color="auto"/>
        <w:right w:val="none" w:sz="0" w:space="0" w:color="auto"/>
      </w:divBdr>
    </w:div>
    <w:div w:id="627780586">
      <w:bodyDiv w:val="1"/>
      <w:marLeft w:val="0"/>
      <w:marRight w:val="0"/>
      <w:marTop w:val="0"/>
      <w:marBottom w:val="0"/>
      <w:divBdr>
        <w:top w:val="none" w:sz="0" w:space="0" w:color="auto"/>
        <w:left w:val="none" w:sz="0" w:space="0" w:color="auto"/>
        <w:bottom w:val="none" w:sz="0" w:space="0" w:color="auto"/>
        <w:right w:val="none" w:sz="0" w:space="0" w:color="auto"/>
      </w:divBdr>
    </w:div>
    <w:div w:id="790132644">
      <w:bodyDiv w:val="1"/>
      <w:marLeft w:val="0"/>
      <w:marRight w:val="0"/>
      <w:marTop w:val="0"/>
      <w:marBottom w:val="0"/>
      <w:divBdr>
        <w:top w:val="none" w:sz="0" w:space="0" w:color="auto"/>
        <w:left w:val="none" w:sz="0" w:space="0" w:color="auto"/>
        <w:bottom w:val="none" w:sz="0" w:space="0" w:color="auto"/>
        <w:right w:val="none" w:sz="0" w:space="0" w:color="auto"/>
      </w:divBdr>
    </w:div>
    <w:div w:id="929239087">
      <w:bodyDiv w:val="1"/>
      <w:marLeft w:val="0"/>
      <w:marRight w:val="0"/>
      <w:marTop w:val="0"/>
      <w:marBottom w:val="0"/>
      <w:divBdr>
        <w:top w:val="none" w:sz="0" w:space="0" w:color="auto"/>
        <w:left w:val="none" w:sz="0" w:space="0" w:color="auto"/>
        <w:bottom w:val="none" w:sz="0" w:space="0" w:color="auto"/>
        <w:right w:val="none" w:sz="0" w:space="0" w:color="auto"/>
      </w:divBdr>
    </w:div>
    <w:div w:id="1387530415">
      <w:bodyDiv w:val="1"/>
      <w:marLeft w:val="0"/>
      <w:marRight w:val="0"/>
      <w:marTop w:val="0"/>
      <w:marBottom w:val="0"/>
      <w:divBdr>
        <w:top w:val="none" w:sz="0" w:space="0" w:color="auto"/>
        <w:left w:val="none" w:sz="0" w:space="0" w:color="auto"/>
        <w:bottom w:val="none" w:sz="0" w:space="0" w:color="auto"/>
        <w:right w:val="none" w:sz="0" w:space="0" w:color="auto"/>
      </w:divBdr>
    </w:div>
    <w:div w:id="1398432694">
      <w:bodyDiv w:val="1"/>
      <w:marLeft w:val="0"/>
      <w:marRight w:val="0"/>
      <w:marTop w:val="0"/>
      <w:marBottom w:val="0"/>
      <w:divBdr>
        <w:top w:val="none" w:sz="0" w:space="0" w:color="auto"/>
        <w:left w:val="none" w:sz="0" w:space="0" w:color="auto"/>
        <w:bottom w:val="none" w:sz="0" w:space="0" w:color="auto"/>
        <w:right w:val="none" w:sz="0" w:space="0" w:color="auto"/>
      </w:divBdr>
    </w:div>
    <w:div w:id="1467430694">
      <w:bodyDiv w:val="1"/>
      <w:marLeft w:val="0"/>
      <w:marRight w:val="0"/>
      <w:marTop w:val="0"/>
      <w:marBottom w:val="0"/>
      <w:divBdr>
        <w:top w:val="none" w:sz="0" w:space="0" w:color="auto"/>
        <w:left w:val="none" w:sz="0" w:space="0" w:color="auto"/>
        <w:bottom w:val="none" w:sz="0" w:space="0" w:color="auto"/>
        <w:right w:val="none" w:sz="0" w:space="0" w:color="auto"/>
      </w:divBdr>
    </w:div>
    <w:div w:id="1498225503">
      <w:bodyDiv w:val="1"/>
      <w:marLeft w:val="0"/>
      <w:marRight w:val="0"/>
      <w:marTop w:val="0"/>
      <w:marBottom w:val="0"/>
      <w:divBdr>
        <w:top w:val="none" w:sz="0" w:space="0" w:color="auto"/>
        <w:left w:val="none" w:sz="0" w:space="0" w:color="auto"/>
        <w:bottom w:val="none" w:sz="0" w:space="0" w:color="auto"/>
        <w:right w:val="none" w:sz="0" w:space="0" w:color="auto"/>
      </w:divBdr>
    </w:div>
    <w:div w:id="1720321624">
      <w:bodyDiv w:val="1"/>
      <w:marLeft w:val="0"/>
      <w:marRight w:val="0"/>
      <w:marTop w:val="0"/>
      <w:marBottom w:val="0"/>
      <w:divBdr>
        <w:top w:val="none" w:sz="0" w:space="0" w:color="auto"/>
        <w:left w:val="none" w:sz="0" w:space="0" w:color="auto"/>
        <w:bottom w:val="none" w:sz="0" w:space="0" w:color="auto"/>
        <w:right w:val="none" w:sz="0" w:space="0" w:color="auto"/>
      </w:divBdr>
    </w:div>
    <w:div w:id="1984043248">
      <w:bodyDiv w:val="1"/>
      <w:marLeft w:val="0"/>
      <w:marRight w:val="0"/>
      <w:marTop w:val="0"/>
      <w:marBottom w:val="0"/>
      <w:divBdr>
        <w:top w:val="none" w:sz="0" w:space="0" w:color="auto"/>
        <w:left w:val="none" w:sz="0" w:space="0" w:color="auto"/>
        <w:bottom w:val="none" w:sz="0" w:space="0" w:color="auto"/>
        <w:right w:val="none" w:sz="0" w:space="0" w:color="auto"/>
      </w:divBdr>
    </w:div>
    <w:div w:id="2035186283">
      <w:bodyDiv w:val="1"/>
      <w:marLeft w:val="0"/>
      <w:marRight w:val="0"/>
      <w:marTop w:val="0"/>
      <w:marBottom w:val="0"/>
      <w:divBdr>
        <w:top w:val="none" w:sz="0" w:space="0" w:color="auto"/>
        <w:left w:val="none" w:sz="0" w:space="0" w:color="auto"/>
        <w:bottom w:val="none" w:sz="0" w:space="0" w:color="auto"/>
        <w:right w:val="none" w:sz="0" w:space="0" w:color="auto"/>
      </w:divBdr>
    </w:div>
    <w:div w:id="2090154884">
      <w:bodyDiv w:val="1"/>
      <w:marLeft w:val="0"/>
      <w:marRight w:val="0"/>
      <w:marTop w:val="0"/>
      <w:marBottom w:val="0"/>
      <w:divBdr>
        <w:top w:val="none" w:sz="0" w:space="0" w:color="auto"/>
        <w:left w:val="none" w:sz="0" w:space="0" w:color="auto"/>
        <w:bottom w:val="none" w:sz="0" w:space="0" w:color="auto"/>
        <w:right w:val="none" w:sz="0" w:space="0" w:color="auto"/>
      </w:divBdr>
    </w:div>
    <w:div w:id="2109303965">
      <w:bodyDiv w:val="1"/>
      <w:marLeft w:val="0"/>
      <w:marRight w:val="0"/>
      <w:marTop w:val="0"/>
      <w:marBottom w:val="0"/>
      <w:divBdr>
        <w:top w:val="none" w:sz="0" w:space="0" w:color="auto"/>
        <w:left w:val="none" w:sz="0" w:space="0" w:color="auto"/>
        <w:bottom w:val="none" w:sz="0" w:space="0" w:color="auto"/>
        <w:right w:val="none" w:sz="0" w:space="0" w:color="auto"/>
      </w:divBdr>
    </w:div>
    <w:div w:id="21157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pais.com/economia/2025-04-10/la-inflacion-da-un-respiro-a-trump-en-pleno-caos-arancelario-al-bajar-al-24-en-marzo.html?utm_source=chatgpt.com" TargetMode="External"/><Relationship Id="rId3" Type="http://schemas.openxmlformats.org/officeDocument/2006/relationships/settings" Target="settings.xml"/><Relationship Id="rId7" Type="http://schemas.openxmlformats.org/officeDocument/2006/relationships/hyperlink" Target="https://www.huffingtonpost.es/global/las-bolsas-europeas-cierran-verde-apertura-baja-wall-street-ibex-crece-432.html?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ffingtonpost.es/global/wall-street-abre-rojo-jornada-historica-miercoles-mercados-europeos-alza.html?utm_source=chatgpt.com" TargetMode="External"/><Relationship Id="rId11" Type="http://schemas.openxmlformats.org/officeDocument/2006/relationships/fontTable" Target="fontTable.xml"/><Relationship Id="rId5" Type="http://schemas.openxmlformats.org/officeDocument/2006/relationships/hyperlink" Target="https://www.huffingtonpost.es/global/wall-street-abre-rojo-jornada-historica-miercoles-mercados-europeos-alza.html?utm_source=chatgpt.com" TargetMode="External"/><Relationship Id="rId10" Type="http://schemas.openxmlformats.org/officeDocument/2006/relationships/hyperlink" Target="https://www.reuters.com/latam/negocio/7HAXVXEX35IEPD7GZE2FYKJQUM-2025-04-10/?utm_source=chatgpt.com" TargetMode="External"/><Relationship Id="rId4" Type="http://schemas.openxmlformats.org/officeDocument/2006/relationships/webSettings" Target="webSettings.xml"/><Relationship Id="rId9" Type="http://schemas.openxmlformats.org/officeDocument/2006/relationships/hyperlink" Target="https://elpais.com/economia/2025-04-10/el-fmi-eleva-las-previsiones-de-crecimiento-de-espana-al-25-pese-a-la-guerra-comercial.html?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2301</Words>
  <Characters>12658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3</cp:revision>
  <dcterms:created xsi:type="dcterms:W3CDTF">2025-04-11T10:35:00Z</dcterms:created>
  <dcterms:modified xsi:type="dcterms:W3CDTF">2025-04-11T11:54:00Z</dcterms:modified>
</cp:coreProperties>
</file>