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2286000" cy="762000"/>
            <wp:effectExtent t="0" r="0" b="0" l="0"/>
            <wp:docPr id="1" name="ispgaya" descr="Logotipo ISPGAYA" title="ISPG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762000"/>
                    </a:xfrm>
                    <a:prstGeom prst="rect">
                      <a:avLst/>
                    </a:prstGeom>
                  </pic:spPr>
                </pic:pic>
              </a:graphicData>
            </a:graphic>
          </wp:inline>
        </w:drawing>
      </w:r>
    </w:p>
    <w:p>
      <w:pPr>
        <w:spacing w:after="80"/>
        <w:jc w:val="center"/>
      </w:pPr>
      <w:r>
        <w:rPr>
          <w:b/>
          <w:bCs/>
          <w:sz w:val="26"/>
          <w:szCs w:val="26"/>
        </w:rPr>
        <w:t xml:space="preserve">INSTITUTO SUPERIOR POLITÉCNICO GAYA</w:t>
      </w:r>
    </w:p>
    <w:p>
      <w:pPr>
        <w:spacing w:after="480"/>
        <w:jc w:val="center"/>
      </w:pPr>
      <w:r>
        <w:rPr>
          <w:sz w:val="24"/>
          <w:szCs w:val="24"/>
        </w:rPr>
        <w:t xml:space="preserve">Escola Superior de Ciência e Tecnologia</w:t>
      </w:r>
    </w:p>
    <w:p>
      <w:pPr>
        <w:spacing w:after="80"/>
        <w:jc w:val="center"/>
      </w:pPr>
      <w:r>
        <w:rPr>
          <w:sz w:val="24"/>
          <w:szCs w:val="24"/>
        </w:rPr>
        <w:t xml:space="preserve">Licenciatura em Engenharia Informática</w:t>
      </w:r>
    </w:p>
    <w:p>
      <w:pPr>
        <w:spacing w:after="640"/>
        <w:jc w:val="center"/>
      </w:pPr>
      <w:r>
        <w:rPr>
          <w:sz w:val="24"/>
          <w:szCs w:val="24"/>
        </w:rPr>
        <w:t xml:space="preserve">Projeto de Engenharia Informática — 3.º ano</w:t>
      </w:r>
    </w:p>
    <w:p>
      <w:pPr>
        <w:spacing w:after="120"/>
        <w:jc w:val="center"/>
      </w:pPr>
      <w:r>
        <w:rPr>
          <w:b/>
          <w:bCs/>
          <w:color w:val="1D3557"/>
          <w:sz w:val="64"/>
          <w:szCs w:val="64"/>
        </w:rPr>
        <w:t xml:space="preserve">BoxToCar</w:t>
      </w:r>
    </w:p>
    <w:p>
      <w:pPr>
        <w:spacing w:after="640"/>
        <w:jc w:val="center"/>
      </w:pPr>
      <w:r>
        <w:rPr>
          <w:b/>
          <w:bCs/>
          <w:sz w:val="28"/>
          <w:szCs w:val="28"/>
        </w:rPr>
        <w:t xml:space="preserve">SISTEMA DE GESTÃO DE ARMAZÉM COM PICKING ASSISTIDO</w:t>
      </w:r>
    </w:p>
    <w:p>
      <w:pPr>
        <w:spacing w:after="80"/>
        <w:jc w:val="center"/>
      </w:pPr>
      <w:r>
        <w:rPr>
          <w:sz w:val="26"/>
          <w:szCs w:val="26"/>
        </w:rPr>
        <w:t xml:space="preserve">[O teu nome completo]</w:t>
      </w:r>
    </w:p>
    <w:p>
      <w:pPr>
        <w:spacing w:after="520"/>
        <w:jc w:val="center"/>
      </w:pPr>
      <w:r>
        <w:rPr>
          <w:sz w:val="22"/>
          <w:szCs w:val="22"/>
        </w:rPr>
        <w:t xml:space="preserve">[Número de aluno]</w:t>
      </w:r>
    </w:p>
    <w:p>
      <w:pPr>
        <w:spacing w:after="80"/>
        <w:jc w:val="center"/>
      </w:pPr>
      <w:r>
        <w:rPr>
          <w:i/>
          <w:iCs/>
          <w:sz w:val="22"/>
          <w:szCs w:val="22"/>
        </w:rPr>
        <w:t xml:space="preserve">Relatório de projeto orientado pelo Professor [Nome do Orientador]</w:t>
      </w:r>
    </w:p>
    <w:p>
      <w:pPr>
        <w:spacing w:after="480"/>
        <w:jc w:val="center"/>
      </w:pPr>
      <w:r>
        <w:rPr>
          <w:i/>
          <w:iCs/>
          <w:sz w:val="22"/>
          <w:szCs w:val="22"/>
        </w:rPr>
        <w:t xml:space="preserve">e apresentado à Escola Superior de Ciência e Tecnologia</w:t>
      </w:r>
    </w:p>
    <w:p>
      <w:pPr>
        <w:spacing w:after="520"/>
        <w:jc w:val="center"/>
      </w:pPr>
      <w:r>
        <w:rPr>
          <w:sz w:val="22"/>
          <w:szCs w:val="22"/>
        </w:rPr>
        <w:t xml:space="preserve">Unidade Curricular: Projeto de Engenharia Informática</w:t>
      </w:r>
    </w:p>
    <w:p>
      <w:pPr>
        <w:spacing w:after="80"/>
        <w:jc w:val="center"/>
      </w:pPr>
      <w:r>
        <w:rPr>
          <w:sz w:val="24"/>
          <w:szCs w:val="24"/>
        </w:rPr>
        <w:t xml:space="preserve">Vila Nova de Gaia</w:t>
      </w:r>
    </w:p>
    <w:p>
      <w:pPr>
        <w:jc w:val="center"/>
      </w:pPr>
      <w:r>
        <w:rPr>
          <w:b/>
          <w:bCs/>
          <w:sz w:val="24"/>
          <w:szCs w:val="24"/>
        </w:rPr>
        <w:t xml:space="preserve">Junho de 2026</w:t>
      </w:r>
    </w:p>
    <w:p>
      <w:r>
        <w:br w:type="page"/>
      </w:r>
    </w:p>
    <w:p>
      <w:pPr>
        <w:pStyle w:val="Heading1"/>
      </w:pPr>
      <w:r>
        <w:t xml:space="preserve">Dedicatória</w:t>
      </w:r>
    </w:p>
    <w:p>
      <w:pPr>
        <w:spacing w:after="160" w:before="600"/>
        <w:jc w:val="center"/>
      </w:pPr>
      <w:r>
        <w:rPr>
          <w:i/>
          <w:iCs/>
          <w:sz w:val="24"/>
          <w:szCs w:val="24"/>
        </w:rPr>
        <w:t xml:space="preserve">À minha família, pelo apoio incondicional</w:t>
      </w:r>
    </w:p>
    <w:p>
      <w:pPr>
        <w:spacing w:after="160"/>
        <w:jc w:val="center"/>
      </w:pPr>
      <w:r>
        <w:rPr>
          <w:i/>
          <w:iCs/>
          <w:sz w:val="24"/>
          <w:szCs w:val="24"/>
        </w:rPr>
        <w:t xml:space="preserve">e por acreditarem em mim em cada etapa deste percurso.</w:t>
      </w:r>
    </w:p>
    <w:p>
      <w:pPr>
        <w:spacing w:after="160"/>
        <w:jc w:val="center"/>
      </w:pPr>
      <w:r>
        <w:rPr>
          <w:i/>
          <w:iCs/>
          <w:sz w:val="24"/>
          <w:szCs w:val="24"/>
        </w:rPr>
        <w:t xml:space="preserve">Aos meus amigos, pela presença e pelas palavras certas</w:t>
      </w:r>
    </w:p>
    <w:p>
      <w:pPr>
        <w:jc w:val="center"/>
      </w:pPr>
      <w:r>
        <w:rPr>
          <w:i/>
          <w:iCs/>
          <w:sz w:val="24"/>
          <w:szCs w:val="24"/>
        </w:rPr>
        <w:t xml:space="preserve">nos momentos certos.</w:t>
      </w:r>
    </w:p>
    <w:p>
      <w:r>
        <w:br w:type="page"/>
      </w:r>
    </w:p>
    <w:p>
      <w:pPr>
        <w:pStyle w:val="Heading1"/>
      </w:pPr>
      <w:r>
        <w:t xml:space="preserve">Agradecimentos</w:t>
      </w:r>
    </w:p>
    <w:p>
      <w:pPr>
        <w:spacing w:after="120" w:line="360"/>
        <w:ind w:firstLine="709"/>
        <w:jc w:val="both"/>
      </w:pPr>
      <w:r>
        <w:t xml:space="preserve">Agradeço, em primeiro lugar, à minha família, por todos os valores e ensinamentos transmitidos e pelo apoio constante ao longo de todo o percurso académico.</w:t>
      </w:r>
    </w:p>
    <w:p>
      <w:pPr>
        <w:spacing w:after="120" w:line="360"/>
        <w:ind w:firstLine="709"/>
        <w:jc w:val="both"/>
      </w:pPr>
      <w:r>
        <w:t xml:space="preserve">Ao ISPGAYA e, em particular, ao Professor [Nome do Orientador], orientador deste projeto, pela disponibilidade, orientação e rigor com que acompanhou o trabalho.</w:t>
      </w:r>
    </w:p>
    <w:p>
      <w:pPr>
        <w:spacing w:after="120" w:line="360"/>
        <w:ind w:firstLine="709"/>
        <w:jc w:val="both"/>
      </w:pPr>
      <w:r>
        <w:t xml:space="preserve">A todos os docentes da Licenciatura em Engenharia Informática, pelo contributo determinante na minha formação, e aos colegas, hoje amigos, que tornaram esta jornada mais leve e memorável.</w:t>
      </w:r>
    </w:p>
    <w:p>
      <w:r>
        <w:br w:type="page"/>
      </w:r>
    </w:p>
    <w:p>
      <w:pPr>
        <w:pStyle w:val="Heading1"/>
      </w:pPr>
      <w:r>
        <w:t xml:space="preserve">Resumo</w:t>
      </w:r>
    </w:p>
    <w:p>
      <w:pPr>
        <w:spacing w:after="120" w:line="360"/>
        <w:ind w:firstLine="709"/>
        <w:jc w:val="both"/>
      </w:pPr>
      <w:r>
        <w:t xml:space="preserve">O presente relatório descreve o desenvolvimento do BoxToCar, um sistema de gestão de armazém (Warehouse Management System) com apoio ao processo de picking, realizado no âmbito do projeto final da Licenciatura em Engenharia Informática. O projeto responde à dificuldade de muitas pequenas organizações em controlar de forma rigorosa a localização dos produtos, o nível de stock e as tarefas de recolha, frequentemente apoiadas em processos manuais sujeitos a erro.</w:t>
      </w:r>
    </w:p>
    <w:p>
      <w:pPr>
        <w:spacing w:after="120" w:line="360"/>
        <w:ind w:firstLine="709"/>
        <w:jc w:val="both"/>
      </w:pPr>
      <w:r>
        <w:t xml:space="preserve">A solução é composta por três componentes integrados: uma API REST desenvolvida em Node.js com Express e base de dados MySQL; um painel de gestão web, destinado ao gestor do armazém, com um mapa interativo das prateleiras, entrada de produtos e geração de ordens de picking; e uma aplicação móvel multiplataforma, desenvolvida em Flutter, utilizada pelos operadores para consultar e concluir as tarefas de recolha.</w:t>
      </w:r>
    </w:p>
    <w:p>
      <w:pPr>
        <w:spacing w:after="120" w:line="360"/>
        <w:ind w:firstLine="709"/>
        <w:jc w:val="both"/>
      </w:pPr>
      <w:r>
        <w:t xml:space="preserve">O desenvolvimento seguiu uma metodologia iterativa e incremental, com versionamento do código em Git. A arquitetura assenta num modelo cliente-servidor, com autenticação por tokens JWT, palavras-passe protegidas por bcrypt, suporte a múltiplos armazéns com isolamento de dados e um algoritmo de procura de caminho (BFS) que simula a deslocação de um veículo automatizado. Os resultados traduzem-se numa plataforma funcional e segura, validada em testes que confirmaram o controlo de stock, o isolamento entre armazéns e a correção do fluxo de picking.</w:t>
      </w:r>
    </w:p>
    <w:p>
      <w:pPr>
        <w:spacing w:after="120" w:line="360"/>
        <w:ind w:firstLine="709"/>
        <w:jc w:val="both"/>
      </w:pPr>
      <w:r>
        <w:rPr>
          <w:b/>
          <w:bCs/>
        </w:rPr>
        <w:t xml:space="preserve">Palavras-chave: </w:t>
      </w:r>
      <w:r>
        <w:t xml:space="preserve">Gestão de Armazém; WMS; Picking; API REST; Node.js; MySQL; Flutter; Autenticação JWT; Controlo de Stock; Aplicação Multiplataforma.</w:t>
      </w:r>
    </w:p>
    <w:p>
      <w:r>
        <w:br w:type="page"/>
      </w:r>
    </w:p>
    <w:p>
      <w:pPr>
        <w:pStyle w:val="Heading1"/>
      </w:pPr>
      <w:r>
        <w:t xml:space="preserve">Abstract</w:t>
      </w:r>
    </w:p>
    <w:p>
      <w:pPr>
        <w:spacing w:after="120" w:line="360"/>
        <w:ind w:firstLine="709"/>
        <w:jc w:val="both"/>
      </w:pPr>
      <w:r>
        <w:t xml:space="preserve">This report describes the development of BoxToCar, a Warehouse Management System with picking support, carried out as the final project of the Bachelor's Degree in Computer Engineering. The project addresses the difficulty many small organisations face in rigorously controlling product location, stock levels and collection tasks, which are often supported by error-prone manual processes.</w:t>
      </w:r>
    </w:p>
    <w:p>
      <w:pPr>
        <w:spacing w:after="120" w:line="360"/>
        <w:ind w:firstLine="709"/>
        <w:jc w:val="both"/>
      </w:pPr>
      <w:r>
        <w:t xml:space="preserve">The solution comprises three integrated components: a REST API built with Node.js, Express and a MySQL database; a web management panel for the warehouse manager, featuring an interactive map of the shelves, product entry and the generation of picking orders; and a cross-platform mobile application, developed in Flutter, used by operators to view and complete collection tasks.</w:t>
      </w:r>
    </w:p>
    <w:p>
      <w:pPr>
        <w:spacing w:after="120" w:line="360"/>
        <w:ind w:firstLine="709"/>
        <w:jc w:val="both"/>
      </w:pPr>
      <w:r>
        <w:t xml:space="preserve">Development followed an iterative and incremental methodology, with code versioned in Git. The architecture is based on a client-server model, with JWT token authentication, passwords protected by bcrypt, support for multiple warehouses with data isolation, and a path-finding algorithm (BFS) that simulates the movement of an automated guided vehicle. The results translate into a functional and secure platform, validated through tests that confirmed stock control, isolation between warehouses and the correctness of the picking flow.</w:t>
      </w:r>
    </w:p>
    <w:p>
      <w:pPr>
        <w:spacing w:after="120" w:line="360"/>
        <w:ind w:firstLine="709"/>
        <w:jc w:val="both"/>
      </w:pPr>
      <w:r>
        <w:rPr>
          <w:b/>
          <w:bCs/>
        </w:rPr>
        <w:t xml:space="preserve">Keywords: </w:t>
      </w:r>
      <w:r>
        <w:t xml:space="preserve">Warehouse Management; WMS; Picking; REST API; Node.js; MySQL; Flutter; JWT Authentication; Stock Control; Cross-platform Application.</w:t>
      </w:r>
    </w:p>
    <w:p>
      <w:r>
        <w:br w:type="page"/>
      </w:r>
    </w:p>
    <w:p>
      <w:pPr>
        <w:pStyle w:val="Heading1"/>
      </w:pPr>
      <w:r>
        <w:t xml:space="preserve">Lista de Abreviaturas e Siglas</w:t>
      </w:r>
    </w:p>
    <w:p>
      <w:pPr>
        <w:spacing w:after="60"/>
      </w:pPr>
      <w:r>
        <w:rPr>
          <w:b/>
          <w:bCs/>
        </w:rPr>
        <w:t xml:space="preserve">AGV </w:t>
      </w:r>
      <w:r>
        <w:t xml:space="preserve">— Automated Guided Vehicle (Veículo de Guiado Automático)</w:t>
      </w:r>
    </w:p>
    <w:p>
      <w:pPr>
        <w:spacing w:after="60"/>
      </w:pPr>
      <w:r>
        <w:rPr>
          <w:b/>
          <w:bCs/>
        </w:rPr>
        <w:t xml:space="preserve">API </w:t>
      </w:r>
      <w:r>
        <w:t xml:space="preserve">— Application Programming Interface</w:t>
      </w:r>
    </w:p>
    <w:p>
      <w:pPr>
        <w:spacing w:after="60"/>
      </w:pPr>
      <w:r>
        <w:rPr>
          <w:b/>
          <w:bCs/>
        </w:rPr>
        <w:t xml:space="preserve">BFS </w:t>
      </w:r>
      <w:r>
        <w:t xml:space="preserve">— Breadth-First Search (Procura em Largura)</w:t>
      </w:r>
    </w:p>
    <w:p>
      <w:pPr>
        <w:spacing w:after="60"/>
      </w:pPr>
      <w:r>
        <w:rPr>
          <w:b/>
          <w:bCs/>
        </w:rPr>
        <w:t xml:space="preserve">CRUD </w:t>
      </w:r>
      <w:r>
        <w:t xml:space="preserve">— Create, Read, Update, Delete</w:t>
      </w:r>
    </w:p>
    <w:p>
      <w:pPr>
        <w:spacing w:after="60"/>
      </w:pPr>
      <w:r>
        <w:rPr>
          <w:b/>
          <w:bCs/>
        </w:rPr>
        <w:t xml:space="preserve">CSS </w:t>
      </w:r>
      <w:r>
        <w:t xml:space="preserve">— Cascading Style Sheets</w:t>
      </w:r>
    </w:p>
    <w:p>
      <w:pPr>
        <w:spacing w:after="60"/>
      </w:pPr>
      <w:r>
        <w:rPr>
          <w:b/>
          <w:bCs/>
        </w:rPr>
        <w:t xml:space="preserve">DOM </w:t>
      </w:r>
      <w:r>
        <w:t xml:space="preserve">— Document Object Model</w:t>
      </w:r>
    </w:p>
    <w:p>
      <w:pPr>
        <w:spacing w:after="60"/>
      </w:pPr>
      <w:r>
        <w:rPr>
          <w:b/>
          <w:bCs/>
        </w:rPr>
        <w:t xml:space="preserve">ERP </w:t>
      </w:r>
      <w:r>
        <w:t xml:space="preserve">— Enterprise Resource Planning</w:t>
      </w:r>
    </w:p>
    <w:p>
      <w:pPr>
        <w:spacing w:after="60"/>
      </w:pPr>
      <w:r>
        <w:rPr>
          <w:b/>
          <w:bCs/>
        </w:rPr>
        <w:t xml:space="preserve">HTML </w:t>
      </w:r>
      <w:r>
        <w:t xml:space="preserve">— HyperText Markup Language</w:t>
      </w:r>
    </w:p>
    <w:p>
      <w:pPr>
        <w:spacing w:after="60"/>
      </w:pPr>
      <w:r>
        <w:rPr>
          <w:b/>
          <w:bCs/>
        </w:rPr>
        <w:t xml:space="preserve">HTTP </w:t>
      </w:r>
      <w:r>
        <w:t xml:space="preserve">— HyperText Transfer Protocol</w:t>
      </w:r>
    </w:p>
    <w:p>
      <w:pPr>
        <w:spacing w:after="60"/>
      </w:pPr>
      <w:r>
        <w:rPr>
          <w:b/>
          <w:bCs/>
        </w:rPr>
        <w:t xml:space="preserve">ISPGAYA </w:t>
      </w:r>
      <w:r>
        <w:t xml:space="preserve">— Instituto Superior Politécnico Gaya</w:t>
      </w:r>
    </w:p>
    <w:p>
      <w:pPr>
        <w:spacing w:after="60"/>
      </w:pPr>
      <w:r>
        <w:rPr>
          <w:b/>
          <w:bCs/>
        </w:rPr>
        <w:t xml:space="preserve">JSON </w:t>
      </w:r>
      <w:r>
        <w:t xml:space="preserve">— JavaScript Object Notation</w:t>
      </w:r>
    </w:p>
    <w:p>
      <w:pPr>
        <w:spacing w:after="60"/>
      </w:pPr>
      <w:r>
        <w:rPr>
          <w:b/>
          <w:bCs/>
        </w:rPr>
        <w:t xml:space="preserve">JWT </w:t>
      </w:r>
      <w:r>
        <w:t xml:space="preserve">— JSON Web Token</w:t>
      </w:r>
    </w:p>
    <w:p>
      <w:pPr>
        <w:spacing w:after="60"/>
      </w:pPr>
      <w:r>
        <w:rPr>
          <w:b/>
          <w:bCs/>
        </w:rPr>
        <w:t xml:space="preserve">REST </w:t>
      </w:r>
      <w:r>
        <w:t xml:space="preserve">— Representational State Transfer</w:t>
      </w:r>
    </w:p>
    <w:p>
      <w:pPr>
        <w:spacing w:after="60"/>
      </w:pPr>
      <w:r>
        <w:rPr>
          <w:b/>
          <w:bCs/>
        </w:rPr>
        <w:t xml:space="preserve">SKU </w:t>
      </w:r>
      <w:r>
        <w:t xml:space="preserve">— Stock Keeping Unit</w:t>
      </w:r>
    </w:p>
    <w:p>
      <w:pPr>
        <w:spacing w:after="60"/>
      </w:pPr>
      <w:r>
        <w:rPr>
          <w:b/>
          <w:bCs/>
        </w:rPr>
        <w:t xml:space="preserve">SQL </w:t>
      </w:r>
      <w:r>
        <w:t xml:space="preserve">— Structured Query Language</w:t>
      </w:r>
    </w:p>
    <w:p>
      <w:pPr>
        <w:spacing w:after="60"/>
      </w:pPr>
      <w:r>
        <w:rPr>
          <w:b/>
          <w:bCs/>
        </w:rPr>
        <w:t xml:space="preserve">UI </w:t>
      </w:r>
      <w:r>
        <w:t xml:space="preserve">— User Interface</w:t>
      </w:r>
    </w:p>
    <w:p>
      <w:pPr>
        <w:spacing w:after="60"/>
      </w:pPr>
      <w:r>
        <w:rPr>
          <w:b/>
          <w:bCs/>
        </w:rPr>
        <w:t xml:space="preserve">WMS </w:t>
      </w:r>
      <w:r>
        <w:t xml:space="preserve">— Warehouse Management System (Sistema de Gestão de Armazém)</w:t>
      </w:r>
    </w:p>
    <w:p>
      <w:r>
        <w:br w:type="page"/>
      </w:r>
    </w:p>
    <w:p>
      <w:pPr>
        <w:pStyle w:val="Heading1"/>
      </w:pPr>
      <w:r>
        <w:t xml:space="preserve">Índice</w:t>
      </w:r>
    </w:p>
    <w:sdt>
      <w:sdtPr>
        <w:alias w:val="Sumário"/>
      </w:sdtPr>
      <w:sdtContent>
        <w:p>
          <w:r>
            <w:fldChar w:fldCharType="begin" w:dirty="true"/>
            <w:instrText xml:space="preserve">TOC \h \o "1-3"</w:instrText>
            <w:fldChar w:fldCharType="separate"/>
          </w:r>
        </w:p>
        <w:p>
          <w:r>
            <w:fldChar w:fldCharType="end"/>
          </w:r>
        </w:p>
      </w:sdtContent>
    </w:sdt>
    <w:p>
      <w:pPr>
        <w:pStyle w:val="Heading1"/>
        <w:pageBreakBefore/>
      </w:pPr>
      <w:r>
        <w:t xml:space="preserve">1. Introdução</w:t>
      </w:r>
    </w:p>
    <w:p>
      <w:pPr>
        <w:spacing w:after="120" w:line="360"/>
        <w:ind w:firstLine="709"/>
        <w:jc w:val="both"/>
      </w:pPr>
      <w:r>
        <w:t xml:space="preserve">A gestão eficiente de um armazém é um fator determinante para a competitividade de qualquer organização que lide com a movimentação de bens. Entre as suas operações, o picking — a recolha física dos produtos necessários para satisfazer uma encomenda — é uma das mais críticas e demoradas, com impacto direto nos custos operacionais e no tempo de resposta ao cliente.</w:t>
      </w:r>
    </w:p>
    <w:p>
      <w:pPr>
        <w:spacing w:after="120" w:line="360"/>
        <w:ind w:firstLine="709"/>
        <w:jc w:val="both"/>
      </w:pPr>
      <w:r>
        <w:t xml:space="preserve">Muitas pequenas e médias organizações continuam a apoiar estas operações em registos manuais ou folhas de cálculo, o que origina erros de inventário, dificuldade em localizar produtos e ausência de rastreabilidade. Foi neste contexto que surgiu o BoxToCar, um sistema de gestão de armazém desenvolvido de raiz para demonstrar, de forma prática, os princípios fundamentais de um WMS através de tecnologias web e móveis atuais.</w:t>
      </w:r>
    </w:p>
    <w:p>
      <w:pPr>
        <w:spacing w:after="120" w:line="360"/>
        <w:ind w:firstLine="709"/>
        <w:jc w:val="both"/>
      </w:pPr>
      <w:r>
        <w:t xml:space="preserve">O presente relatório tem como objetivo descrever o desenvolvimento do BoxToCar, desde a análise do problema e das soluções existentes, passando pelos fundamentos teóricos e pela arquitetura, até à implementação das funcionalidades e aos testes de validação. Especificamente, definiram-se os seguintes objetivos:</w:t>
      </w:r>
    </w:p>
    <w:p>
      <w:pPr>
        <w:pStyle w:val="ListParagraph"/>
        <w:numPr>
          <w:ilvl w:val="0"/>
          <w:numId w:val="2"/>
        </w:numPr>
        <w:spacing w:after="90" w:line="360"/>
        <w:jc w:val="both"/>
      </w:pPr>
      <w:r>
        <w:t xml:space="preserve">Conceber e implementar uma API que centralize a lógica de negócio e o acesso aos dados.</w:t>
      </w:r>
    </w:p>
    <w:p>
      <w:pPr>
        <w:pStyle w:val="ListParagraph"/>
        <w:numPr>
          <w:ilvl w:val="0"/>
          <w:numId w:val="2"/>
        </w:numPr>
        <w:spacing w:after="90" w:line="360"/>
        <w:jc w:val="both"/>
      </w:pPr>
      <w:r>
        <w:t xml:space="preserve">Desenvolver um painel web para o gestor organizar o armazém e gerir o stock.</w:t>
      </w:r>
    </w:p>
    <w:p>
      <w:pPr>
        <w:pStyle w:val="ListParagraph"/>
        <w:numPr>
          <w:ilvl w:val="0"/>
          <w:numId w:val="2"/>
        </w:numPr>
        <w:spacing w:after="90" w:line="360"/>
        <w:jc w:val="both"/>
      </w:pPr>
      <w:r>
        <w:t xml:space="preserve">Desenvolver uma aplicação móvel para o operador executar as tarefas de picking.</w:t>
      </w:r>
    </w:p>
    <w:p>
      <w:pPr>
        <w:pStyle w:val="ListParagraph"/>
        <w:numPr>
          <w:ilvl w:val="0"/>
          <w:numId w:val="2"/>
        </w:numPr>
        <w:spacing w:after="90" w:line="360"/>
        <w:jc w:val="both"/>
      </w:pPr>
      <w:r>
        <w:t xml:space="preserve">Garantir a segurança do sistema e o isolamento de dados entre múltiplos armazéns.</w:t>
      </w:r>
    </w:p>
    <w:p>
      <w:pPr>
        <w:spacing w:after="120" w:line="360"/>
        <w:ind w:firstLine="709"/>
        <w:jc w:val="both"/>
      </w:pPr>
      <w:r>
        <w:t xml:space="preserve">O documento encontra-se organizado em treze capítulos. Após esta introdução, apresenta-se o enquadramento do projeto, a análise de soluções existentes e as bases teóricas. Seguem-se a análise e arquitetura da solução e os capítulos dedicados a cada conjunto de funcionalidades. Por fim, descrevem-se os testes de validação e as conclusões.</w:t>
      </w:r>
    </w:p>
    <w:p>
      <w:pPr>
        <w:pStyle w:val="Heading1"/>
        <w:pageBreakBefore/>
      </w:pPr>
      <w:r>
        <w:t xml:space="preserve">2. Enquadramento do Projeto</w:t>
      </w:r>
    </w:p>
    <w:p>
      <w:pPr>
        <w:spacing w:after="120" w:line="360"/>
        <w:ind w:firstLine="709"/>
        <w:jc w:val="both"/>
      </w:pPr>
      <w:r>
        <w:t xml:space="preserve">O projeto BoxToCar foi desenvolvido no âmbito da unidade curricular de Projeto de Engenharia Informática, do 3.º ano da Licenciatura em Engenharia Informática do Instituto Superior Politécnico Gaya (ISPGAYA). Esta unidade tem como propósito a aplicação integrada dos conhecimentos adquiridos ao longo do curso na conceção e desenvolvimento de uma solução de software completa.</w:t>
      </w:r>
    </w:p>
    <w:p>
      <w:pPr>
        <w:spacing w:after="120" w:line="360"/>
        <w:ind w:firstLine="709"/>
        <w:jc w:val="both"/>
      </w:pPr>
      <w:r>
        <w:t xml:space="preserve">O domínio escolhido — a gestão de armazém — revelou-se particularmente adequado por reunir, num único sistema, vários desafios técnicos relevantes: o desenho de uma API, a modelação de uma base de dados relacional, a construção de interfaces web e móveis, a implementação de mecanismos de segurança e a aplicação de um algoritmo de procura de caminho. A escolha permitiu, assim, consolidar competências transversais de forma articulada e com um resultado tangível.</w:t>
      </w:r>
    </w:p>
    <w:p>
      <w:pPr>
        <w:pStyle w:val="Heading1"/>
        <w:pageBreakBefore/>
      </w:pPr>
      <w:r>
        <w:t xml:space="preserve">3. Análise de Soluções Existentes</w:t>
      </w:r>
    </w:p>
    <w:p>
      <w:pPr>
        <w:pStyle w:val="Heading2"/>
      </w:pPr>
      <w:r>
        <w:t xml:space="preserve">3.1. Soluções de mercado</w:t>
      </w:r>
    </w:p>
    <w:p>
      <w:pPr>
        <w:spacing w:after="120" w:line="360"/>
        <w:ind w:firstLine="709"/>
        <w:jc w:val="both"/>
      </w:pPr>
      <w:r>
        <w:t xml:space="preserve">Existem no mercado diversas soluções de gestão de armazém, desde módulos integrados em sistemas ERP (como o SAP ou o Odoo) até plataformas especializadas em logística. Estas soluções oferecem funcionalidades abrangentes — gestão de inventário, localização, expedição, integração com transportadoras e relatórios analíticos — e são adequadas a operações de média e grande dimensão.</w:t>
      </w:r>
    </w:p>
    <w:p>
      <w:pPr>
        <w:pStyle w:val="Heading2"/>
      </w:pPr>
      <w:r>
        <w:t xml:space="preserve">3.2. Limitações e justificação do desenvolvimento próprio</w:t>
      </w:r>
    </w:p>
    <w:p>
      <w:pPr>
        <w:spacing w:after="120" w:line="360"/>
        <w:ind w:firstLine="709"/>
        <w:jc w:val="both"/>
      </w:pPr>
      <w:r>
        <w:t xml:space="preserve">Apesar da sua robustez, estas soluções apresentam limitações no contexto de uma pequena organização ou de um projeto académico: elevada complexidade de configuração, custos de licenciamento significativos e funcionalidades muito além do necessário. Acresce que, enquanto produtos fechados, não permitem demonstrar nem explorar os mecanismos internos que sustentam um WMS.</w:t>
      </w:r>
    </w:p>
    <w:p>
      <w:pPr>
        <w:spacing w:after="120" w:line="360"/>
        <w:ind w:firstLine="709"/>
        <w:jc w:val="both"/>
      </w:pPr>
      <w:r>
        <w:t xml:space="preserve">Justifica-se, por isso, o desenvolvimento de uma solução própria, simples e focada no essencial, que permita compreender e controlar todas as camadas do sistema — da base de dados à interface — e que constitua uma base extensível para evoluções futuras.</w:t>
      </w:r>
    </w:p>
    <w:p>
      <w:pPr>
        <w:pStyle w:val="Heading1"/>
        <w:pageBreakBefore/>
      </w:pPr>
      <w:r>
        <w:t xml:space="preserve">4. Bases Teóricas</w:t>
      </w:r>
    </w:p>
    <w:p>
      <w:pPr>
        <w:pStyle w:val="Heading2"/>
      </w:pPr>
      <w:r>
        <w:t xml:space="preserve">4.1. Sistemas WMS e o processo de picking</w:t>
      </w:r>
    </w:p>
    <w:p>
      <w:pPr>
        <w:spacing w:after="120" w:line="360"/>
        <w:ind w:firstLine="709"/>
        <w:jc w:val="both"/>
      </w:pPr>
      <w:r>
        <w:t xml:space="preserve">Um sistema de gestão de armazém é uma aplicação informática que apoia e controla as operações diárias de um armazém — receção, armazenamento, localização e expedição —, maximizando a utilização do espaço e dos recursos e assegurando a exatidão do inventário. O picking designa a recolha dos artigos de uma encomenda a partir das suas localizações, sendo um dos processos com maior peso no tempo total de operação.</w:t>
      </w:r>
    </w:p>
    <w:p>
      <w:pPr>
        <w:pStyle w:val="Heading2"/>
      </w:pPr>
      <w:r>
        <w:t xml:space="preserve">4.2. Arquitetura cliente-servidor e REST API</w:t>
      </w:r>
    </w:p>
    <w:p>
      <w:pPr>
        <w:spacing w:after="120" w:line="360"/>
        <w:ind w:firstLine="709"/>
        <w:jc w:val="both"/>
      </w:pPr>
      <w:r>
        <w:t xml:space="preserve">A solução adota uma arquitetura cliente-servidor, na qual um servidor central concentra a lógica de negócio e o acesso aos dados, e os clientes (painel web e aplicação móvel) consomem esses serviços através de uma API REST. Este estilo arquitetural utiliza os métodos do protocolo HTTP e troca dados em formato JSON, promovendo a separação de responsabilidades e a reutilização da lógica de servidor por diferentes clientes.</w:t>
      </w:r>
    </w:p>
    <w:p>
      <w:pPr>
        <w:pStyle w:val="Heading2"/>
      </w:pPr>
      <w:r>
        <w:t xml:space="preserve">4.3. Autenticação com JSON Web Tokens (JWT)</w:t>
      </w:r>
    </w:p>
    <w:p>
      <w:pPr>
        <w:spacing w:after="120" w:line="360"/>
        <w:ind w:firstLine="709"/>
        <w:jc w:val="both"/>
      </w:pPr>
      <w:r>
        <w:t xml:space="preserve">A autenticação baseia-se em JSON Web Tokens. Após validar as credenciais, o servidor emite um token assinado que o cliente envia em cada pedido subsequente. O token contém a identidade do utilizador e o armazém a que pertence, permitindo ao servidor identificar e autorizar o utilizador sem manter estado de sessão.</w:t>
      </w:r>
    </w:p>
    <w:p>
      <w:pPr>
        <w:pStyle w:val="Heading2"/>
      </w:pPr>
      <w:r>
        <w:t xml:space="preserve">4.4. Proteção de palavras-passe com bcrypt</w:t>
      </w:r>
    </w:p>
    <w:p>
      <w:pPr>
        <w:spacing w:after="120" w:line="360"/>
        <w:ind w:firstLine="709"/>
        <w:jc w:val="both"/>
      </w:pPr>
      <w:r>
        <w:t xml:space="preserve">As palavras-passe são protegidas com a função de hashing bcrypt, que aplica um fator de custo configurável e um valor aleatório (salt) único por registo. Desta forma, as palavras-passe nunca são guardadas em texto simples, tornando inviável a sua recuperação mesmo em caso de fuga da base de dados.</w:t>
      </w:r>
    </w:p>
    <w:p>
      <w:pPr>
        <w:pStyle w:val="Heading2"/>
      </w:pPr>
      <w:r>
        <w:t xml:space="preserve">4.5. Bases de dados relacionais (MySQL)</w:t>
      </w:r>
    </w:p>
    <w:p>
      <w:pPr>
        <w:spacing w:after="120" w:line="360"/>
        <w:ind w:firstLine="709"/>
        <w:jc w:val="both"/>
      </w:pPr>
      <w:r>
        <w:t xml:space="preserve">A persistência é assegurada por uma base de dados relacional MySQL, que organiza a informação em tabelas relacionadas por chaves. O acesso é feito através do controlador mysql2, com consultas parametrizadas que previnem injeções de SQL e um pool de ligações que melhora o desempenho.</w:t>
      </w:r>
    </w:p>
    <w:p>
      <w:pPr>
        <w:pStyle w:val="Heading2"/>
      </w:pPr>
      <w:r>
        <w:t xml:space="preserve">4.6. Desenvolvimento multiplataforma com Flutter</w:t>
      </w:r>
    </w:p>
    <w:p>
      <w:pPr>
        <w:spacing w:after="120" w:line="360"/>
        <w:ind w:firstLine="709"/>
        <w:jc w:val="both"/>
      </w:pPr>
      <w:r>
        <w:t xml:space="preserve">A aplicação do operador foi desenvolvida em Flutter, framework que, a partir de uma única base de código em Dart, produz aplicações para várias plataformas (Android, iOS, web e desktop), reduzindo o esforço de desenvolvimento e manutenção.</w:t>
      </w:r>
    </w:p>
    <w:p>
      <w:pPr>
        <w:pStyle w:val="Heading2"/>
      </w:pPr>
      <w:r>
        <w:t xml:space="preserve">4.7. Procura de caminho com o algoritmo BFS</w:t>
      </w:r>
    </w:p>
    <w:p>
      <w:pPr>
        <w:spacing w:after="120" w:line="360"/>
        <w:ind w:firstLine="709"/>
        <w:jc w:val="both"/>
      </w:pPr>
      <w:r>
        <w:t xml:space="preserve">A deslocação do veículo automatizado é calculada com o algoritmo de procura em largura (Breadth-First Search). Modelando o armazém como uma grelha em que as prateleiras são obstáculos, o BFS garante a determinação do caminho mais curto, em número de passos, entre a posição do robô e o destino pretendido.</w:t>
      </w:r>
    </w:p>
    <w:p>
      <w:pPr>
        <w:pStyle w:val="Heading1"/>
        <w:pageBreakBefore/>
      </w:pPr>
      <w:r>
        <w:t xml:space="preserve">5. Análise, Arquitetura e Planeamento</w:t>
      </w:r>
    </w:p>
    <w:p>
      <w:pPr>
        <w:pStyle w:val="Heading2"/>
      </w:pPr>
      <w:r>
        <w:t xml:space="preserve">5.1. Requisitos do sistema</w:t>
      </w:r>
    </w:p>
    <w:p>
      <w:pPr>
        <w:pStyle w:val="Heading3"/>
      </w:pPr>
      <w:r>
        <w:t xml:space="preserve">5.1.1. Requisitos funcionais</w:t>
      </w:r>
    </w:p>
    <w:p>
      <w:pPr>
        <w:pStyle w:val="ListParagraph"/>
        <w:numPr>
          <w:ilvl w:val="0"/>
          <w:numId w:val="2"/>
        </w:numPr>
        <w:spacing w:after="90" w:line="360"/>
        <w:jc w:val="both"/>
      </w:pPr>
      <w:r>
        <w:t xml:space="preserve">Registo de um armazém e da respetiva conta de gestor, e registo de operadores associados a um armazém existente.</w:t>
      </w:r>
    </w:p>
    <w:p>
      <w:pPr>
        <w:pStyle w:val="ListParagraph"/>
        <w:numPr>
          <w:ilvl w:val="0"/>
          <w:numId w:val="2"/>
        </w:numPr>
        <w:spacing w:after="90" w:line="360"/>
        <w:jc w:val="both"/>
      </w:pPr>
      <w:r>
        <w:t xml:space="preserve">Autenticação dos utilizadores e restrição do acesso às operações consoante o armazém a que pertencem.</w:t>
      </w:r>
    </w:p>
    <w:p>
      <w:pPr>
        <w:pStyle w:val="ListParagraph"/>
        <w:numPr>
          <w:ilvl w:val="0"/>
          <w:numId w:val="2"/>
        </w:numPr>
        <w:spacing w:after="90" w:line="360"/>
        <w:jc w:val="both"/>
      </w:pPr>
      <w:r>
        <w:t xml:space="preserve">Criação, importação e remoção de prateleiras, com posição e número de níveis.</w:t>
      </w:r>
    </w:p>
    <w:p>
      <w:pPr>
        <w:pStyle w:val="ListParagraph"/>
        <w:numPr>
          <w:ilvl w:val="0"/>
          <w:numId w:val="2"/>
        </w:numPr>
        <w:spacing w:after="90" w:line="360"/>
        <w:jc w:val="both"/>
      </w:pPr>
      <w:r>
        <w:t xml:space="preserve">Entrada de produtos, em quantidade variável, numa posição do armazém.</w:t>
      </w:r>
    </w:p>
    <w:p>
      <w:pPr>
        <w:pStyle w:val="ListParagraph"/>
        <w:numPr>
          <w:ilvl w:val="0"/>
          <w:numId w:val="2"/>
        </w:numPr>
        <w:spacing w:after="90" w:line="360"/>
        <w:jc w:val="both"/>
      </w:pPr>
      <w:r>
        <w:t xml:space="preserve">Geração de ordens de picking com validação prévia de stock.</w:t>
      </w:r>
    </w:p>
    <w:p>
      <w:pPr>
        <w:pStyle w:val="ListParagraph"/>
        <w:numPr>
          <w:ilvl w:val="0"/>
          <w:numId w:val="2"/>
        </w:numPr>
        <w:spacing w:after="90" w:line="360"/>
        <w:jc w:val="both"/>
      </w:pPr>
      <w:r>
        <w:t xml:space="preserve">Consulta e conclusão das tarefas de recolha pelo operador, com baixa automática de stock.</w:t>
      </w:r>
    </w:p>
    <w:p>
      <w:pPr>
        <w:pStyle w:val="Heading3"/>
      </w:pPr>
      <w:r>
        <w:t xml:space="preserve">5.1.2. Requisitos não funcionais</w:t>
      </w:r>
    </w:p>
    <w:p>
      <w:pPr>
        <w:pStyle w:val="ListParagraph"/>
        <w:numPr>
          <w:ilvl w:val="0"/>
          <w:numId w:val="2"/>
        </w:numPr>
        <w:spacing w:after="90" w:line="360"/>
        <w:jc w:val="both"/>
      </w:pPr>
      <w:r>
        <w:t xml:space="preserve">Segurança — palavras-passe cifradas, rotas sensíveis protegidas e dados isolados por armazém.</w:t>
      </w:r>
    </w:p>
    <w:p>
      <w:pPr>
        <w:pStyle w:val="ListParagraph"/>
        <w:numPr>
          <w:ilvl w:val="0"/>
          <w:numId w:val="2"/>
        </w:numPr>
        <w:spacing w:after="90" w:line="360"/>
        <w:jc w:val="both"/>
      </w:pPr>
      <w:r>
        <w:t xml:space="preserve">Usabilidade — interfaces claras e consistentes entre o painel web e a aplicação móvel.</w:t>
      </w:r>
    </w:p>
    <w:p>
      <w:pPr>
        <w:pStyle w:val="ListParagraph"/>
        <w:numPr>
          <w:ilvl w:val="0"/>
          <w:numId w:val="2"/>
        </w:numPr>
        <w:spacing w:after="90" w:line="360"/>
        <w:jc w:val="both"/>
      </w:pPr>
      <w:r>
        <w:t xml:space="preserve">Portabilidade — aplicação do operador funcional em várias plataformas a partir de uma base de código.</w:t>
      </w:r>
    </w:p>
    <w:p>
      <w:pPr>
        <w:pStyle w:val="ListParagraph"/>
        <w:numPr>
          <w:ilvl w:val="0"/>
          <w:numId w:val="2"/>
        </w:numPr>
        <w:spacing w:after="90" w:line="360"/>
        <w:jc w:val="both"/>
      </w:pPr>
      <w:r>
        <w:t xml:space="preserve">Manutenibilidade — código organizado e configuração sensível externa ao código.</w:t>
      </w:r>
    </w:p>
    <w:p>
      <w:pPr>
        <w:pStyle w:val="Heading2"/>
      </w:pPr>
      <w:r>
        <w:t xml:space="preserve">5.2. Arquitetura da solução</w:t>
      </w:r>
    </w:p>
    <w:p>
      <w:pPr>
        <w:spacing w:after="120" w:line="360"/>
        <w:ind w:firstLine="709"/>
        <w:jc w:val="both"/>
      </w:pPr>
      <w:r>
        <w:t xml:space="preserve">O sistema é constituído por três componentes principais. O backend, em Node.js e Express, expõe a API REST e comunica com a base de dados MySQL, concentrando a lógica de negócio e a segurança. O painel web do gestor, em HTML, CSS e JavaScript, é servido pelo próprio backend. A aplicação móvel do operador, em Flutter, comunica com a mesma API. Os dois clientes partilham, assim, a mesma fonte de dados e as mesmas regras de negócio.</w:t>
      </w:r>
    </w:p>
    <w:p>
      <w:pPr>
        <w:pStyle w:val="Heading2"/>
      </w:pPr>
      <w:r>
        <w:t xml:space="preserve">5.3. Modelo de dados</w:t>
      </w:r>
    </w:p>
    <w:p>
      <w:pPr>
        <w:spacing w:after="120" w:line="360"/>
        <w:ind w:firstLine="709"/>
        <w:jc w:val="both"/>
      </w:pPr>
      <w:r>
        <w:t xml:space="preserve">A base de dados é composta por seis tabelas principais, descritas na Tabela 1.</w:t>
      </w:r>
    </w:p>
    <w:p>
      <w:pPr>
        <w:spacing w:after="60" w:before="120"/>
        <w:jc w:val="left"/>
      </w:pPr>
      <w:r>
        <w:rPr>
          <w:i/>
          <w:iCs/>
          <w:sz w:val="22"/>
          <w:szCs w:val="22"/>
        </w:rPr>
        <w:t xml:space="preserve">Tabela 1. Tabelas principais da base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D3557" w:val="clear"/>
            <w:tcMar>
              <w:top w:type="dxa" w:w="60"/>
              <w:left w:type="dxa" w:w="100"/>
              <w:bottom w:type="dxa" w:w="60"/>
              <w:right w:type="dxa" w:w="100"/>
            </w:tcMar>
          </w:tcPr>
          <w:p>
            <w:r>
              <w:rPr>
                <w:b/>
                <w:bCs/>
                <w:color w:val="FFFFFF"/>
                <w:sz w:val="20"/>
                <w:szCs w:val="20"/>
              </w:rPr>
              <w:t xml:space="preserve">Tabela</w:t>
            </w:r>
          </w:p>
        </w:tc>
        <w:tc>
          <w:tcPr>
            <w:tcW w:type="dxa" w:w="6760"/>
            <w:tcBorders>
              <w:top w:val="single" w:color="AAAAAA" w:sz="1"/>
              <w:left w:val="single" w:color="AAAAAA" w:sz="1"/>
              <w:bottom w:val="single" w:color="AAAAAA" w:sz="1"/>
              <w:right w:val="single" w:color="AAAAAA" w:sz="1"/>
            </w:tcBorders>
            <w:shd w:fill="1D3557" w:val="clear"/>
            <w:tcMar>
              <w:top w:type="dxa" w:w="60"/>
              <w:left w:type="dxa" w:w="100"/>
              <w:bottom w:type="dxa" w:w="60"/>
              <w:right w:type="dxa" w:w="100"/>
            </w:tcMar>
          </w:tcPr>
          <w:p>
            <w:r>
              <w:rPr>
                <w:b/>
                <w:bCs/>
                <w:color w:val="FFFFFF"/>
                <w:sz w:val="20"/>
                <w:szCs w:val="20"/>
              </w:rPr>
              <w:t xml:space="preserve">Descrição</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armazens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Regista cada armazém (nome e cidade).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usuarios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Contas de gestor e operador e a sua associação a um armazém.</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prateleiras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Posição (X, Y) e número de níveis de cada estrutura.</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produtos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Cada registo é uma unidade física de stock, associada a uma prateleira.</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encomendas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Ordens de picking e respetivo estado (pendente, expedida, rutura).</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configuracoes</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Parâmetros do armazém, como as dimensões da grelha.</w:t>
            </w:r>
          </w:p>
        </w:tc>
      </w:tr>
    </w:tbl>
    <w:p>
      <w:pPr>
        <w:pStyle w:val="Heading2"/>
      </w:pPr>
      <w:r>
        <w:t xml:space="preserve">5.4. Planeamento e metodologia</w:t>
      </w:r>
    </w:p>
    <w:p>
      <w:pPr>
        <w:spacing w:after="120" w:line="360"/>
        <w:ind w:firstLine="709"/>
        <w:jc w:val="both"/>
      </w:pPr>
      <w:r>
        <w:t xml:space="preserve">O desenvolvimento seguiu uma metodologia iterativa e incremental: cada funcionalidade foi implementada, testada e integrada de forma sucessiva, permitindo validar continuamente o comportamento do sistema. O código foi versionado com Git e alojado num repositório remoto, garantindo o histórico das alterações e a possibilidade de recuperação a qualquer momento.</w:t>
      </w:r>
    </w:p>
    <w:p>
      <w:pPr>
        <w:pStyle w:val="Heading1"/>
        <w:pageBreakBefore/>
      </w:pPr>
      <w:r>
        <w:t xml:space="preserve">6. Autenticação, Autorização e Multi-armazém</w:t>
      </w:r>
    </w:p>
    <w:p>
      <w:pPr>
        <w:pStyle w:val="Heading2"/>
      </w:pPr>
      <w:r>
        <w:t xml:space="preserve">6.1. Sistema de autenticação JWT</w:t>
      </w:r>
    </w:p>
    <w:p>
      <w:pPr>
        <w:spacing w:after="120" w:line="360"/>
        <w:ind w:firstLine="709"/>
        <w:jc w:val="both"/>
      </w:pPr>
      <w:r>
        <w:t xml:space="preserve">O início de sessão valida as credenciais — comparando a palavra-passe submetida com o hash bcrypt guardado — e, em caso de sucesso, emite um token JWT com validade de oito horas. O token incorpora o identificador do utilizador, o seu papel e o armazém associado, e é enviado no cabeçalho de autorização de cada pedido seguinte.</w:t>
      </w:r>
    </w:p>
    <w:p>
      <w:pPr>
        <w:spacing w:after="60" w:before="160"/>
        <w:jc w:val="left"/>
      </w:pPr>
      <w:r>
        <w:rPr>
          <w:i/>
          <w:iCs/>
          <w:sz w:val="22"/>
          <w:szCs w:val="22"/>
        </w:rPr>
        <w:t xml:space="preserve">Figura 1. Ecrã de início de sessão do painel web</w:t>
      </w:r>
    </w:p>
    <w:p>
      <w:pPr>
        <w:pBdr>
          <w:top w:val="dashed" w:color="AAAAAA" w:sz="6" w:space="10"/>
          <w:bottom w:val="dashed" w:color="AAAAAA" w:sz="6" w:space="10"/>
          <w:left w:val="dashed" w:color="AAAAAA" w:sz="6" w:space="10"/>
          <w:right w:val="dashed" w:color="AAAAAA" w:sz="6" w:space="10"/>
        </w:pBdr>
        <w:spacing w:after="200"/>
        <w:jc w:val="center"/>
      </w:pPr>
      <w:r>
        <w:rPr>
          <w:i/>
          <w:iCs/>
          <w:color w:val="888888"/>
          <w:sz w:val="22"/>
          <w:szCs w:val="22"/>
        </w:rPr>
        <w:t xml:space="preserve">[ INSERIR AQUI A IMAGEM DA FIGURA 1 ]</w:t>
      </w:r>
    </w:p>
    <w:p>
      <w:pPr>
        <w:pStyle w:val="Heading2"/>
      </w:pPr>
      <w:r>
        <w:t xml:space="preserve">6.2. Papéis de utilizador</w:t>
      </w:r>
    </w:p>
    <w:p>
      <w:pPr>
        <w:spacing w:after="120" w:line="360"/>
        <w:ind w:firstLine="709"/>
        <w:jc w:val="both"/>
      </w:pPr>
      <w:r>
        <w:t xml:space="preserve">Foram implementados dois papéis: o Gestor, que administra o armazém através do painel web, e o Operador, que executa as tarefas de recolha através da aplicação móvel. O papel é determinado no momento do registo e condiciona o encaminhamento e as operações disponíveis.</w:t>
      </w:r>
    </w:p>
    <w:p>
      <w:pPr>
        <w:pStyle w:val="Heading2"/>
      </w:pPr>
      <w:r>
        <w:t xml:space="preserve">6.3. Isolamento de dados por armazém</w:t>
      </w:r>
    </w:p>
    <w:p>
      <w:pPr>
        <w:spacing w:after="120" w:line="360"/>
        <w:ind w:firstLine="709"/>
        <w:jc w:val="both"/>
      </w:pPr>
      <w:r>
        <w:t xml:space="preserve">Um princípio central do sistema é o isolamento entre armazéns: cada utilizador só acede e manipula os dados do seu próprio armazém. Para o garantir, o identificador do armazém é obtido sempre a partir do token de autenticação, e nunca de dados enviados pelo cliente, impedindo que um utilizador autenticado aceda ou altere dados de outro armazém.</w:t>
      </w:r>
    </w:p>
    <w:p>
      <w:pPr>
        <w:pStyle w:val="Heading2"/>
      </w:pPr>
      <w:r>
        <w:t xml:space="preserve">6.4. Dificuldades e soluções</w:t>
      </w:r>
    </w:p>
    <w:p>
      <w:pPr>
        <w:spacing w:after="120" w:line="360"/>
        <w:ind w:firstLine="709"/>
        <w:jc w:val="both"/>
      </w:pPr>
      <w:r>
        <w:t xml:space="preserve">Numa primeira versão, o armazém era indicado pelo cliente em cada pedido, o que permitiria, em teoria, aceder a dados de outro armazém alterando esse valor. A solução passou por derivar o armazém exclusivamente do token e por validar, nas operações de remoção e conclusão, que o recurso pertence ao armazém do utilizador.</w:t>
      </w:r>
    </w:p>
    <w:p>
      <w:pPr>
        <w:pStyle w:val="Heading2"/>
      </w:pPr>
      <w:r>
        <w:t xml:space="preserve">6.5. Resultados</w:t>
      </w:r>
    </w:p>
    <w:p>
      <w:pPr>
        <w:spacing w:after="120" w:line="360"/>
        <w:ind w:firstLine="709"/>
        <w:jc w:val="both"/>
      </w:pPr>
      <w:r>
        <w:t xml:space="preserve">Os testes confirmaram que um utilizador não consegue ler nem alterar dados de outro armazém, mesmo manipulando os parâmetros dos pedidos, e que as rotas sensíveis rejeitam pedidos sem token válido.</w:t>
      </w:r>
    </w:p>
    <w:p>
      <w:pPr>
        <w:pStyle w:val="Heading1"/>
        <w:pageBreakBefore/>
      </w:pPr>
      <w:r>
        <w:t xml:space="preserve">7. Gestão do Armazém e Mapa Interativo</w:t>
      </w:r>
    </w:p>
    <w:p>
      <w:pPr>
        <w:pStyle w:val="Heading2"/>
      </w:pPr>
      <w:r>
        <w:t xml:space="preserve">7.1. Representação do mapa</w:t>
      </w:r>
    </w:p>
    <w:p>
      <w:pPr>
        <w:spacing w:after="120" w:line="360"/>
        <w:ind w:firstLine="709"/>
        <w:jc w:val="both"/>
      </w:pPr>
      <w:r>
        <w:t xml:space="preserve">O painel do gestor apresenta o armazém como uma grelha, em que cada célula corresponde a uma posição. As prateleiras são assinaladas e, ao serem selecionadas, mostram os produtos que contêm. As dimensões da grelha são configuráveis e ajustam-se automaticamente à distribuição das prateleiras existentes.</w:t>
      </w:r>
    </w:p>
    <w:p>
      <w:pPr>
        <w:spacing w:after="60" w:before="160"/>
        <w:jc w:val="left"/>
      </w:pPr>
      <w:r>
        <w:rPr>
          <w:i/>
          <w:iCs/>
          <w:sz w:val="22"/>
          <w:szCs w:val="22"/>
        </w:rPr>
        <w:t xml:space="preserve">Figura 2. Painel do gestor com o mapa interativo do armazém e o veículo automatizado</w:t>
      </w:r>
    </w:p>
    <w:p>
      <w:pPr>
        <w:pBdr>
          <w:top w:val="dashed" w:color="AAAAAA" w:sz="6" w:space="10"/>
          <w:bottom w:val="dashed" w:color="AAAAAA" w:sz="6" w:space="10"/>
          <w:left w:val="dashed" w:color="AAAAAA" w:sz="6" w:space="10"/>
          <w:right w:val="dashed" w:color="AAAAAA" w:sz="6" w:space="10"/>
        </w:pBdr>
        <w:spacing w:after="200"/>
        <w:jc w:val="center"/>
      </w:pPr>
      <w:r>
        <w:rPr>
          <w:i/>
          <w:iCs/>
          <w:color w:val="888888"/>
          <w:sz w:val="22"/>
          <w:szCs w:val="22"/>
        </w:rPr>
        <w:t xml:space="preserve">[ INSERIR AQUI A IMAGEM DA FIGURA 2 ]</w:t>
      </w:r>
    </w:p>
    <w:p>
      <w:pPr>
        <w:pStyle w:val="Heading2"/>
      </w:pPr>
      <w:r>
        <w:t xml:space="preserve">7.2. Criação e importação de plantas</w:t>
      </w:r>
    </w:p>
    <w:p>
      <w:pPr>
        <w:spacing w:after="120" w:line="360"/>
        <w:ind w:firstLine="709"/>
        <w:jc w:val="both"/>
      </w:pPr>
      <w:r>
        <w:t xml:space="preserve">As prateleiras podem ser criadas individualmente, indicando a posição e o número de níveis, ou importadas em conjunto a partir de um ficheiro de planta em formato JSON. A importação substitui o layout anterior — removendo, numa transação, as prateleiras e produtos antigos — de modo a evitar sobreposições.</w:t>
      </w:r>
    </w:p>
    <w:p>
      <w:pPr>
        <w:pStyle w:val="Heading2"/>
      </w:pPr>
      <w:r>
        <w:t xml:space="preserve">7.3. Simulação do veículo automatizado (AGV)</w:t>
      </w:r>
    </w:p>
    <w:p>
      <w:pPr>
        <w:spacing w:after="120" w:line="360"/>
        <w:ind w:firstLine="709"/>
        <w:jc w:val="both"/>
      </w:pPr>
      <w:r>
        <w:t xml:space="preserve">O sistema representa um veículo automatizado que se desloca pelo mapa até à prateleira pretendida. O percurso é calculado pelo algoritmo BFS, que determina o caminho mais curto desviando-se das prateleiras, e é apresentado através de uma animação. Sempre que o mapa é redesenhado, a posição do veículo é validada, sendo reposicionado para uma célula livre caso fique sobre uma prateleira ou fora dos limites.</w:t>
      </w:r>
    </w:p>
    <w:p>
      <w:pPr>
        <w:pStyle w:val="Heading2"/>
      </w:pPr>
      <w:r>
        <w:t xml:space="preserve">7.4. Resultados</w:t>
      </w:r>
    </w:p>
    <w:p>
      <w:pPr>
        <w:spacing w:after="120" w:line="360"/>
        <w:ind w:firstLine="709"/>
        <w:jc w:val="both"/>
      </w:pPr>
      <w:r>
        <w:t xml:space="preserve">O mapa reflete em tempo real o estado do armazém e a simulação do veículo demonstra, de forma visual, a viabilidade de um percurso automatizado de recolha.</w:t>
      </w:r>
    </w:p>
    <w:p>
      <w:pPr>
        <w:pStyle w:val="Heading1"/>
        <w:pageBreakBefore/>
      </w:pPr>
      <w:r>
        <w:t xml:space="preserve">8. Gestão de Stock e Ordens de Picking</w:t>
      </w:r>
    </w:p>
    <w:p>
      <w:pPr>
        <w:pStyle w:val="Heading2"/>
      </w:pPr>
      <w:r>
        <w:t xml:space="preserve">8.1. Entrada de produtos</w:t>
      </w:r>
    </w:p>
    <w:p>
      <w:pPr>
        <w:spacing w:after="120" w:line="360"/>
        <w:ind w:firstLine="709"/>
        <w:jc w:val="both"/>
      </w:pPr>
      <w:r>
        <w:t xml:space="preserve">O gestor dá entrada de produtos indicando o nome, a posição e a quantidade. Cada unidade corresponde a um registo na tabela de produtos, sendo as várias unidades inseridas numa única operação. O nível de stock de um produto corresponde, assim, ao número de registos existentes para esse produto no armazém.</w:t>
      </w:r>
    </w:p>
    <w:p>
      <w:pPr>
        <w:pStyle w:val="Heading2"/>
      </w:pPr>
      <w:r>
        <w:t xml:space="preserve">8.2. Geração de ordens com validação de stock</w:t>
      </w:r>
    </w:p>
    <w:p>
      <w:pPr>
        <w:spacing w:after="120" w:line="360"/>
        <w:ind w:firstLine="709"/>
        <w:jc w:val="both"/>
      </w:pPr>
      <w:r>
        <w:t xml:space="preserve">As ordens de picking são geradas através de um simulador que reproduz a chegada de encomendas de um sistema ERP. Antes de criar cada ordem, o sistema valida a disponibilidade, calculando o stock disponível como a diferença entre o stock físico e as quantidades já comprometidas em encomendas pendentes. Esta verificação impede a sobre-alocação de produtos.</w:t>
      </w:r>
    </w:p>
    <w:p>
      <w:pPr>
        <w:spacing w:after="60" w:before="160"/>
        <w:jc w:val="left"/>
      </w:pPr>
      <w:r>
        <w:rPr>
          <w:i/>
          <w:iCs/>
          <w:sz w:val="22"/>
          <w:szCs w:val="22"/>
        </w:rPr>
        <w:t xml:space="preserve">Figura 3. Formulário de entrada de produtos e simulador de ordens de picking</w:t>
      </w:r>
    </w:p>
    <w:p>
      <w:pPr>
        <w:pBdr>
          <w:top w:val="dashed" w:color="AAAAAA" w:sz="6" w:space="10"/>
          <w:bottom w:val="dashed" w:color="AAAAAA" w:sz="6" w:space="10"/>
          <w:left w:val="dashed" w:color="AAAAAA" w:sz="6" w:space="10"/>
          <w:right w:val="dashed" w:color="AAAAAA" w:sz="6" w:space="10"/>
        </w:pBdr>
        <w:spacing w:after="200"/>
        <w:jc w:val="center"/>
      </w:pPr>
      <w:r>
        <w:rPr>
          <w:i/>
          <w:iCs/>
          <w:color w:val="888888"/>
          <w:sz w:val="22"/>
          <w:szCs w:val="22"/>
        </w:rPr>
        <w:t xml:space="preserve">[ INSERIR AQUI A IMAGEM DA FIGURA 3 ]</w:t>
      </w:r>
    </w:p>
    <w:p>
      <w:pPr>
        <w:pStyle w:val="Heading2"/>
      </w:pPr>
      <w:r>
        <w:t xml:space="preserve">8.3. Conclusão de recolhas</w:t>
      </w:r>
    </w:p>
    <w:p>
      <w:pPr>
        <w:spacing w:after="120" w:line="360"/>
        <w:ind w:firstLine="709"/>
        <w:jc w:val="both"/>
      </w:pPr>
      <w:r>
        <w:t xml:space="preserve">Ao concluir uma tarefa, o operador desencadeia a baixa de stock: o sistema verifica a existência das unidades, remove-as e atualiza o estado da encomenda para expedida. Caso o stock seja insuficiente, a encomenda é marcada como rutura. Todas estas operações ocorrem dentro de uma transação, garantindo a consistência dos dados.</w:t>
      </w:r>
    </w:p>
    <w:p>
      <w:pPr>
        <w:pStyle w:val="Heading2"/>
      </w:pPr>
      <w:r>
        <w:t xml:space="preserve">8.4. Dificuldades e soluções</w:t>
      </w:r>
    </w:p>
    <w:p>
      <w:pPr>
        <w:spacing w:after="120" w:line="360"/>
        <w:ind w:firstLine="709"/>
        <w:jc w:val="both"/>
      </w:pPr>
      <w:r>
        <w:t xml:space="preserve">Foi identificado um problema de sobre-alocação, em que era possível gerar mais encomendas do que as unidades existentes, uma vez que a validação não considerava as encomendas pendentes. A correção passou por contabilizar essas encomendas no cálculo do stock disponível. Corrigiu-se igualmente a listagem de tarefas para que uma encomenda pendente sem stock deixasse de desaparecer silenciosamente.</w:t>
      </w:r>
    </w:p>
    <w:p>
      <w:pPr>
        <w:pStyle w:val="Heading2"/>
      </w:pPr>
      <w:r>
        <w:t xml:space="preserve">8.5. Resultados</w:t>
      </w:r>
    </w:p>
    <w:p>
      <w:pPr>
        <w:spacing w:after="120" w:line="360"/>
        <w:ind w:firstLine="709"/>
        <w:jc w:val="both"/>
      </w:pPr>
      <w:r>
        <w:t xml:space="preserve">Após as correções, o sistema deixou de permitir encomendar mais do que o disponível e o fluxo de conclusão passou a atualizar de forma consistente o stock e o estado das encomendas, como confirmado nos testes.</w:t>
      </w:r>
    </w:p>
    <w:p>
      <w:pPr>
        <w:pStyle w:val="Heading1"/>
        <w:pageBreakBefore/>
      </w:pPr>
      <w:r>
        <w:t xml:space="preserve">9. Aplicação Móvel do Operador</w:t>
      </w:r>
    </w:p>
    <w:p>
      <w:pPr>
        <w:pStyle w:val="Heading2"/>
      </w:pPr>
      <w:r>
        <w:t xml:space="preserve">9.1. Funcionalidades</w:t>
      </w:r>
    </w:p>
    <w:p>
      <w:pPr>
        <w:spacing w:after="120" w:line="360"/>
        <w:ind w:firstLine="709"/>
        <w:jc w:val="both"/>
      </w:pPr>
      <w:r>
        <w:t xml:space="preserve">A aplicação móvel, desenvolvida em Flutter, permite ao operador iniciar sessão, consultar a lista de tarefas pendentes do seu armazém — cada uma com o produto a recolher e a respetiva localização — e confirmar a recolha de cada produto, desencadeando a baixa de stock no servidor.</w:t>
      </w:r>
    </w:p>
    <w:p>
      <w:pPr>
        <w:spacing w:after="60" w:before="160"/>
        <w:jc w:val="left"/>
      </w:pPr>
      <w:r>
        <w:rPr>
          <w:i/>
          <w:iCs/>
          <w:sz w:val="22"/>
          <w:szCs w:val="22"/>
        </w:rPr>
        <w:t xml:space="preserve">Figura 4. Aplicação móvel do operador: início de sessão e lista de tarefas de picking</w:t>
      </w:r>
    </w:p>
    <w:p>
      <w:pPr>
        <w:pBdr>
          <w:top w:val="dashed" w:color="AAAAAA" w:sz="6" w:space="10"/>
          <w:bottom w:val="dashed" w:color="AAAAAA" w:sz="6" w:space="10"/>
          <w:left w:val="dashed" w:color="AAAAAA" w:sz="6" w:space="10"/>
          <w:right w:val="dashed" w:color="AAAAAA" w:sz="6" w:space="10"/>
        </w:pBdr>
        <w:spacing w:after="200"/>
        <w:jc w:val="center"/>
      </w:pPr>
      <w:r>
        <w:rPr>
          <w:i/>
          <w:iCs/>
          <w:color w:val="888888"/>
          <w:sz w:val="22"/>
          <w:szCs w:val="22"/>
        </w:rPr>
        <w:t xml:space="preserve">[ INSERIR AQUI A IMAGEM DA FIGURA 4 ]</w:t>
      </w:r>
    </w:p>
    <w:p>
      <w:pPr>
        <w:pStyle w:val="Heading2"/>
      </w:pPr>
      <w:r>
        <w:t xml:space="preserve">9.2. Persistência de sessão</w:t>
      </w:r>
    </w:p>
    <w:p>
      <w:pPr>
        <w:spacing w:after="120" w:line="360"/>
        <w:ind w:firstLine="709"/>
        <w:jc w:val="both"/>
      </w:pPr>
      <w:r>
        <w:t xml:space="preserve">Para melhorar a experiência de utilização, a aplicação guarda o token de autenticação no dispositivo. Assim, o operador permanece autenticado entre utilizações, sendo apenas reencaminhado para o início de sessão quando termina sessão explicitamente ou quando o token expira.</w:t>
      </w:r>
    </w:p>
    <w:p>
      <w:pPr>
        <w:pStyle w:val="Heading2"/>
      </w:pPr>
      <w:r>
        <w:t xml:space="preserve">9.3. Resultados</w:t>
      </w:r>
    </w:p>
    <w:p>
      <w:pPr>
        <w:spacing w:after="120" w:line="360"/>
        <w:ind w:firstLine="709"/>
        <w:jc w:val="both"/>
      </w:pPr>
      <w:r>
        <w:t xml:space="preserve">A aplicação comunica corretamente com a API, apresenta as tarefas do armazém do operador e reflete de imediato o resultado de cada recolha, mantendo a sessão ativa entre utilizações.</w:t>
      </w:r>
    </w:p>
    <w:p>
      <w:pPr>
        <w:pStyle w:val="Heading1"/>
        <w:pageBreakBefore/>
      </w:pPr>
      <w:r>
        <w:t xml:space="preserve">10. Testes de Validação</w:t>
      </w:r>
    </w:p>
    <w:p>
      <w:pPr>
        <w:pStyle w:val="Heading2"/>
      </w:pPr>
      <w:r>
        <w:t xml:space="preserve">10.1. Testes funcionais</w:t>
      </w:r>
    </w:p>
    <w:p>
      <w:pPr>
        <w:spacing w:after="120" w:line="360"/>
        <w:ind w:firstLine="709"/>
        <w:jc w:val="both"/>
      </w:pPr>
      <w:r>
        <w:t xml:space="preserve">Ao longo do desenvolvimento foram realizados testes funcionais às principais operações do sistema, recorrendo a pedidos diretos à API para validar o comportamento do servidor de forma independente das interfaces. A Tabela 2 resume os principais casos de teste e os resultados obtidos.</w:t>
      </w:r>
    </w:p>
    <w:p>
      <w:pPr>
        <w:spacing w:after="60" w:before="120"/>
        <w:jc w:val="left"/>
      </w:pPr>
      <w:r>
        <w:rPr>
          <w:i/>
          <w:iCs/>
          <w:sz w:val="22"/>
          <w:szCs w:val="22"/>
        </w:rPr>
        <w:t xml:space="preserve">Tabela 2. Casos de teste funcionais e resultados obtidos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80"/>
        <w:gridCol w:w="2580"/>
      </w:tblGrid>
      <w:tr>
        <w:trPr>
          <w:tblHeader/>
        </w:trPr>
        <w:tc>
          <w:tcPr>
            <w:tcW w:type="dxa" w:w="3400"/>
            <w:tcBorders>
              <w:top w:val="single" w:color="AAAAAA" w:sz="1"/>
              <w:left w:val="single" w:color="AAAAAA" w:sz="1"/>
              <w:bottom w:val="single" w:color="AAAAAA" w:sz="1"/>
              <w:right w:val="single" w:color="AAAAAA" w:sz="1"/>
            </w:tcBorders>
            <w:shd w:fill="1D3557" w:val="clear"/>
            <w:tcMar>
              <w:top w:type="dxa" w:w="60"/>
              <w:left w:type="dxa" w:w="100"/>
              <w:bottom w:type="dxa" w:w="60"/>
              <w:right w:type="dxa" w:w="100"/>
            </w:tcMar>
          </w:tcPr>
          <w:p>
            <w:r>
              <w:rPr>
                <w:b/>
                <w:bCs/>
                <w:color w:val="FFFFFF"/>
                <w:sz w:val="20"/>
                <w:szCs w:val="20"/>
              </w:rPr>
              <w:t xml:space="preserve">Caso de teste</w:t>
            </w:r>
          </w:p>
        </w:tc>
        <w:tc>
          <w:tcPr>
            <w:tcW w:type="dxa" w:w="3380"/>
            <w:tcBorders>
              <w:top w:val="single" w:color="AAAAAA" w:sz="1"/>
              <w:left w:val="single" w:color="AAAAAA" w:sz="1"/>
              <w:bottom w:val="single" w:color="AAAAAA" w:sz="1"/>
              <w:right w:val="single" w:color="AAAAAA" w:sz="1"/>
            </w:tcBorders>
            <w:shd w:fill="1D3557" w:val="clear"/>
            <w:tcMar>
              <w:top w:type="dxa" w:w="60"/>
              <w:left w:type="dxa" w:w="100"/>
              <w:bottom w:type="dxa" w:w="60"/>
              <w:right w:type="dxa" w:w="100"/>
            </w:tcMar>
          </w:tcPr>
          <w:p>
            <w:r>
              <w:rPr>
                <w:b/>
                <w:bCs/>
                <w:color w:val="FFFFFF"/>
                <w:sz w:val="20"/>
                <w:szCs w:val="20"/>
              </w:rPr>
              <w:t xml:space="preserve">Resultado esperado</w:t>
            </w:r>
          </w:p>
        </w:tc>
        <w:tc>
          <w:tcPr>
            <w:tcW w:type="dxa" w:w="2580"/>
            <w:tcBorders>
              <w:top w:val="single" w:color="AAAAAA" w:sz="1"/>
              <w:left w:val="single" w:color="AAAAAA" w:sz="1"/>
              <w:bottom w:val="single" w:color="AAAAAA" w:sz="1"/>
              <w:right w:val="single" w:color="AAAAAA" w:sz="1"/>
            </w:tcBorders>
            <w:shd w:fill="1D3557" w:val="clear"/>
            <w:tcMar>
              <w:top w:type="dxa" w:w="60"/>
              <w:left w:type="dxa" w:w="100"/>
              <w:bottom w:type="dxa" w:w="60"/>
              <w:right w:type="dxa" w:w="100"/>
            </w:tcMar>
          </w:tcPr>
          <w:p>
            <w:r>
              <w:rPr>
                <w:b/>
                <w:bCs/>
                <w:color w:val="FFFFFF"/>
                <w:sz w:val="20"/>
                <w:szCs w:val="20"/>
              </w:rPr>
              <w:t xml:space="preserve">Resultado</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Acesso a rota sensível sem token</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Pedido rejeitado (401)</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Conforme</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Acesso a dados de outro armazém</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Acesso negado / dados isolados</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Conforme</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Encomendar mais do que o stock disponível</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Operação bloqueada</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Conforme</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Concluir tarefa de picking</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Stock e estado atualizados</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Conforme</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Importar nova planta de armazém</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Layout anterior substituído</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20"/>
                <w:szCs w:val="20"/>
              </w:rPr>
              <w:t xml:space="preserve">Conforme</w:t>
            </w:r>
          </w:p>
        </w:tc>
      </w:tr>
    </w:tbl>
    <w:p>
      <w:pPr>
        <w:pStyle w:val="Heading2"/>
      </w:pPr>
      <w:r>
        <w:t xml:space="preserve">10.2. Síntese</w:t>
      </w:r>
    </w:p>
    <w:p>
      <w:pPr>
        <w:spacing w:after="120" w:line="360"/>
        <w:ind w:firstLine="709"/>
        <w:jc w:val="both"/>
      </w:pPr>
      <w:r>
        <w:t xml:space="preserve">Os testes confirmaram o comportamento esperado em todos os cenários, validando, em particular, a segurança, o isolamento entre armazéns e a correção do controlo de stock e do fluxo de picking.</w:t>
      </w:r>
    </w:p>
    <w:p>
      <w:pPr>
        <w:pStyle w:val="Heading1"/>
        <w:pageBreakBefore/>
      </w:pPr>
      <w:r>
        <w:t xml:space="preserve">11. Conclusões</w:t>
      </w:r>
    </w:p>
    <w:p>
      <w:pPr>
        <w:spacing w:after="120" w:line="360"/>
        <w:ind w:firstLine="709"/>
        <w:jc w:val="both"/>
      </w:pPr>
      <w:r>
        <w:t xml:space="preserve">O projeto cumpriu os objetivos a que se propôs, resultando no BoxToCar, um sistema de gestão de armazém funcional, seguro e integrado. Foram concretizados os três componentes previstos — a API, o painel web do gestor e a aplicação móvel do operador — e todas as funcionalidades definidas, desde a gestão de armazéns e do mapa interativo até ao controlo de stock e à execução das ordens de picking.</w:t>
      </w:r>
    </w:p>
    <w:p>
      <w:pPr>
        <w:spacing w:after="120" w:line="360"/>
        <w:ind w:firstLine="709"/>
        <w:jc w:val="both"/>
      </w:pPr>
      <w:r>
        <w:t xml:space="preserve">Do ponto de vista das dificuldades, destacam-se a correção da sobre-alocação de stock, o reposicionamento do veículo automatizado e o reforço iterativo da segurança, garantindo o isolamento entre armazéns. Cada uma destas dificuldades constituiu uma oportunidade de aprendizagem e de melhoria da solução.</w:t>
      </w:r>
    </w:p>
    <w:p>
      <w:pPr>
        <w:spacing w:after="120" w:line="360"/>
        <w:ind w:firstLine="709"/>
        <w:jc w:val="both"/>
      </w:pPr>
      <w:r>
        <w:t xml:space="preserve">Como melhorias futuras, identificam-se a validação de dados mais exaustiva nas rotas da API, a implementação de uma loja para o cliente final, a introdução de relatórios e indicadores de desempenho e a reorganização do backend em módulos. Globalmente, o projeto permitiu consolidar, de forma integrada e com um resultado tangível, conhecimentos de desenvolvimento web, programação móvel, bases de dados e segurança informática, constituindo um contributo determinante para a minha formação enquanto futuro engenheiro informático.</w:t>
      </w:r>
    </w:p>
    <w:p>
      <w:pPr>
        <w:pStyle w:val="Heading1"/>
        <w:pageBreakBefore/>
      </w:pPr>
      <w:r>
        <w:t xml:space="preserve">Referências Bibliográficas</w:t>
      </w:r>
    </w:p>
    <w:p>
      <w:pPr>
        <w:spacing w:after="120" w:line="360"/>
        <w:ind w:firstLine="709"/>
        <w:jc w:val="both"/>
      </w:pPr>
      <w:r>
        <w:t xml:space="preserve">Express. (2024). Express — Node.js web application framework. Obtido de https://expressjs.com</w:t>
      </w:r>
    </w:p>
    <w:p>
      <w:pPr>
        <w:spacing w:after="120" w:line="360"/>
        <w:ind w:firstLine="709"/>
        <w:jc w:val="both"/>
      </w:pPr>
      <w:r>
        <w:t xml:space="preserve">Flutter. (2024). Flutter documentation. Obtido de https://docs.flutter.dev</w:t>
      </w:r>
    </w:p>
    <w:p>
      <w:pPr>
        <w:spacing w:after="120" w:line="360"/>
        <w:ind w:firstLine="709"/>
        <w:jc w:val="both"/>
      </w:pPr>
      <w:r>
        <w:t xml:space="preserve">MySQL. (2024). MySQL 8.0 Reference Manual. Obtido de https://dev.mysql.com/doc/</w:t>
      </w:r>
    </w:p>
    <w:p>
      <w:pPr>
        <w:spacing w:after="120" w:line="360"/>
        <w:ind w:firstLine="709"/>
        <w:jc w:val="both"/>
      </w:pPr>
      <w:r>
        <w:t xml:space="preserve">Node.js. (2024). Node.js documentation. Obtido de https://nodejs.org/docs/</w:t>
      </w:r>
    </w:p>
    <w:p>
      <w:pPr>
        <w:spacing w:after="120" w:line="360"/>
        <w:ind w:firstLine="709"/>
        <w:jc w:val="both"/>
      </w:pPr>
      <w:r>
        <w:t xml:space="preserve">OpenJS Foundation. (2024). jsonwebtoken — JSON Web Token implementation for Node.js. Obtido de https://github.com/auth0/node-jsonwebtoken</w:t>
      </w:r>
    </w:p>
    <w:p>
      <w:pPr>
        <w:spacing w:after="120" w:line="360"/>
        <w:ind w:firstLine="709"/>
        <w:jc w:val="both"/>
      </w:pPr>
      <w:r>
        <w:t xml:space="preserve">Provos, N., &amp; Mazières, D. (1999). A Future-Adaptable Password Scheme. Proceedings of the USENIX Annual Technical Conference, 81-91.</w:t>
      </w:r>
    </w:p>
    <w:p>
      <w:pPr>
        <w:spacing w:after="120" w:line="360"/>
        <w:ind w:firstLine="709"/>
        <w:jc w:val="both"/>
      </w:pPr>
      <w:r>
        <w:t xml:space="preserve">Richardson, L., &amp; Ruby, S. (2007). RESTful Web Services. O'Reilly Media.</w:t>
      </w:r>
    </w:p>
    <w:p>
      <w:pPr>
        <w:pStyle w:val="Heading1"/>
        <w:pageBreakBefore/>
      </w:pPr>
      <w:r>
        <w:t xml:space="preserve">Glossário</w:t>
      </w:r>
    </w:p>
    <w:p>
      <w:pPr>
        <w:spacing w:after="80"/>
      </w:pPr>
      <w:r>
        <w:rPr>
          <w:b/>
          <w:bCs/>
        </w:rPr>
        <w:t xml:space="preserve">AGV — </w:t>
      </w:r>
      <w:r>
        <w:t xml:space="preserve">Veículo de guiado automático que se desloca de forma autónoma num armazém para transportar ou recolher mercadoria.</w:t>
      </w:r>
    </w:p>
    <w:p>
      <w:pPr>
        <w:spacing w:after="80"/>
      </w:pPr>
      <w:r>
        <w:rPr>
          <w:b/>
          <w:bCs/>
        </w:rPr>
        <w:t xml:space="preserve">Picking — </w:t>
      </w:r>
      <w:r>
        <w:t xml:space="preserve">Processo de recolha física dos produtos de uma encomenda a partir das suas localizações no armazém.</w:t>
      </w:r>
    </w:p>
    <w:p>
      <w:pPr>
        <w:spacing w:after="80"/>
      </w:pPr>
      <w:r>
        <w:rPr>
          <w:b/>
          <w:bCs/>
        </w:rPr>
        <w:t xml:space="preserve">Stock — </w:t>
      </w:r>
      <w:r>
        <w:t xml:space="preserve">Conjunto de unidades de produtos disponíveis fisicamente no armazém.</w:t>
      </w:r>
    </w:p>
    <w:p>
      <w:pPr>
        <w:spacing w:after="80"/>
      </w:pPr>
      <w:r>
        <w:rPr>
          <w:b/>
          <w:bCs/>
        </w:rPr>
        <w:t xml:space="preserve">Token — </w:t>
      </w:r>
      <w:r>
        <w:t xml:space="preserve">Credencial digital assinada, emitida no início de sessão, que identifica e autoriza o utilizador nos pedidos seguintes.</w:t>
      </w:r>
    </w:p>
    <w:p>
      <w:pPr>
        <w:spacing w:after="80"/>
      </w:pPr>
      <w:r>
        <w:rPr>
          <w:b/>
          <w:bCs/>
        </w:rPr>
        <w:t xml:space="preserve">WMS — </w:t>
      </w:r>
      <w:r>
        <w:t xml:space="preserve">Sistema informático de gestão das operações de um armazém.</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2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line="3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955d08bfead1d8dfd8ac24dd2e20753a9093d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2026-06-26T15:25:04.083Z</dcterms:created>
  <dcterms:modified xsi:type="dcterms:W3CDTF">2026-06-26T15:25:04.083Z</dcterms:modified>
</cp:coreProperties>
</file>

<file path=docProps/custom.xml><?xml version="1.0" encoding="utf-8"?>
<Properties xmlns="http://schemas.openxmlformats.org/officeDocument/2006/custom-properties" xmlns:vt="http://schemas.openxmlformats.org/officeDocument/2006/docPropsVTypes"/>
</file>