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5C625E">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5C625E">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5C625E">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5C625E">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5C625E">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5C625E">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5C625E">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A62E6D"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A62E6D"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5C625E" w:rsidRPr="00FA7AEF" w:rsidRDefault="005C625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C625E" w:rsidRPr="00EB6E31" w:rsidRDefault="005C625E"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5C625E" w:rsidRPr="00FA7AEF" w:rsidRDefault="005C625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C625E" w:rsidRPr="00EB6E31" w:rsidRDefault="005C625E"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C625E" w:rsidRPr="00EB6E31" w:rsidRDefault="005C625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C625E" w:rsidRPr="00EB6E31" w:rsidRDefault="005C625E"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5C625E" w:rsidRPr="006351D4" w:rsidRDefault="005C625E"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5C625E" w:rsidRPr="006351D4" w:rsidRDefault="005C625E"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5C625E" w:rsidRDefault="005C625E"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5C625E" w:rsidRDefault="005C625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5C625E" w:rsidRDefault="005C625E"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239412"/>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239413"/>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66895"/>
      <w:r>
        <w:t xml:space="preserve">Table </w:t>
      </w:r>
      <w:fldSimple w:instr=" SEQ Table \* ARABIC ">
        <w:r>
          <w:rPr>
            <w:noProof/>
          </w:rPr>
          <w:t>2</w:t>
        </w:r>
      </w:fldSimple>
      <w:bookmarkEnd w:id="41"/>
      <w:r>
        <w:t xml:space="preserve"> - Examples of relations</w:t>
      </w:r>
      <w:bookmarkEnd w:id="42"/>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239414"/>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166896"/>
      <w:r>
        <w:t xml:space="preserve">Table </w:t>
      </w:r>
      <w:fldSimple w:instr=" SEQ Table \* ARABIC ">
        <w:r w:rsidR="0020240B">
          <w:rPr>
            <w:noProof/>
          </w:rPr>
          <w:t>3</w:t>
        </w:r>
      </w:fldSimple>
      <w:bookmarkEnd w:id="44"/>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A62E6D"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A62E6D"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A62E6D"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A62E6D"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A62E6D"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A62E6D"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A62E6D"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A62E6D"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239415"/>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239417"/>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239418"/>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239419"/>
      <w:r>
        <w:rPr>
          <w:lang w:val="en-GB"/>
        </w:rPr>
        <w:t>Ontologies in Building and Construction Sector – E-Cognos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2" w:name="_Toc417239420"/>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166893"/>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239421"/>
      <w:r>
        <w:rPr>
          <w:lang w:val="en-GB"/>
        </w:rPr>
        <w:t>Creation of an ontology in B&amp;C – E-Cognos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56ECBBA9" w:rsidR="006B44CA" w:rsidRPr="00F10401" w:rsidRDefault="00B27FC6" w:rsidP="00D40433">
      <w:pPr>
        <w:rPr>
          <w:lang w:val="en-GB"/>
        </w:rPr>
      </w:pPr>
      <w:r>
        <w:rPr>
          <w:lang w:val="en-GB"/>
        </w:rPr>
        <w:t>One of its main pill</w:t>
      </w:r>
      <w:r w:rsidR="00B57DC6">
        <w:rPr>
          <w:lang w:val="en-GB"/>
        </w:rPr>
        <w:t xml:space="preserve">ars was the e-COGNOS ontology. </w:t>
      </w:r>
      <w:r w:rsidR="006B44CA">
        <w:rPr>
          <w:lang w:val="en-GB"/>
        </w:rPr>
        <w:t xml:space="preserve">E-COGNOS ontology was developed motivated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635A817A" w14:textId="77777777" w:rsidR="0073365A" w:rsidRDefault="0073365A" w:rsidP="0073365A">
      <w:pPr>
        <w:keepNext/>
        <w:jc w:val="center"/>
      </w:pPr>
      <w:r>
        <w:rPr>
          <w:noProof/>
          <w:lang w:eastAsia="pt-PT"/>
        </w:rPr>
        <w:lastRenderedPageBreak/>
        <w:drawing>
          <wp:inline distT="0" distB="0" distL="0" distR="0" wp14:anchorId="15E93B4F" wp14:editId="4C737788">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4">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6709BC89" w14:textId="56AB5BC3" w:rsidR="001D512C" w:rsidRPr="0044164E" w:rsidRDefault="0073365A" w:rsidP="0073365A">
      <w:pPr>
        <w:pStyle w:val="Legenda"/>
        <w:jc w:val="center"/>
        <w:rPr>
          <w:sz w:val="20"/>
          <w:lang w:val="en-GB"/>
        </w:rPr>
      </w:pPr>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5A58A7" w:rsidRPr="0044164E">
        <w:rPr>
          <w:noProof/>
          <w:sz w:val="20"/>
          <w:lang w:val="en-GB"/>
        </w:rPr>
        <w:t>8</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r>
        <w:rPr>
          <w:sz w:val="20"/>
        </w:rPr>
        <w:fldChar w:fldCharType="end"/>
      </w:r>
    </w:p>
    <w:p w14:paraId="43BC03B7" w14:textId="103A379E" w:rsidR="00D40433" w:rsidRDefault="00D40433" w:rsidP="001D512C">
      <w:pPr>
        <w:jc w:val="center"/>
        <w:rPr>
          <w:lang w:val="en-GB"/>
        </w:rPr>
      </w:pP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r>
        <w:rPr>
          <w:lang w:val="en-GB"/>
        </w:rPr>
        <w:t xml:space="preserve">E-Cognos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p w14:paraId="4F1EDE40" w14:textId="77777777" w:rsidR="005A58A7" w:rsidRDefault="005A58A7" w:rsidP="005A58A7">
      <w:pPr>
        <w:keepNext/>
        <w:jc w:val="center"/>
      </w:pPr>
      <w:r>
        <w:rPr>
          <w:noProof/>
          <w:lang w:eastAsia="pt-PT"/>
        </w:rPr>
        <w:drawing>
          <wp:inline distT="0" distB="0" distL="0" distR="0" wp14:anchorId="130012A6" wp14:editId="04D727B6">
            <wp:extent cx="4227195" cy="1819910"/>
            <wp:effectExtent l="0" t="0" r="1905"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7195" cy="1819910"/>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6" w:name="_Ref417340957"/>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6"/>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r>
        <w:rPr>
          <w:lang w:val="en-GB"/>
        </w:rPr>
        <w:fldChar w:fldCharType="end"/>
      </w:r>
    </w:p>
    <w:p w14:paraId="79537D6F" w14:textId="77777777" w:rsidR="005A58A7" w:rsidRDefault="005A58A7" w:rsidP="00794DE4">
      <w:pPr>
        <w:rPr>
          <w:lang w:val="en-GB"/>
        </w:rPr>
      </w:pPr>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7" w:name="_Toc417239422"/>
      <w:r>
        <w:rPr>
          <w:lang w:val="en-GB"/>
        </w:rPr>
        <w:lastRenderedPageBreak/>
        <w:t>Other practical cases in B&amp;C sector for Ontology use</w:t>
      </w:r>
      <w:bookmarkEnd w:id="57"/>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C625E" w:rsidRPr="00EB6E31" w:rsidRDefault="005C625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C625E" w:rsidRPr="00EB6E31" w:rsidRDefault="005C625E"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8" w:name="_Toc417239423"/>
      <w:r>
        <w:rPr>
          <w:lang w:val="en-GB"/>
        </w:rPr>
        <w:t xml:space="preserve">Pattern extraction </w:t>
      </w:r>
      <w:r w:rsidRPr="004B3458">
        <w:rPr>
          <w:lang w:val="en-GB"/>
        </w:rPr>
        <w:t>from</w:t>
      </w:r>
      <w:r>
        <w:rPr>
          <w:lang w:val="en-GB"/>
        </w:rPr>
        <w:t xml:space="preserve"> non-structured sources of information</w:t>
      </w:r>
      <w:bookmarkEnd w:id="58"/>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9" w:name="_Toc417239424"/>
      <w:r w:rsidRPr="00091CA6">
        <w:rPr>
          <w:lang w:val="en-GB"/>
        </w:rPr>
        <w:t>Data mining</w:t>
      </w:r>
      <w:r>
        <w:rPr>
          <w:lang w:val="en-GB"/>
        </w:rPr>
        <w:t xml:space="preserve"> / Knowledge Discovery</w:t>
      </w:r>
      <w:r w:rsidRPr="00091CA6">
        <w:rPr>
          <w:lang w:val="en-GB"/>
        </w:rPr>
        <w:t>.</w:t>
      </w:r>
      <w:bookmarkEnd w:id="59"/>
      <w:r w:rsidRPr="00091CA6">
        <w:rPr>
          <w:lang w:val="en-GB"/>
        </w:rPr>
        <w:t xml:space="preserve"> </w:t>
      </w:r>
    </w:p>
    <w:p w14:paraId="09A40803" w14:textId="77777777" w:rsidR="0013109A" w:rsidRDefault="0013109A" w:rsidP="0013109A">
      <w:pPr>
        <w:pStyle w:val="Cabealho3"/>
        <w:rPr>
          <w:lang w:val="en-GB"/>
        </w:rPr>
      </w:pPr>
      <w:bookmarkStart w:id="60"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0"/>
      <w:r w:rsidR="001452B7" w:rsidRPr="00091CA6">
        <w:rPr>
          <w:lang w:val="en-GB"/>
        </w:rPr>
        <w:t xml:space="preserve"> </w:t>
      </w:r>
    </w:p>
    <w:p w14:paraId="223D6EFA" w14:textId="6A0FA37E" w:rsidR="001452B7" w:rsidRDefault="0013109A" w:rsidP="0013109A">
      <w:pPr>
        <w:pStyle w:val="Cabealho3"/>
        <w:rPr>
          <w:lang w:val="en-GB"/>
        </w:rPr>
      </w:pPr>
      <w:bookmarkStart w:id="61" w:name="_Toc417239426"/>
      <w:r>
        <w:rPr>
          <w:lang w:val="en-GB"/>
        </w:rPr>
        <w:t>Techniques used today?</w:t>
      </w:r>
      <w:bookmarkEnd w:id="61"/>
    </w:p>
    <w:p w14:paraId="5F736C06" w14:textId="6A04072E" w:rsidR="002C2BE2" w:rsidRDefault="002C2BE2" w:rsidP="002C2BE2">
      <w:pPr>
        <w:pStyle w:val="Cabealho2"/>
        <w:rPr>
          <w:lang w:val="en-GB"/>
        </w:rPr>
      </w:pPr>
      <w:bookmarkStart w:id="62" w:name="_Toc417239427"/>
      <w:r>
        <w:rPr>
          <w:lang w:val="en-GB"/>
        </w:rPr>
        <w:t>Pattern Discovery</w:t>
      </w:r>
      <w:bookmarkEnd w:id="62"/>
    </w:p>
    <w:p w14:paraId="46A90A5C" w14:textId="061C530D" w:rsidR="002C2BE2" w:rsidRPr="00091CA6" w:rsidRDefault="002C2BE2" w:rsidP="002C2BE2">
      <w:pPr>
        <w:pStyle w:val="Cabealho3"/>
        <w:rPr>
          <w:lang w:val="en-GB"/>
        </w:rPr>
      </w:pPr>
      <w:bookmarkStart w:id="63" w:name="_Toc417239428"/>
      <w:r>
        <w:rPr>
          <w:lang w:val="en-GB"/>
        </w:rPr>
        <w:t>FP-Growth – definition</w:t>
      </w:r>
      <w:bookmarkEnd w:id="63"/>
      <w:r>
        <w:rPr>
          <w:lang w:val="en-GB"/>
        </w:rPr>
        <w:t xml:space="preserve"> </w:t>
      </w:r>
    </w:p>
    <w:p w14:paraId="5DFF3B72" w14:textId="47544DF7" w:rsidR="002C2BE2" w:rsidRDefault="002C2BE2" w:rsidP="002C2BE2">
      <w:pPr>
        <w:pStyle w:val="Cabealho3"/>
        <w:rPr>
          <w:lang w:val="en-GB"/>
        </w:rPr>
      </w:pPr>
      <w:bookmarkStart w:id="64" w:name="_Toc417239429"/>
      <w:r w:rsidRPr="00091CA6">
        <w:rPr>
          <w:lang w:val="en-GB"/>
        </w:rPr>
        <w:t xml:space="preserve">Algorithms to discover </w:t>
      </w:r>
      <w:r>
        <w:rPr>
          <w:lang w:val="en-GB"/>
        </w:rPr>
        <w:t>patterns</w:t>
      </w:r>
      <w:r w:rsidRPr="00091CA6">
        <w:rPr>
          <w:lang w:val="en-GB"/>
        </w:rPr>
        <w:t xml:space="preserve"> Weaknesses/Strengths between them</w:t>
      </w:r>
      <w:bookmarkEnd w:id="64"/>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5" w:name="_Toc417239430"/>
      <w:r w:rsidRPr="00091CA6">
        <w:rPr>
          <w:lang w:val="en-GB"/>
        </w:rPr>
        <w:t>Association Rules (Definition, Rules)</w:t>
      </w:r>
      <w:bookmarkEnd w:id="65"/>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C625E" w:rsidRPr="00EB6E31" w:rsidRDefault="005C625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C625E" w:rsidRPr="00EB6E31" w:rsidRDefault="005C625E"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6" w:name="_Toc417239431"/>
      <w:r w:rsidRPr="008F7807">
        <w:t>Con</w:t>
      </w:r>
      <w:r w:rsidR="005D3F8F" w:rsidRPr="008F7807">
        <w:t>cept</w:t>
      </w:r>
      <w:r w:rsidR="005D3F8F">
        <w:rPr>
          <w:lang w:val="en-GB"/>
        </w:rPr>
        <w:t xml:space="preserve"> Model</w:t>
      </w:r>
      <w:bookmarkEnd w:id="66"/>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C625E" w:rsidRPr="00EB6E31" w:rsidRDefault="005C625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C625E" w:rsidRPr="00EB6E31" w:rsidRDefault="005C625E"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7" w:name="_Toc417239432"/>
      <w:r w:rsidRPr="005D3F8F">
        <w:rPr>
          <w:lang w:val="en-GB"/>
        </w:rPr>
        <w:t xml:space="preserve">Model Design and </w:t>
      </w:r>
      <w:r w:rsidRPr="008F7807">
        <w:t>Development</w:t>
      </w:r>
      <w:bookmarkEnd w:id="67"/>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C625E" w:rsidRPr="00EB6E31" w:rsidRDefault="005C625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C625E" w:rsidRPr="00EB6E31" w:rsidRDefault="005C625E"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8" w:name="_Toc417239433"/>
      <w:r w:rsidRPr="005D3F8F">
        <w:rPr>
          <w:lang w:val="en-GB"/>
        </w:rPr>
        <w:t>Assessment</w:t>
      </w:r>
      <w:bookmarkEnd w:id="68"/>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C625E" w:rsidRPr="00EB6E31" w:rsidRDefault="005C625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5C625E" w:rsidRPr="00FA7AEF" w:rsidRDefault="005C625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C625E" w:rsidRPr="00EB6E31" w:rsidRDefault="005C625E"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9" w:name="_Toc417239434"/>
      <w:r w:rsidRPr="005D3F8F">
        <w:rPr>
          <w:lang w:val="en-GB"/>
        </w:rPr>
        <w:t xml:space="preserve">Conclusion and </w:t>
      </w:r>
      <w:r w:rsidRPr="008F7807">
        <w:t>Future</w:t>
      </w:r>
      <w:r w:rsidRPr="005D3F8F">
        <w:rPr>
          <w:lang w:val="en-GB"/>
        </w:rPr>
        <w:t xml:space="preserve"> directions</w:t>
      </w:r>
      <w:bookmarkEnd w:id="69"/>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0" w:name="_Toc417239435"/>
      <w:r>
        <w:rPr>
          <w:lang w:val="en-GB"/>
        </w:rPr>
        <w:t>Work overview</w:t>
      </w:r>
      <w:bookmarkEnd w:id="70"/>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1" w:name="_Toc417239436"/>
      <w:r>
        <w:rPr>
          <w:lang w:val="en-GB"/>
        </w:rPr>
        <w:t>7.2</w:t>
      </w:r>
      <w:r>
        <w:rPr>
          <w:lang w:val="en-GB"/>
        </w:rPr>
        <w:tab/>
      </w:r>
      <w:r w:rsidRPr="006679A0">
        <w:rPr>
          <w:lang w:val="en-GB"/>
        </w:rPr>
        <w:t>Research Contributions</w:t>
      </w:r>
      <w:bookmarkEnd w:id="71"/>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2" w:name="_Toc417239437"/>
      <w:r>
        <w:rPr>
          <w:lang w:val="en-GB"/>
        </w:rPr>
        <w:lastRenderedPageBreak/>
        <w:t>7.</w:t>
      </w:r>
      <w:r w:rsidR="001452B7">
        <w:rPr>
          <w:lang w:val="en-GB"/>
        </w:rPr>
        <w:t>3</w:t>
      </w:r>
      <w:r>
        <w:rPr>
          <w:lang w:val="en-GB"/>
        </w:rPr>
        <w:tab/>
      </w:r>
      <w:r w:rsidR="00513B79">
        <w:rPr>
          <w:lang w:val="en-GB"/>
        </w:rPr>
        <w:t>Future Directions</w:t>
      </w:r>
      <w:bookmarkEnd w:id="72"/>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5"/>
      </w:r>
      <w:r w:rsidR="008E2939">
        <w:rPr>
          <w:lang w:val="en-GB"/>
        </w:rPr>
        <w:t xml:space="preserve"> or </w:t>
      </w:r>
      <w:r w:rsidR="009B72C1">
        <w:rPr>
          <w:lang w:val="en-GB"/>
        </w:rPr>
        <w:t>Latent Semantic Analysis</w:t>
      </w:r>
      <w:r w:rsidR="00AD76FE">
        <w:rPr>
          <w:rStyle w:val="Refdenotaderodap"/>
          <w:lang w:val="en-GB"/>
        </w:rPr>
        <w:footnoteReference w:id="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5C625E" w:rsidRPr="00FA7AEF" w:rsidRDefault="005C625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C625E" w:rsidRPr="00EB6E31" w:rsidRDefault="005C625E"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5C625E" w:rsidRPr="00FA7AEF" w:rsidRDefault="005C625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C625E" w:rsidRPr="00EB6E31" w:rsidRDefault="005C625E"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3" w:name="_Toc417239438"/>
      <w:r>
        <w:rPr>
          <w:lang w:val="en-GB"/>
        </w:rPr>
        <w:t>Bibliography</w:t>
      </w:r>
      <w:bookmarkEnd w:id="73"/>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Allen, R.E., Mannion,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Document].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r w:rsidRPr="005A58A7">
        <w:rPr>
          <w:rFonts w:cs="Times New Roman"/>
          <w:lang w:val="en-GB"/>
        </w:rPr>
        <w:t>Antunes,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folksonomia e memória coletiva: um estudo das tags na organização da web. </w:t>
      </w:r>
      <w:r w:rsidRPr="005A58A7">
        <w:rPr>
          <w:rFonts w:cs="Times New Roman"/>
          <w:lang w:val="en-GB"/>
        </w:rPr>
        <w:t>Rev. E-Compós 18.</w:t>
      </w:r>
    </w:p>
    <w:p w14:paraId="2DDACF7D" w14:textId="77777777" w:rsidR="005A58A7" w:rsidRPr="005A58A7" w:rsidRDefault="005A58A7" w:rsidP="005A58A7">
      <w:pPr>
        <w:pStyle w:val="Bibliografia"/>
        <w:rPr>
          <w:rFonts w:cs="Times New Roman"/>
          <w:lang w:val="en-GB"/>
        </w:rPr>
      </w:pPr>
      <w:r w:rsidRPr="005A58A7">
        <w:rPr>
          <w:rFonts w:cs="Times New Roman"/>
          <w:lang w:val="en-GB"/>
        </w:rPr>
        <w:t>buildingSMART,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r w:rsidRPr="005A58A7">
        <w:rPr>
          <w:rFonts w:cs="Times New Roman"/>
        </w:rPr>
        <w:t xml:space="preserve">Buitelaar, P., Cimiano, P., Magnini,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r w:rsidRPr="005A58A7">
        <w:rPr>
          <w:rFonts w:cs="Times New Roman"/>
          <w:lang w:val="en-GB"/>
        </w:rPr>
        <w:t>Cimiano, P., Mädche, A., Staab, S., Völker, J., 2009. Ontology learning, in: Handbook on Ontologies. Springer, pp. 245–267.</w:t>
      </w:r>
    </w:p>
    <w:p w14:paraId="2DA63AF8" w14:textId="77777777" w:rsidR="005A58A7" w:rsidRPr="005A58A7" w:rsidRDefault="005A58A7" w:rsidP="005A58A7">
      <w:pPr>
        <w:pStyle w:val="Bibliografia"/>
        <w:rPr>
          <w:rFonts w:cs="Times New Roman"/>
          <w:lang w:val="en-GB"/>
        </w:rPr>
      </w:pPr>
      <w:r w:rsidRPr="005A58A7">
        <w:rPr>
          <w:rFonts w:cs="Times New Roman"/>
          <w:lang w:val="en-GB"/>
        </w:rPr>
        <w:t>Cimiano, P., Völker,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Construction Specifications Institute, Construction Specifications Canada, 2015. MasterFormat: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Missikoff, M., Navigli, R., 2009. </w:t>
      </w:r>
      <w:r w:rsidRPr="005A58A7">
        <w:rPr>
          <w:rFonts w:cs="Times New Roman"/>
          <w:lang w:val="en-GB"/>
        </w:rPr>
        <w:t xml:space="preserve">A software engineering approach to ontology building. </w:t>
      </w:r>
      <w:r w:rsidRPr="005A58A7">
        <w:rPr>
          <w:rFonts w:cs="Times New Roman"/>
        </w:rPr>
        <w:t>Inf. Syst. 34, 258–275. doi:10.1016/j.is.2008.07.002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 xml:space="preserve">El-Diraby, T.A., Lima, C., Feis, B., 2005. </w:t>
      </w:r>
      <w:r w:rsidRPr="005A58A7">
        <w:rPr>
          <w:rFonts w:cs="Times New Roman"/>
          <w:lang w:val="en-GB"/>
        </w:rPr>
        <w:t>Domain taxonomy for construction concepts: toward a formal ontology for construction knowledge. J. Comput. Civ. Eng. 19, 394–406.</w:t>
      </w:r>
    </w:p>
    <w:p w14:paraId="5E047044" w14:textId="77777777" w:rsidR="005A58A7" w:rsidRPr="005A58A7" w:rsidRDefault="005A58A7" w:rsidP="005A58A7">
      <w:pPr>
        <w:pStyle w:val="Bibliografia"/>
        <w:rPr>
          <w:rFonts w:cs="Times New Roman"/>
          <w:lang w:val="en-GB"/>
        </w:rPr>
      </w:pPr>
      <w:r w:rsidRPr="005A58A7">
        <w:rPr>
          <w:rFonts w:cs="Times New Roman"/>
          <w:lang w:val="en-GB"/>
        </w:rPr>
        <w:t>Elsayed, A., El-Beltagy, S.R., Rafea, M., Hegazy, O., 2007. Applying data mining for ontology building. Proc ISSR.</w:t>
      </w:r>
    </w:p>
    <w:p w14:paraId="6B53D8A9" w14:textId="77777777" w:rsidR="005A58A7" w:rsidRPr="005A58A7" w:rsidRDefault="005A58A7" w:rsidP="005A58A7">
      <w:pPr>
        <w:pStyle w:val="Bibliografia"/>
        <w:rPr>
          <w:rFonts w:cs="Times New Roman"/>
          <w:lang w:val="en-GB"/>
        </w:rPr>
      </w:pPr>
      <w:r w:rsidRPr="005A58A7">
        <w:rPr>
          <w:rFonts w:cs="Times New Roman"/>
          <w:lang w:val="en-GB"/>
        </w:rPr>
        <w:t>Figueiras,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r w:rsidRPr="005A58A7">
        <w:rPr>
          <w:rFonts w:cs="Times New Roman"/>
          <w:lang w:val="en-GB"/>
        </w:rPr>
        <w:t>Fraunhofer IRB, 2015. Fraunhofer IRB | ICONDA©Bibliographic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r w:rsidRPr="005A58A7">
        <w:rPr>
          <w:rFonts w:cs="Times New Roman"/>
          <w:lang w:val="en-GB"/>
        </w:rPr>
        <w:t>Fraunhofer,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r w:rsidRPr="005A58A7">
        <w:rPr>
          <w:rFonts w:cs="Times New Roman"/>
          <w:lang w:val="en-GB"/>
        </w:rPr>
        <w:t>Gangemi, A., Presutti, V., 2009. Ontology Design Patterns, in: Staab, S., Studer,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r w:rsidRPr="005A58A7">
        <w:rPr>
          <w:rFonts w:cs="Times New Roman"/>
          <w:lang w:val="en-GB"/>
        </w:rPr>
        <w:t>Gargouri, Y., Lefebvre, B., Meunier, J., 2003. Ontology maintenance using textual analysis, in: Proc. 7TH World Multi Conference on Systemics, Cybernetics and Informatics, USA. List of Figures Figure. Citeseer.</w:t>
      </w:r>
    </w:p>
    <w:p w14:paraId="7CF28BD1" w14:textId="77777777" w:rsidR="005A58A7" w:rsidRPr="005A58A7" w:rsidRDefault="005A58A7" w:rsidP="005A58A7">
      <w:pPr>
        <w:pStyle w:val="Bibliografia"/>
        <w:rPr>
          <w:rFonts w:cs="Times New Roman"/>
          <w:lang w:val="en-GB"/>
        </w:rPr>
      </w:pPr>
      <w:r w:rsidRPr="005A58A7">
        <w:rPr>
          <w:rFonts w:cs="Times New Roman"/>
          <w:lang w:val="en-GB"/>
        </w:rPr>
        <w:t>Gruber, T.R., 1993. A translation approach to portable ontology specifications. Knowl.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Hand, D.J., Mannila, H., Smyth, P., 2001. Principles of Data Mining. MIT Press.</w:t>
      </w:r>
    </w:p>
    <w:p w14:paraId="6C1B4B1D" w14:textId="77777777" w:rsidR="005A58A7" w:rsidRPr="005A58A7" w:rsidRDefault="005A58A7" w:rsidP="005A58A7">
      <w:pPr>
        <w:pStyle w:val="Bibliografia"/>
        <w:rPr>
          <w:rFonts w:cs="Times New Roman"/>
          <w:lang w:val="en-GB"/>
        </w:rPr>
      </w:pPr>
      <w:r w:rsidRPr="005A58A7">
        <w:rPr>
          <w:rFonts w:cs="Times New Roman"/>
          <w:lang w:val="en-GB"/>
        </w:rPr>
        <w:t>Hazman, M., El-Beltagy, S.R., Rafea, A., 2011. A survey of ontology learning approaches. database 7, 6.</w:t>
      </w:r>
    </w:p>
    <w:p w14:paraId="6E1D9B08" w14:textId="77777777" w:rsidR="005A58A7" w:rsidRPr="005A58A7" w:rsidRDefault="005A58A7" w:rsidP="005A58A7">
      <w:pPr>
        <w:pStyle w:val="Bibliografia"/>
        <w:rPr>
          <w:rFonts w:cs="Times New Roman"/>
          <w:lang w:val="en-GB"/>
        </w:rPr>
      </w:pPr>
      <w:r w:rsidRPr="005A58A7">
        <w:rPr>
          <w:rFonts w:cs="Times New Roman"/>
          <w:lang w:val="en-GB"/>
        </w:rPr>
        <w:t>Kashyap, V., 1999. Design and creation of ontologies for environmental information retrieval, in: Proceedings of the 12th Workshop on Knowledge Acquisition, Modeling and Management. Citeseer,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Lima, C., 2004. Final draft CWA4 proposal “European eConstruction Ontology “version 2004–03–26, in: Workshop on eConstruction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El-Diraby,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Zarli, A., El-Diraby, T., Ferneley, E., 2003a. </w:t>
      </w:r>
      <w:r w:rsidRPr="005A58A7">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r w:rsidRPr="005A58A7">
        <w:rPr>
          <w:rFonts w:cs="Times New Roman"/>
          <w:lang w:val="en-GB"/>
        </w:rPr>
        <w:t>Maedche, A., Staab,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OCCS Development Committee, 2006. OmniClass: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r w:rsidRPr="005A58A7">
        <w:rPr>
          <w:rFonts w:cs="Times New Roman"/>
          <w:lang w:val="en-GB"/>
        </w:rPr>
        <w:t xml:space="preserve">Parada, V.M.M., 2010. </w:t>
      </w:r>
      <w:r w:rsidRPr="005A58A7">
        <w:rPr>
          <w:rFonts w:cs="Times New Roman"/>
        </w:rPr>
        <w:t>Desenho e implementação de um sistema computacional para apoiar a gestão de projectos utilizando técnicas de data mining.</w:t>
      </w:r>
    </w:p>
    <w:p w14:paraId="131203AD" w14:textId="77777777" w:rsidR="005A58A7" w:rsidRPr="005A58A7" w:rsidRDefault="005A58A7" w:rsidP="005A58A7">
      <w:pPr>
        <w:pStyle w:val="Bibliografia"/>
        <w:rPr>
          <w:rFonts w:cs="Times New Roman"/>
          <w:lang w:val="en-GB"/>
        </w:rPr>
      </w:pPr>
      <w:r w:rsidRPr="005A58A7">
        <w:rPr>
          <w:rFonts w:cs="Times New Roman"/>
          <w:lang w:val="en-GB"/>
        </w:rPr>
        <w:t>Pouchard, L., Ivezic, N., Schlenoff, C., 2000. Ontology engineering for distributed collaboration in manufacturing, in: Proceedings of the AIS2000 Conference. Citeseer.</w:t>
      </w:r>
    </w:p>
    <w:p w14:paraId="3523B0CE" w14:textId="77777777" w:rsidR="005A58A7" w:rsidRPr="005A58A7" w:rsidRDefault="005A58A7" w:rsidP="005A58A7">
      <w:pPr>
        <w:pStyle w:val="Bibliografia"/>
        <w:rPr>
          <w:rFonts w:cs="Times New Roman"/>
          <w:lang w:val="en-GB"/>
        </w:rPr>
      </w:pPr>
      <w:r w:rsidRPr="005A58A7">
        <w:rPr>
          <w:rFonts w:cs="Times New Roman"/>
          <w:lang w:val="en-GB"/>
        </w:rPr>
        <w:t>Reinberger, M.-L., Spyns, P., 2005. Unsupervised text mining for the learning of dogma-inspired ontologies. Ontol. Learn. Text Methods Appl. Eval.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Sánchez, D., 2010. A methodology to learn ontological attributes from the Web. Data Knowl. Eng. 69, 573–597.</w:t>
      </w:r>
    </w:p>
    <w:p w14:paraId="5936C78E" w14:textId="77777777" w:rsidR="005A58A7" w:rsidRPr="005A58A7" w:rsidRDefault="005A58A7" w:rsidP="005A58A7">
      <w:pPr>
        <w:pStyle w:val="Bibliografia"/>
        <w:rPr>
          <w:rFonts w:cs="Times New Roman"/>
          <w:lang w:val="en-GB"/>
        </w:rPr>
      </w:pPr>
      <w:r w:rsidRPr="005A58A7">
        <w:rPr>
          <w:rFonts w:cs="Times New Roman"/>
          <w:lang w:val="en-GB"/>
        </w:rPr>
        <w:t>Semafora Systems, 2012. Semafora systems: OntoStudio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Stanford Center for Biomedical Informatics Research, 2011. The Protègè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Stick-iSchool, 2013. Innovation Ontolgy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r w:rsidRPr="005A58A7">
        <w:rPr>
          <w:rFonts w:cs="Times New Roman"/>
          <w:lang w:val="en-GB"/>
        </w:rPr>
        <w:t>Uschold, M., Gruninger, M., 1996. Ontologies: Principles, methods and applications. Knowl.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Velardi, P., Navigli, R., Cucchiarelli, A., Neri, F., 2005. Evaluation of OntoLearn, a methodology for automatic learning of domain ontologies. Ontol. Learn. Popul.</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r w:rsidRPr="005A58A7">
        <w:rPr>
          <w:rFonts w:cs="Times New Roman"/>
        </w:rPr>
        <w:t>Inf. Technol. Manag. 8, 241–252.</w:t>
      </w:r>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C10CB" w14:textId="77777777" w:rsidR="00B22AB6" w:rsidRDefault="00B22AB6" w:rsidP="008B30D6">
      <w:pPr>
        <w:spacing w:before="0" w:after="0" w:line="240" w:lineRule="auto"/>
      </w:pPr>
      <w:r>
        <w:separator/>
      </w:r>
    </w:p>
  </w:endnote>
  <w:endnote w:type="continuationSeparator" w:id="0">
    <w:p w14:paraId="7862486F" w14:textId="77777777" w:rsidR="00B22AB6" w:rsidRDefault="00B22AB6"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5C625E" w:rsidRDefault="005C625E">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5C625E" w:rsidRDefault="005C625E" w:rsidP="00BC44B2">
        <w:pPr>
          <w:pStyle w:val="Rodap"/>
          <w:jc w:val="center"/>
        </w:pPr>
        <w:r>
          <w:fldChar w:fldCharType="begin"/>
        </w:r>
        <w:r>
          <w:instrText>PAGE   \* MERGEFORMAT</w:instrText>
        </w:r>
        <w:r>
          <w:fldChar w:fldCharType="separate"/>
        </w:r>
        <w:r w:rsidR="00B57DC6">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5C625E" w:rsidRDefault="005C625E" w:rsidP="00BC44B2">
        <w:pPr>
          <w:pStyle w:val="Rodap"/>
          <w:jc w:val="center"/>
        </w:pPr>
        <w:r>
          <w:fldChar w:fldCharType="begin"/>
        </w:r>
        <w:r>
          <w:instrText>PAGE   \* MERGEFORMAT</w:instrText>
        </w:r>
        <w:r>
          <w:fldChar w:fldCharType="separate"/>
        </w:r>
        <w:r w:rsidR="00647E27">
          <w:rPr>
            <w:noProof/>
          </w:rPr>
          <w:t>28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B4877" w14:textId="77777777" w:rsidR="00B22AB6" w:rsidRDefault="00B22AB6" w:rsidP="008B30D6">
      <w:pPr>
        <w:spacing w:before="0" w:after="0" w:line="240" w:lineRule="auto"/>
      </w:pPr>
      <w:r>
        <w:separator/>
      </w:r>
    </w:p>
  </w:footnote>
  <w:footnote w:type="continuationSeparator" w:id="0">
    <w:p w14:paraId="1C3F93D5" w14:textId="77777777" w:rsidR="00B22AB6" w:rsidRDefault="00B22AB6" w:rsidP="008B30D6">
      <w:pPr>
        <w:spacing w:before="0" w:after="0" w:line="240" w:lineRule="auto"/>
      </w:pPr>
      <w:r>
        <w:continuationSeparator/>
      </w:r>
    </w:p>
  </w:footnote>
  <w:footnote w:id="1">
    <w:p w14:paraId="1E1B1F83" w14:textId="4B6A7C7E" w:rsidR="005C625E" w:rsidRPr="00C47268" w:rsidRDefault="005C625E">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5C625E" w:rsidRPr="00E73A3D" w:rsidRDefault="005C625E"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5C625E" w:rsidRPr="00E73A3D" w:rsidRDefault="005C625E">
      <w:pPr>
        <w:pStyle w:val="Textodenotaderodap"/>
        <w:rPr>
          <w:lang w:val="en-GB"/>
        </w:rPr>
      </w:pPr>
      <w:r>
        <w:rPr>
          <w:lang w:val="en-GB"/>
        </w:rPr>
        <w:t xml:space="preserve"> </w:t>
      </w:r>
    </w:p>
  </w:footnote>
  <w:footnote w:id="3">
    <w:p w14:paraId="2E451353" w14:textId="0532FE5B" w:rsidR="00B57DC6" w:rsidRPr="00B57DC6" w:rsidRDefault="00B57DC6">
      <w:pPr>
        <w:pStyle w:val="Textodenotaderodap"/>
        <w:rPr>
          <w:lang w:val="en-GB"/>
        </w:rPr>
      </w:pPr>
      <w:r>
        <w:rPr>
          <w:rStyle w:val="Refdenotaderodap"/>
        </w:rPr>
        <w:footnoteRef/>
      </w:r>
      <w:r w:rsidRPr="00B57DC6">
        <w:rPr>
          <w:lang w:val="en-GB"/>
        </w:rPr>
        <w:t xml:space="preserve"> </w:t>
      </w:r>
      <w:r>
        <w:rPr>
          <w:lang w:val="en-GB"/>
        </w:rPr>
        <w:t xml:space="preserve">Consortium included </w:t>
      </w:r>
      <w:r w:rsidR="00153A78">
        <w:rPr>
          <w:lang w:val="en-GB"/>
        </w:rPr>
        <w:t xml:space="preserve">R&amp;D organizations, namely </w:t>
      </w:r>
      <w:r>
        <w:rPr>
          <w:lang w:val="en-GB"/>
        </w:rPr>
        <w:t>University of Salford (UK)</w:t>
      </w:r>
      <w:r w:rsidR="00153A78">
        <w:rPr>
          <w:lang w:val="en-GB"/>
        </w:rPr>
        <w:t xml:space="preserve"> and</w:t>
      </w:r>
      <w:r>
        <w:rPr>
          <w:lang w:val="en-GB"/>
        </w:rPr>
        <w:t xml:space="preserve"> Centre Scientific et Technique du Bâtiment - CSTB (France)</w:t>
      </w:r>
      <w:r w:rsidR="00153A78">
        <w:rPr>
          <w:lang w:val="en-GB"/>
        </w:rPr>
        <w:t xml:space="preserve">, </w:t>
      </w:r>
      <w:r w:rsidR="00153A78">
        <w:rPr>
          <w:lang w:val="en-GB"/>
        </w:rPr>
        <w:t>as well as</w:t>
      </w:r>
      <w:r w:rsidR="00153A78">
        <w:rPr>
          <w:lang w:val="en-GB"/>
        </w:rPr>
        <w:t xml:space="preserve"> end users</w:t>
      </w:r>
      <w:r w:rsidR="00647E27">
        <w:rPr>
          <w:lang w:val="en-GB"/>
        </w:rPr>
        <w:t>, particularly,</w:t>
      </w:r>
      <w:bookmarkStart w:id="55" w:name="_GoBack"/>
      <w:bookmarkEnd w:id="55"/>
      <w:r w:rsidR="00153A78">
        <w:rPr>
          <w:lang w:val="en-GB"/>
        </w:rPr>
        <w:t xml:space="preserve"> HOCHTIEF (Germany), OTH (France), YIT (Finland) and Taylor Woodrow (UK).</w:t>
      </w:r>
    </w:p>
  </w:footnote>
  <w:footnote w:id="4">
    <w:p w14:paraId="7428EAEC" w14:textId="099F061A" w:rsidR="005C625E" w:rsidRPr="00E71BAA" w:rsidRDefault="005C625E">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5">
    <w:p w14:paraId="10763AAC" w14:textId="7DC6468B" w:rsidR="005C625E" w:rsidRPr="00C67F7A" w:rsidRDefault="005C625E">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6">
    <w:p w14:paraId="5E386EA3" w14:textId="02B88F73" w:rsidR="005C625E" w:rsidRPr="00AD76FE" w:rsidRDefault="005C625E">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7">
    <w:p w14:paraId="55C7927A" w14:textId="13AE07BF" w:rsidR="005C625E" w:rsidRPr="001E76AF" w:rsidRDefault="005C625E">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5C625E" w:rsidRDefault="005C625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5C625E" w:rsidRDefault="005C625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B02F9"/>
    <w:rsid w:val="005B1B64"/>
    <w:rsid w:val="005B21CD"/>
    <w:rsid w:val="005B3A8B"/>
    <w:rsid w:val="005B480E"/>
    <w:rsid w:val="005B61D1"/>
    <w:rsid w:val="005C0905"/>
    <w:rsid w:val="005C444E"/>
    <w:rsid w:val="005C625E"/>
    <w:rsid w:val="005D0EE4"/>
    <w:rsid w:val="005D1C5A"/>
    <w:rsid w:val="005D1E80"/>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0962"/>
    <w:rsid w:val="00BB1914"/>
    <w:rsid w:val="00BB1A18"/>
    <w:rsid w:val="00BB26A1"/>
    <w:rsid w:val="00BB2888"/>
    <w:rsid w:val="00BC23DB"/>
    <w:rsid w:val="00BC249E"/>
    <w:rsid w:val="00BC44B2"/>
    <w:rsid w:val="00BC711E"/>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84AD2D-5C13-4DBF-A1D2-1D6333E7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1</Pages>
  <Words>28297</Words>
  <Characters>152810</Characters>
  <Application>Microsoft Office Word</Application>
  <DocSecurity>0</DocSecurity>
  <Lines>1273</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22</cp:revision>
  <cp:lastPrinted>2015-04-11T15:30:00Z</cp:lastPrinted>
  <dcterms:created xsi:type="dcterms:W3CDTF">2015-04-18T23:03:00Z</dcterms:created>
  <dcterms:modified xsi:type="dcterms:W3CDTF">2015-04-23T07:44:00Z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