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3EE6" w14:textId="77777777" w:rsidR="00C32961" w:rsidRPr="00896D81" w:rsidRDefault="00C32961" w:rsidP="00C3296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896D81">
        <w:rPr>
          <w:b/>
          <w:bCs/>
          <w:color w:val="2B2B2B"/>
        </w:rPr>
        <w:t>Given the provided data, what are three conclusions that we can draw about crowdfunding campaigns?</w:t>
      </w:r>
    </w:p>
    <w:p w14:paraId="3DF236F0" w14:textId="7B5472A8" w:rsidR="00E90A4E" w:rsidRPr="00896D81" w:rsidRDefault="007E15B5" w:rsidP="00D3665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I created another table on the sheet titled ‘PivotTable 1_ P Category’</w:t>
      </w:r>
      <w:r w:rsidR="00E90A4E" w:rsidRPr="00896D81">
        <w:rPr>
          <w:color w:val="2B2B2B"/>
        </w:rPr>
        <w:t>. This considered only the successful and failed campaigns for the Parent Categories as those were the only ones legitimately completed campaigns. I created a weighted percentage for each Parent category and found that the top 3 successful campaigns fell under (in this order):</w:t>
      </w:r>
    </w:p>
    <w:p w14:paraId="6E1EB161" w14:textId="77777777" w:rsidR="00E90A4E" w:rsidRPr="00896D81" w:rsidRDefault="00E90A4E" w:rsidP="00E90A4E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>Journalism</w:t>
      </w:r>
    </w:p>
    <w:p w14:paraId="4F7D7921" w14:textId="77777777" w:rsidR="00E90A4E" w:rsidRPr="00896D81" w:rsidRDefault="00E90A4E" w:rsidP="00E90A4E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>Photography</w:t>
      </w:r>
    </w:p>
    <w:p w14:paraId="47068393" w14:textId="77138156" w:rsidR="004E4B70" w:rsidRPr="00896D81" w:rsidRDefault="00E90A4E" w:rsidP="0057703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 xml:space="preserve">Technology </w:t>
      </w:r>
    </w:p>
    <w:p w14:paraId="4C56DE94" w14:textId="124AA290" w:rsidR="00E90A4E" w:rsidRPr="00896D81" w:rsidRDefault="00E90A4E" w:rsidP="00E90A4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 xml:space="preserve">The </w:t>
      </w:r>
      <w:r w:rsidR="007E15B5">
        <w:rPr>
          <w:color w:val="2B2B2B"/>
        </w:rPr>
        <w:t>most significant</w:t>
      </w:r>
      <w:r w:rsidRPr="00896D81">
        <w:rPr>
          <w:color w:val="2B2B2B"/>
        </w:rPr>
        <w:t xml:space="preserve"> number of campaigns requesting Crowdfunding fall under the Parent Category ‘Theater</w:t>
      </w:r>
      <w:r w:rsidR="007E15B5">
        <w:rPr>
          <w:color w:val="2B2B2B"/>
        </w:rPr>
        <w:t>,’</w:t>
      </w:r>
      <w:r w:rsidRPr="00896D81">
        <w:rPr>
          <w:color w:val="2B2B2B"/>
        </w:rPr>
        <w:t xml:space="preserve"> specifically the sub-category ‘Plays</w:t>
      </w:r>
      <w:r w:rsidR="007E15B5">
        <w:rPr>
          <w:color w:val="2B2B2B"/>
        </w:rPr>
        <w:t>,’</w:t>
      </w:r>
      <w:r w:rsidRPr="00896D81">
        <w:rPr>
          <w:color w:val="2B2B2B"/>
        </w:rPr>
        <w:t xml:space="preserve"> </w:t>
      </w:r>
      <w:proofErr w:type="gramStart"/>
      <w:r w:rsidRPr="00896D81">
        <w:rPr>
          <w:color w:val="2B2B2B"/>
        </w:rPr>
        <w:t>but yet</w:t>
      </w:r>
      <w:proofErr w:type="gramEnd"/>
      <w:r w:rsidRPr="00896D81">
        <w:rPr>
          <w:color w:val="2B2B2B"/>
        </w:rPr>
        <w:t xml:space="preserve"> by both weighted </w:t>
      </w:r>
      <w:r w:rsidR="007E15B5">
        <w:rPr>
          <w:color w:val="2B2B2B"/>
        </w:rPr>
        <w:t>and non-weighted percentages,</w:t>
      </w:r>
      <w:r w:rsidRPr="00896D81">
        <w:rPr>
          <w:color w:val="2B2B2B"/>
        </w:rPr>
        <w:t xml:space="preserve"> they are in the bottom three of successful campaigns ran.</w:t>
      </w:r>
    </w:p>
    <w:p w14:paraId="6F711F66" w14:textId="36DFE11F" w:rsidR="0057703F" w:rsidRPr="00896D81" w:rsidRDefault="0057703F" w:rsidP="00E90A4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 xml:space="preserve">Viewing Pivot </w:t>
      </w:r>
      <w:r w:rsidR="007E15B5">
        <w:rPr>
          <w:color w:val="2B2B2B"/>
        </w:rPr>
        <w:t>Table</w:t>
      </w:r>
      <w:r w:rsidRPr="00896D81">
        <w:rPr>
          <w:color w:val="2B2B2B"/>
        </w:rPr>
        <w:t xml:space="preserve"> 1</w:t>
      </w:r>
      <w:r w:rsidR="008B6AAD" w:rsidRPr="00896D81">
        <w:rPr>
          <w:color w:val="2B2B2B"/>
        </w:rPr>
        <w:t xml:space="preserve">, </w:t>
      </w:r>
      <w:r w:rsidRPr="00896D81">
        <w:rPr>
          <w:color w:val="2B2B2B"/>
        </w:rPr>
        <w:t xml:space="preserve">we see that </w:t>
      </w:r>
      <w:r w:rsidR="007E15B5">
        <w:rPr>
          <w:color w:val="2B2B2B"/>
        </w:rPr>
        <w:t xml:space="preserve">the </w:t>
      </w:r>
      <w:r w:rsidRPr="00896D81">
        <w:rPr>
          <w:color w:val="2B2B2B"/>
        </w:rPr>
        <w:t xml:space="preserve">Parent Category ‘games’ is the only category </w:t>
      </w:r>
      <w:r w:rsidR="007E15B5">
        <w:rPr>
          <w:color w:val="2B2B2B"/>
        </w:rPr>
        <w:t>with</w:t>
      </w:r>
      <w:r w:rsidRPr="00896D81">
        <w:rPr>
          <w:color w:val="2B2B2B"/>
        </w:rPr>
        <w:t xml:space="preserve"> more failed campaigns than successful ones. We </w:t>
      </w:r>
      <w:r w:rsidR="007E15B5">
        <w:rPr>
          <w:color w:val="2B2B2B"/>
        </w:rPr>
        <w:t>gleaned</w:t>
      </w:r>
      <w:r w:rsidRPr="00896D81">
        <w:rPr>
          <w:color w:val="2B2B2B"/>
        </w:rPr>
        <w:t xml:space="preserve"> more insight when we </w:t>
      </w:r>
      <w:r w:rsidR="007E15B5">
        <w:rPr>
          <w:color w:val="2B2B2B"/>
        </w:rPr>
        <w:t>viewed</w:t>
      </w:r>
      <w:r w:rsidRPr="00896D81">
        <w:rPr>
          <w:color w:val="2B2B2B"/>
        </w:rPr>
        <w:t xml:space="preserve"> Pivot </w:t>
      </w:r>
      <w:r w:rsidR="007E15B5">
        <w:rPr>
          <w:color w:val="2B2B2B"/>
        </w:rPr>
        <w:t>Table</w:t>
      </w:r>
      <w:r w:rsidRPr="00896D81">
        <w:rPr>
          <w:color w:val="2B2B2B"/>
        </w:rPr>
        <w:t xml:space="preserve"> 2</w:t>
      </w:r>
      <w:r w:rsidR="007E15B5">
        <w:rPr>
          <w:color w:val="2B2B2B"/>
        </w:rPr>
        <w:t>,</w:t>
      </w:r>
      <w:r w:rsidRPr="00896D81">
        <w:rPr>
          <w:color w:val="2B2B2B"/>
        </w:rPr>
        <w:t xml:space="preserve"> as it was </w:t>
      </w:r>
      <w:r w:rsidR="007E15B5">
        <w:rPr>
          <w:color w:val="2B2B2B"/>
        </w:rPr>
        <w:t xml:space="preserve">a </w:t>
      </w:r>
      <w:r w:rsidRPr="00896D81">
        <w:rPr>
          <w:color w:val="2B2B2B"/>
        </w:rPr>
        <w:t xml:space="preserve">mobile </w:t>
      </w:r>
      <w:r w:rsidR="007E15B5">
        <w:rPr>
          <w:color w:val="2B2B2B"/>
        </w:rPr>
        <w:t>game</w:t>
      </w:r>
      <w:r w:rsidRPr="00896D81">
        <w:rPr>
          <w:color w:val="2B2B2B"/>
        </w:rPr>
        <w:t xml:space="preserve"> with a 33.3% success rate that dragged down the entire category. </w:t>
      </w:r>
    </w:p>
    <w:p w14:paraId="48803298" w14:textId="4CF7A72B" w:rsidR="0057703F" w:rsidRPr="00896D81" w:rsidRDefault="0057703F" w:rsidP="0057703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>Viewing Pivot Table 4</w:t>
      </w:r>
      <w:r w:rsidR="007E15B5">
        <w:rPr>
          <w:color w:val="2B2B2B"/>
        </w:rPr>
        <w:t>,</w:t>
      </w:r>
      <w:r w:rsidRPr="00896D81">
        <w:rPr>
          <w:color w:val="2B2B2B"/>
        </w:rPr>
        <w:t xml:space="preserve"> we see that mobile </w:t>
      </w:r>
      <w:r w:rsidR="007E15B5">
        <w:rPr>
          <w:color w:val="2B2B2B"/>
        </w:rPr>
        <w:t>game</w:t>
      </w:r>
      <w:r w:rsidRPr="00896D81">
        <w:rPr>
          <w:color w:val="2B2B2B"/>
        </w:rPr>
        <w:t xml:space="preserve"> campaigns curiously only received funding in AUD and USD, while </w:t>
      </w:r>
      <w:r w:rsidR="007E15B5">
        <w:rPr>
          <w:color w:val="2B2B2B"/>
        </w:rPr>
        <w:t>video-game</w:t>
      </w:r>
      <w:r w:rsidRPr="00896D81">
        <w:rPr>
          <w:color w:val="2B2B2B"/>
        </w:rPr>
        <w:t xml:space="preserve"> campaigns received funding in all currencies. I </w:t>
      </w:r>
      <w:r w:rsidR="007E15B5">
        <w:rPr>
          <w:color w:val="2B2B2B"/>
        </w:rPr>
        <w:t>wonder</w:t>
      </w:r>
      <w:r w:rsidRPr="00896D81">
        <w:rPr>
          <w:color w:val="2B2B2B"/>
        </w:rPr>
        <w:t xml:space="preserve"> why </w:t>
      </w:r>
      <w:r w:rsidR="001E6215" w:rsidRPr="00896D81">
        <w:rPr>
          <w:color w:val="2B2B2B"/>
        </w:rPr>
        <w:t xml:space="preserve">the </w:t>
      </w:r>
      <w:r w:rsidRPr="00896D81">
        <w:rPr>
          <w:color w:val="2B2B2B"/>
        </w:rPr>
        <w:t xml:space="preserve">mobile games lacked </w:t>
      </w:r>
      <w:r w:rsidR="001E6215" w:rsidRPr="00896D81">
        <w:rPr>
          <w:color w:val="2B2B2B"/>
        </w:rPr>
        <w:t xml:space="preserve">broader </w:t>
      </w:r>
      <w:r w:rsidRPr="00896D81">
        <w:rPr>
          <w:color w:val="2B2B2B"/>
        </w:rPr>
        <w:t>appeal</w:t>
      </w:r>
      <w:r w:rsidR="001E6215" w:rsidRPr="00896D81">
        <w:rPr>
          <w:color w:val="2B2B2B"/>
        </w:rPr>
        <w:t xml:space="preserve"> or only garnered attention from Australians, though only one game campaign </w:t>
      </w:r>
      <w:r w:rsidR="007E15B5">
        <w:rPr>
          <w:color w:val="2B2B2B"/>
        </w:rPr>
        <w:t>originated</w:t>
      </w:r>
      <w:r w:rsidR="001E6215" w:rsidRPr="00896D81">
        <w:rPr>
          <w:color w:val="2B2B2B"/>
        </w:rPr>
        <w:t xml:space="preserve"> in Australia. The blurbs do not provide information on the games themselves or the </w:t>
      </w:r>
      <w:r w:rsidR="008B6AAD" w:rsidRPr="00896D81">
        <w:rPr>
          <w:color w:val="2B2B2B"/>
        </w:rPr>
        <w:t>campaigns</w:t>
      </w:r>
      <w:r w:rsidR="001E6215" w:rsidRPr="00896D81">
        <w:rPr>
          <w:color w:val="2B2B2B"/>
        </w:rPr>
        <w:t xml:space="preserve">. </w:t>
      </w:r>
    </w:p>
    <w:p w14:paraId="400AC470" w14:textId="77777777" w:rsidR="00C32961" w:rsidRPr="00896D81" w:rsidRDefault="00C32961" w:rsidP="00C3296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896D81">
        <w:rPr>
          <w:b/>
          <w:bCs/>
          <w:color w:val="2B2B2B"/>
        </w:rPr>
        <w:t>What are some limitations of this dataset?</w:t>
      </w:r>
    </w:p>
    <w:p w14:paraId="73FCDE83" w14:textId="7D4F472D" w:rsidR="001E6215" w:rsidRPr="00896D81" w:rsidRDefault="001E6215" w:rsidP="001E621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 xml:space="preserve">The blurbs do not offer any clear information to me regarding the campaign. For example, </w:t>
      </w:r>
      <w:r w:rsidR="008B6AAD" w:rsidRPr="00896D81">
        <w:rPr>
          <w:color w:val="2B2B2B"/>
        </w:rPr>
        <w:t>in</w:t>
      </w:r>
      <w:r w:rsidRPr="00896D81">
        <w:rPr>
          <w:color w:val="2B2B2B"/>
        </w:rPr>
        <w:t xml:space="preserve"> row 18 in the crowdfunding raw data set</w:t>
      </w:r>
      <w:r w:rsidR="007E15B5">
        <w:rPr>
          <w:color w:val="2B2B2B"/>
        </w:rPr>
        <w:t>,</w:t>
      </w:r>
      <w:r w:rsidRPr="00896D81">
        <w:rPr>
          <w:color w:val="2B2B2B"/>
        </w:rPr>
        <w:t xml:space="preserve"> the name is ‘</w:t>
      </w:r>
      <w:proofErr w:type="spellStart"/>
      <w:r w:rsidRPr="00896D81">
        <w:rPr>
          <w:color w:val="2B2B2B"/>
        </w:rPr>
        <w:t>Mcclain</w:t>
      </w:r>
      <w:proofErr w:type="spellEnd"/>
      <w:r w:rsidRPr="00896D81">
        <w:rPr>
          <w:color w:val="2B2B2B"/>
        </w:rPr>
        <w:t xml:space="preserve"> LLC</w:t>
      </w:r>
      <w:r w:rsidR="007E15B5">
        <w:rPr>
          <w:color w:val="2B2B2B"/>
        </w:rPr>
        <w:t>,’</w:t>
      </w:r>
      <w:r w:rsidRPr="00896D81">
        <w:rPr>
          <w:color w:val="2B2B2B"/>
        </w:rPr>
        <w:t xml:space="preserve"> and the blurb reads ‘Open-source multi-tasking methodology</w:t>
      </w:r>
      <w:r w:rsidR="007E15B5">
        <w:rPr>
          <w:color w:val="2B2B2B"/>
        </w:rPr>
        <w:t>,’</w:t>
      </w:r>
      <w:r w:rsidRPr="00896D81">
        <w:rPr>
          <w:color w:val="2B2B2B"/>
        </w:rPr>
        <w:t xml:space="preserve"> yet it was a successful campaign for theatre/plays.  </w:t>
      </w:r>
    </w:p>
    <w:p w14:paraId="781ED014" w14:textId="054E1E14" w:rsidR="00C32961" w:rsidRPr="00896D81" w:rsidRDefault="00C32961" w:rsidP="00C3296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896D81">
        <w:rPr>
          <w:b/>
          <w:bCs/>
          <w:color w:val="2B2B2B"/>
        </w:rPr>
        <w:t xml:space="preserve">What </w:t>
      </w:r>
      <w:r w:rsidR="007E15B5">
        <w:rPr>
          <w:b/>
          <w:bCs/>
          <w:color w:val="2B2B2B"/>
        </w:rPr>
        <w:t>other possible tables and graphs could we</w:t>
      </w:r>
      <w:r w:rsidRPr="00896D81">
        <w:rPr>
          <w:b/>
          <w:bCs/>
          <w:color w:val="2B2B2B"/>
        </w:rPr>
        <w:t xml:space="preserve"> create, and what additional value would they provide?</w:t>
      </w:r>
    </w:p>
    <w:p w14:paraId="3EA94388" w14:textId="2C334919" w:rsidR="00EA46C8" w:rsidRPr="00896D81" w:rsidRDefault="001E6215" w:rsidP="00B5619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</w:pPr>
      <w:r w:rsidRPr="00896D81">
        <w:rPr>
          <w:color w:val="2B2B2B"/>
        </w:rPr>
        <w:t xml:space="preserve">I created a table that provided the weighted percentage of successful campaigns </w:t>
      </w:r>
      <w:r w:rsidR="008B6AAD" w:rsidRPr="00896D81">
        <w:rPr>
          <w:color w:val="2B2B2B"/>
        </w:rPr>
        <w:t xml:space="preserve">for each Parent Category </w:t>
      </w:r>
      <w:r w:rsidRPr="00896D81">
        <w:rPr>
          <w:color w:val="2B2B2B"/>
        </w:rPr>
        <w:t xml:space="preserve">on the crowdfunding website. </w:t>
      </w:r>
      <w:r w:rsidR="007E15B5">
        <w:rPr>
          <w:color w:val="2B2B2B"/>
        </w:rPr>
        <w:t xml:space="preserve">This would be a good </w:t>
      </w:r>
      <w:r w:rsidR="007E15B5">
        <w:rPr>
          <w:color w:val="2B2B2B"/>
        </w:rPr>
        <w:lastRenderedPageBreak/>
        <w:t>starting point when determining</w:t>
      </w:r>
      <w:r w:rsidRPr="00896D81">
        <w:rPr>
          <w:color w:val="2B2B2B"/>
        </w:rPr>
        <w:t xml:space="preserve"> </w:t>
      </w:r>
      <w:r w:rsidR="008B6AAD" w:rsidRPr="00896D81">
        <w:rPr>
          <w:color w:val="2B2B2B"/>
        </w:rPr>
        <w:t>how you should approach running a particular campaign and where you fit in the grand scheme of things, both inside and outside your category. If you are in a Parent category that does particularly bad- like games, you can switch to the sub-category for even more information. By doing this</w:t>
      </w:r>
      <w:r w:rsidR="007E15B5">
        <w:rPr>
          <w:color w:val="2B2B2B"/>
        </w:rPr>
        <w:t>,</w:t>
      </w:r>
      <w:r w:rsidR="008B6AAD" w:rsidRPr="00896D81">
        <w:rPr>
          <w:color w:val="2B2B2B"/>
        </w:rPr>
        <w:t xml:space="preserve"> you will find that mobile games have a sub-par performance. If you have a mobile game campaign, look at the failed campaigns and see what they did </w:t>
      </w:r>
      <w:r w:rsidR="007E15B5">
        <w:rPr>
          <w:color w:val="2B2B2B"/>
        </w:rPr>
        <w:t>wrong</w:t>
      </w:r>
      <w:r w:rsidR="00E47E71" w:rsidRPr="00896D81">
        <w:rPr>
          <w:color w:val="2B2B2B"/>
        </w:rPr>
        <w:t xml:space="preserve"> and</w:t>
      </w:r>
      <w:r w:rsidR="008B6AAD" w:rsidRPr="00896D81">
        <w:rPr>
          <w:color w:val="2B2B2B"/>
        </w:rPr>
        <w:t xml:space="preserve"> try to avoid those mistakes.  </w:t>
      </w:r>
    </w:p>
    <w:p w14:paraId="5DCB4E6F" w14:textId="2C3FBEE0" w:rsidR="00C206CE" w:rsidRPr="00896D81" w:rsidRDefault="00C206CE" w:rsidP="00B5619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</w:pPr>
      <w:r w:rsidRPr="00896D81">
        <w:rPr>
          <w:color w:val="2B2B2B"/>
        </w:rPr>
        <w:t xml:space="preserve">I created </w:t>
      </w:r>
      <w:r w:rsidR="00E47E71" w:rsidRPr="00896D81">
        <w:rPr>
          <w:color w:val="2B2B2B"/>
        </w:rPr>
        <w:t xml:space="preserve">Pivot Table 5 </w:t>
      </w:r>
      <w:r w:rsidRPr="00896D81">
        <w:rPr>
          <w:color w:val="2B2B2B"/>
        </w:rPr>
        <w:t>to see the outcome of campaigns by filtering out the spot-lit feature. First, I calculated the weighted success rate for spot-lit and non-spot-lit campaigns. I then calculated the mean and standard deviation for both as well. At this point</w:t>
      </w:r>
      <w:r w:rsidR="007E15B5">
        <w:rPr>
          <w:color w:val="2B2B2B"/>
        </w:rPr>
        <w:t>,</w:t>
      </w:r>
      <w:r w:rsidRPr="00896D81">
        <w:rPr>
          <w:color w:val="2B2B2B"/>
        </w:rPr>
        <w:t xml:space="preserve"> I was suspicious </w:t>
      </w:r>
      <w:r w:rsidR="007E15B5">
        <w:rPr>
          <w:color w:val="2B2B2B"/>
        </w:rPr>
        <w:t>of</w:t>
      </w:r>
      <w:r w:rsidRPr="00896D81">
        <w:rPr>
          <w:color w:val="2B2B2B"/>
        </w:rPr>
        <w:t xml:space="preserve"> the effectiveness of the spot-lit feature. I then calculated the t-value and p-value for the difference.</w:t>
      </w:r>
    </w:p>
    <w:p w14:paraId="3A8B17C2" w14:textId="6E99177A" w:rsidR="00C206CE" w:rsidRPr="00896D81" w:rsidRDefault="00C206CE" w:rsidP="00C206CE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</w:pPr>
      <w:r w:rsidRPr="00896D81">
        <w:rPr>
          <w:color w:val="2B2B2B"/>
        </w:rPr>
        <w:t xml:space="preserve">The t-value of .203 suggests </w:t>
      </w:r>
      <w:r w:rsidR="007E15B5">
        <w:rPr>
          <w:color w:val="2B2B2B"/>
        </w:rPr>
        <w:t>a slight difference in the mean success rate between spot-lit and non-spot-lit campaigns</w:t>
      </w:r>
      <w:r w:rsidRPr="00896D81">
        <w:rPr>
          <w:color w:val="2B2B2B"/>
        </w:rPr>
        <w:t>.</w:t>
      </w:r>
    </w:p>
    <w:p w14:paraId="09F58E7F" w14:textId="53014977" w:rsidR="00C206CE" w:rsidRPr="00896D81" w:rsidRDefault="00C206CE" w:rsidP="00C206CE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</w:pPr>
      <w:r w:rsidRPr="00896D81">
        <w:rPr>
          <w:color w:val="2B2B2B"/>
        </w:rPr>
        <w:t xml:space="preserve">The p-value of .421 indicates that there was no statistically significant evidence to suggest that the spot-lit feature has a </w:t>
      </w:r>
      <w:r w:rsidR="007E15B5">
        <w:rPr>
          <w:color w:val="2B2B2B"/>
        </w:rPr>
        <w:t>considerable</w:t>
      </w:r>
      <w:r w:rsidRPr="00896D81">
        <w:rPr>
          <w:color w:val="2B2B2B"/>
        </w:rPr>
        <w:t xml:space="preserve"> impact on the success rate of campaigns.</w:t>
      </w:r>
    </w:p>
    <w:p w14:paraId="05294EB5" w14:textId="502758C9" w:rsidR="00C206CE" w:rsidRPr="00896D81" w:rsidRDefault="00C206CE" w:rsidP="00C206CE">
      <w:pPr>
        <w:pStyle w:val="NormalWeb"/>
        <w:numPr>
          <w:ilvl w:val="3"/>
          <w:numId w:val="1"/>
        </w:numPr>
        <w:spacing w:before="150" w:beforeAutospacing="0" w:after="0" w:afterAutospacing="0" w:line="360" w:lineRule="atLeast"/>
      </w:pPr>
      <w:r w:rsidRPr="00896D81">
        <w:rPr>
          <w:color w:val="2B2B2B"/>
        </w:rPr>
        <w:t xml:space="preserve">So, if the spot-lit feature cost extra, it </w:t>
      </w:r>
      <w:r w:rsidR="007E15B5">
        <w:rPr>
          <w:color w:val="2B2B2B"/>
        </w:rPr>
        <w:t xml:space="preserve">is not </w:t>
      </w:r>
      <w:r w:rsidRPr="00896D81">
        <w:rPr>
          <w:color w:val="2B2B2B"/>
        </w:rPr>
        <w:t>worth it.</w:t>
      </w:r>
    </w:p>
    <w:p w14:paraId="3566200D" w14:textId="2055C45C" w:rsidR="00C206CE" w:rsidRPr="00896D81" w:rsidRDefault="00C206CE" w:rsidP="00C206CE">
      <w:pPr>
        <w:pStyle w:val="NormalWeb"/>
        <w:numPr>
          <w:ilvl w:val="4"/>
          <w:numId w:val="1"/>
        </w:numPr>
        <w:spacing w:before="150" w:beforeAutospacing="0" w:after="0" w:afterAutospacing="0" w:line="360" w:lineRule="atLeast"/>
      </w:pPr>
      <w:r w:rsidRPr="00896D81">
        <w:rPr>
          <w:color w:val="2B2B2B"/>
        </w:rPr>
        <w:t xml:space="preserve">Last thing to </w:t>
      </w:r>
      <w:r w:rsidR="007E15B5">
        <w:rPr>
          <w:color w:val="2B2B2B"/>
        </w:rPr>
        <w:t>note</w:t>
      </w:r>
      <w:r w:rsidRPr="00896D81">
        <w:rPr>
          <w:color w:val="2B2B2B"/>
        </w:rPr>
        <w:t xml:space="preserve">, I did not include the Parent Category of journalism as none of </w:t>
      </w:r>
      <w:r w:rsidR="007E15B5">
        <w:rPr>
          <w:color w:val="2B2B2B"/>
        </w:rPr>
        <w:t xml:space="preserve">the </w:t>
      </w:r>
      <w:r w:rsidRPr="00896D81">
        <w:rPr>
          <w:color w:val="2B2B2B"/>
        </w:rPr>
        <w:t>campaigns were spot-lit</w:t>
      </w:r>
      <w:r w:rsidR="007E15B5">
        <w:rPr>
          <w:color w:val="2B2B2B"/>
        </w:rPr>
        <w:t>,</w:t>
      </w:r>
      <w:r w:rsidRPr="00896D81">
        <w:rPr>
          <w:color w:val="2B2B2B"/>
        </w:rPr>
        <w:t xml:space="preserve"> and there were only </w:t>
      </w:r>
      <w:r w:rsidR="007E15B5">
        <w:rPr>
          <w:color w:val="2B2B2B"/>
        </w:rPr>
        <w:t>four</w:t>
      </w:r>
      <w:r w:rsidRPr="00896D81">
        <w:rPr>
          <w:color w:val="2B2B2B"/>
        </w:rPr>
        <w:t xml:space="preserve"> </w:t>
      </w:r>
      <w:r w:rsidR="007E15B5">
        <w:rPr>
          <w:color w:val="2B2B2B"/>
        </w:rPr>
        <w:t>full</w:t>
      </w:r>
      <w:r w:rsidRPr="00896D81">
        <w:rPr>
          <w:color w:val="2B2B2B"/>
        </w:rPr>
        <w:t xml:space="preserve"> campaigns complete under this category, which to me small enough to ignore. If anything, it shows that </w:t>
      </w:r>
      <w:r w:rsidR="007E15B5">
        <w:rPr>
          <w:color w:val="2B2B2B"/>
        </w:rPr>
        <w:t>you will likely be successful if you run a fundraising campaign in this category</w:t>
      </w:r>
      <w:r w:rsidRPr="00896D81">
        <w:rPr>
          <w:color w:val="2B2B2B"/>
        </w:rPr>
        <w:t>.</w:t>
      </w:r>
    </w:p>
    <w:p w14:paraId="67950A8F" w14:textId="77777777" w:rsidR="003608AB" w:rsidRDefault="00E47E71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896D81">
        <w:rPr>
          <w:color w:val="2B2B2B"/>
        </w:rPr>
        <w:t xml:space="preserve"> </w:t>
      </w:r>
    </w:p>
    <w:p w14:paraId="616726D8" w14:textId="77777777" w:rsidR="003608AB" w:rsidRDefault="003608AB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2E02FDCD" w14:textId="77777777" w:rsidR="003608AB" w:rsidRDefault="003608AB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074D99AC" w14:textId="77777777" w:rsidR="003608AB" w:rsidRDefault="003608AB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5C1D785D" w14:textId="77777777" w:rsidR="003608AB" w:rsidRDefault="003608AB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12CE5D47" w14:textId="77777777" w:rsidR="00884C8B" w:rsidRDefault="00884C8B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6DE08991" w14:textId="77777777" w:rsidR="00884C8B" w:rsidRDefault="00884C8B" w:rsidP="00C206CE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356D1B5C" w14:textId="470D164E" w:rsidR="00E47E71" w:rsidRPr="00896D81" w:rsidRDefault="00EA08B1" w:rsidP="00C206CE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896D81">
        <w:rPr>
          <w:b/>
          <w:bCs/>
          <w:color w:val="2B2B2B"/>
        </w:rPr>
        <w:lastRenderedPageBreak/>
        <w:t>Summary Stat Table</w:t>
      </w:r>
    </w:p>
    <w:p w14:paraId="5BB7F1F0" w14:textId="1C9116AD" w:rsidR="00EA08B1" w:rsidRDefault="00584131" w:rsidP="0058413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b/>
          <w:bCs/>
        </w:rPr>
      </w:pPr>
      <w:r>
        <w:rPr>
          <w:b/>
          <w:bCs/>
        </w:rPr>
        <w:t xml:space="preserve">Median or </w:t>
      </w:r>
      <w:proofErr w:type="gramStart"/>
      <w:r>
        <w:rPr>
          <w:b/>
          <w:bCs/>
        </w:rPr>
        <w:t>Mean</w:t>
      </w:r>
      <w:proofErr w:type="gramEnd"/>
      <w:r>
        <w:rPr>
          <w:b/>
          <w:bCs/>
        </w:rPr>
        <w:t>?</w:t>
      </w:r>
    </w:p>
    <w:p w14:paraId="2BA1A9F4" w14:textId="1377A8ED" w:rsidR="00584131" w:rsidRPr="00584131" w:rsidRDefault="007422B8" w:rsidP="0058413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b/>
          <w:bCs/>
        </w:rPr>
      </w:pPr>
      <w:r>
        <w:t xml:space="preserve">I </w:t>
      </w:r>
      <w:r w:rsidR="00584131">
        <w:t xml:space="preserve">would use the </w:t>
      </w:r>
      <w:r w:rsidR="00584131" w:rsidRPr="00584131">
        <w:rPr>
          <w:b/>
          <w:bCs/>
        </w:rPr>
        <w:t>median</w:t>
      </w:r>
      <w:r w:rsidR="00584131">
        <w:t>. The data set has a high variance and standard deviation. The median is less sensitive to extreme numbers or outliers.</w:t>
      </w:r>
      <w:r w:rsidR="00CA5B7A">
        <w:t xml:space="preserve"> Such a high variance and standard deviation would skew the mean more.</w:t>
      </w:r>
    </w:p>
    <w:p w14:paraId="0775342B" w14:textId="6C2DCB10" w:rsidR="00D76C99" w:rsidRPr="00D76C99" w:rsidRDefault="00D76C99" w:rsidP="00D76C9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b/>
          <w:bCs/>
        </w:rPr>
      </w:pPr>
      <w:r>
        <w:t>Which data set has greater Variability?</w:t>
      </w:r>
    </w:p>
    <w:p w14:paraId="7CA7B446" w14:textId="77777777" w:rsidR="009B2EEB" w:rsidRPr="009B2EEB" w:rsidRDefault="009B2EEB" w:rsidP="00D76C99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b/>
          <w:bCs/>
        </w:rPr>
      </w:pPr>
      <w:r>
        <w:t>Successful Backers:</w:t>
      </w:r>
    </w:p>
    <w:p w14:paraId="683BCEA3" w14:textId="719640C5" w:rsidR="00D76C99" w:rsidRPr="00EA08B1" w:rsidRDefault="009B2EEB" w:rsidP="009B2EEB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b/>
          <w:bCs/>
        </w:rPr>
      </w:pPr>
      <w:r>
        <w:t xml:space="preserve">Even before looking at the variance and standard deviation, ‘Successful Backers’ has a </w:t>
      </w:r>
      <w:r w:rsidR="007E15B5">
        <w:t>more extensive</w:t>
      </w:r>
      <w:r>
        <w:t xml:space="preserve"> data set- which </w:t>
      </w:r>
      <w:r w:rsidR="007E15B5">
        <w:t>tends</w:t>
      </w:r>
      <w:r>
        <w:t xml:space="preserve"> to have higher variability. Both categories have close medians, but ‘Successful Backers’ has a </w:t>
      </w:r>
      <w:r w:rsidR="007E15B5">
        <w:t>more extensive</w:t>
      </w:r>
      <w:r>
        <w:t xml:space="preserve"> min-max range. So even before calculating the Variance and Standard deviation, you could logically </w:t>
      </w:r>
      <w:r w:rsidR="007E15B5">
        <w:t>hypothesize</w:t>
      </w:r>
      <w:r>
        <w:t xml:space="preserve"> ‘Successful Backers’ would have </w:t>
      </w:r>
      <w:r w:rsidR="007E15B5">
        <w:t>more significant</w:t>
      </w:r>
      <w:r>
        <w:t xml:space="preserve"> variability- which the Variance and Standard Deviation prove since they are </w:t>
      </w:r>
      <w:r w:rsidR="007E15B5">
        <w:t>more extensive</w:t>
      </w:r>
      <w:r>
        <w:t>.</w:t>
      </w:r>
    </w:p>
    <w:sectPr w:rsidR="00D76C99" w:rsidRPr="00EA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6F82"/>
    <w:multiLevelType w:val="hybridMultilevel"/>
    <w:tmpl w:val="382C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568F"/>
    <w:multiLevelType w:val="hybridMultilevel"/>
    <w:tmpl w:val="292E3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C7C67"/>
    <w:multiLevelType w:val="multilevel"/>
    <w:tmpl w:val="A94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055869">
    <w:abstractNumId w:val="2"/>
  </w:num>
  <w:num w:numId="2" w16cid:durableId="669719984">
    <w:abstractNumId w:val="1"/>
  </w:num>
  <w:num w:numId="3" w16cid:durableId="40049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61"/>
    <w:rsid w:val="001E6215"/>
    <w:rsid w:val="003608AB"/>
    <w:rsid w:val="003E4212"/>
    <w:rsid w:val="004E4B70"/>
    <w:rsid w:val="0057703F"/>
    <w:rsid w:val="00584131"/>
    <w:rsid w:val="005D58EE"/>
    <w:rsid w:val="007422B8"/>
    <w:rsid w:val="007E15B5"/>
    <w:rsid w:val="00884C8B"/>
    <w:rsid w:val="00896D81"/>
    <w:rsid w:val="008B6AAD"/>
    <w:rsid w:val="009B2EEB"/>
    <w:rsid w:val="00C206CE"/>
    <w:rsid w:val="00C32961"/>
    <w:rsid w:val="00CA5B7A"/>
    <w:rsid w:val="00D3665E"/>
    <w:rsid w:val="00D75692"/>
    <w:rsid w:val="00D76C99"/>
    <w:rsid w:val="00E47E71"/>
    <w:rsid w:val="00E90A4E"/>
    <w:rsid w:val="00EA08B1"/>
    <w:rsid w:val="00E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FDD2"/>
  <w15:chartTrackingRefBased/>
  <w15:docId w15:val="{F5293977-FE8B-9D48-877D-6AB442DF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9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Norda</dc:creator>
  <cp:keywords/>
  <dc:description/>
  <cp:lastModifiedBy>Luis Norda</cp:lastModifiedBy>
  <cp:revision>10</cp:revision>
  <dcterms:created xsi:type="dcterms:W3CDTF">2023-06-08T16:49:00Z</dcterms:created>
  <dcterms:modified xsi:type="dcterms:W3CDTF">2023-06-15T00:54:00Z</dcterms:modified>
</cp:coreProperties>
</file>