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9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</w:p>
    <w:p w:rsidR="00985D64" w:rsidRDefault="005B57B8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0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5B57B8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2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5B57B8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A55310" w:rsidRPr="00876E47">
          <w:rPr>
            <w:rStyle w:val="Hyperlink"/>
          </w:rPr>
          <w:t>https://loja.professores.dismel.pt</w:t>
        </w:r>
      </w:hyperlink>
    </w:p>
    <w:p w:rsidR="0036100F" w:rsidRPr="00B61CB7" w:rsidRDefault="005B57B8" w:rsidP="00B61CB7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4" w:history="1">
        <w:r w:rsidR="00A55310" w:rsidRPr="00876E47">
          <w:rPr>
            <w:rStyle w:val="Hyperlink"/>
          </w:rPr>
          <w:t>https://loja.estudantes.dismel.pt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5B57B8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5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de Cabo verde (FIC) – 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linguagem adaptada à tecnologia comercilalizada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de ssistemas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 xml:space="preserve">el, </w:t>
      </w:r>
      <w:proofErr w:type="spellStart"/>
      <w:r w:rsidRPr="00682F06">
        <w:rPr>
          <w:lang w:val="en-GB"/>
        </w:rPr>
        <w:t>Powerpoint</w:t>
      </w:r>
      <w:proofErr w:type="spellEnd"/>
      <w:r w:rsidRPr="00682F06">
        <w:rPr>
          <w:lang w:val="en-GB"/>
        </w:rPr>
        <w:t>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  <w:bookmarkStart w:id="3" w:name="_GoBack"/>
      <w:bookmarkEnd w:id="3"/>
    </w:p>
    <w:p w:rsidR="00432A4B" w:rsidRDefault="00432A4B" w:rsidP="00432A4B">
      <w:pPr>
        <w:pStyle w:val="ListParagraph"/>
        <w:widowControl w:val="0"/>
        <w:numPr>
          <w:ilvl w:val="0"/>
          <w:numId w:val="35"/>
        </w:numPr>
        <w:spacing w:after="0"/>
      </w:pPr>
      <w:hyperlink r:id="rId16" w:history="1">
        <w:r w:rsidRPr="00771DA5">
          <w:rPr>
            <w:rStyle w:val="Hyperlink"/>
          </w:rPr>
          <w:t>Certificado de habilitações</w:t>
        </w:r>
      </w:hyperlink>
    </w:p>
    <w:p w:rsidR="003D0425" w:rsidRDefault="005B57B8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</w:t>
      </w:r>
      <w:proofErr w:type="spellStart"/>
      <w:r w:rsidR="003D0425">
        <w:t>Dismel</w:t>
      </w:r>
      <w:proofErr w:type="spellEnd"/>
      <w:r w:rsidR="003D0425">
        <w:t xml:space="preserve"> Lda) </w:t>
      </w:r>
    </w:p>
    <w:p w:rsidR="003D0425" w:rsidRDefault="005B57B8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8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432A4B">
      <w:pPr>
        <w:widowControl w:val="0"/>
        <w:spacing w:after="0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>Lisboa, Setembro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1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7B8" w:rsidRDefault="005B57B8" w:rsidP="00FE58AF">
      <w:pPr>
        <w:spacing w:after="0" w:line="240" w:lineRule="auto"/>
      </w:pPr>
      <w:r>
        <w:separator/>
      </w:r>
    </w:p>
  </w:endnote>
  <w:endnote w:type="continuationSeparator" w:id="0">
    <w:p w:rsidR="005B57B8" w:rsidRDefault="005B57B8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A4B">
          <w:rPr>
            <w:noProof/>
          </w:rPr>
          <w:t>4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7B8" w:rsidRDefault="005B57B8" w:rsidP="00FE58AF">
      <w:pPr>
        <w:spacing w:after="0" w:line="240" w:lineRule="auto"/>
      </w:pPr>
      <w:r>
        <w:separator/>
      </w:r>
    </w:p>
  </w:footnote>
  <w:footnote w:type="continuationSeparator" w:id="0">
    <w:p w:rsidR="005B57B8" w:rsidRDefault="005B57B8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32A4B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429BF"/>
    <w:rsid w:val="00563412"/>
    <w:rsid w:val="005A0AF1"/>
    <w:rsid w:val="005B57B8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419AB"/>
    <w:rsid w:val="0077791E"/>
    <w:rsid w:val="00796839"/>
    <w:rsid w:val="007B7382"/>
    <w:rsid w:val="007D6A53"/>
    <w:rsid w:val="007E03A5"/>
    <w:rsid w:val="007F4290"/>
    <w:rsid w:val="00816F7D"/>
    <w:rsid w:val="00827B14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D03BB"/>
    <w:rsid w:val="00A25E7A"/>
    <w:rsid w:val="00A31605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6816"/>
    <w:rsid w:val="00EF6589"/>
    <w:rsid w:val="00F15496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41A8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oja.professores.dismel.pt" TargetMode="External"/><Relationship Id="rId18" Type="http://schemas.openxmlformats.org/officeDocument/2006/relationships/hyperlink" Target="http://pdf.luispais.net/certificadocp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I79cfA9goQM" TargetMode="External"/><Relationship Id="rId17" Type="http://schemas.openxmlformats.org/officeDocument/2006/relationships/hyperlink" Target="http://pdf.luispais.net/certificadodisme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df.luispais.net/certificado.pdf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8924160.ecwi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3europe.eu/events/t3-conferences/sharing-inspiration-201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dismelld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hyperlink" Target="https://loja.estudantes.dismel.p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564A-18AA-4545-A8A1-F71B7FD5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1255</Words>
  <Characters>6779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39</cp:revision>
  <cp:lastPrinted>2017-08-20T18:28:00Z</cp:lastPrinted>
  <dcterms:created xsi:type="dcterms:W3CDTF">2017-08-16T10:17:00Z</dcterms:created>
  <dcterms:modified xsi:type="dcterms:W3CDTF">2017-10-01T02:33:00Z</dcterms:modified>
</cp:coreProperties>
</file>