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D133" w14:textId="77777777" w:rsidR="00E01851" w:rsidRDefault="00000000">
      <w:pPr>
        <w:pStyle w:val="Ttulo1"/>
      </w:pPr>
      <w:bookmarkStart w:id="0" w:name="header"/>
      <w:bookmarkStart w:id="1" w:name="X374ea3c6183599111b2f1ac785b7cb09d632d1a"/>
      <w:bookmarkStart w:id="2" w:name="content"/>
      <w:bookmarkEnd w:id="0"/>
      <w:r>
        <w:t>Prácticas Irregulares en la Facturación de Prestaciones de Salud y Contratos de ISAPREs en Chile</w:t>
      </w:r>
    </w:p>
    <w:p w14:paraId="0D025365" w14:textId="77777777" w:rsidR="00E01851" w:rsidRDefault="00000000">
      <w:pPr>
        <w:pStyle w:val="Ttulo2"/>
      </w:pPr>
      <w:bookmarkStart w:id="3" w:name="introducción"/>
      <w:r>
        <w:t>Introducción</w:t>
      </w:r>
    </w:p>
    <w:p w14:paraId="2D45F035" w14:textId="77777777" w:rsidR="00E01851" w:rsidRDefault="00000000">
      <w:pPr>
        <w:pStyle w:val="FirstParagraph"/>
      </w:pPr>
      <w:r>
        <w:t xml:space="preserve">En el sistema de salud privado chileno (ISAPREs), se han detectado numerosas prácticas irregulares en la facturación de prestaciones hospitalarias y clínicas que incrementan artificialmente los costos asumidos por los pacientes (copagos). Estas </w:t>
      </w:r>
      <w:r>
        <w:rPr>
          <w:i/>
          <w:iCs/>
        </w:rPr>
        <w:t>“trampas”</w:t>
      </w:r>
      <w:r>
        <w:t xml:space="preserve"> vulneran derechos legales y contractuales de los afiliados, generando reclamos ante la autoridad sanitaria. De hecho, la </w:t>
      </w:r>
      <w:r>
        <w:rPr>
          <w:b/>
          <w:bCs/>
        </w:rPr>
        <w:t>Ley N°20.584 (Derechos y Deberes del Paciente)</w:t>
      </w:r>
      <w:r>
        <w:t xml:space="preserve"> entró en vigor en 2012 para proteger a los usuarios, y desde entonces el número de reclamos por infracciones ha ido en aumento</w:t>
      </w:r>
      <w:hyperlink r:id="rId5" w:anchor=":~:text=%EF%82%A7%20Del%20total%20de%20reclamos,de%20la%20Atenci%C3%B3n%20en%20Salud">
        <w:r w:rsidR="00E01851">
          <w:rPr>
            <w:rStyle w:val="Hipervnculo"/>
          </w:rPr>
          <w:t>[1]</w:t>
        </w:r>
      </w:hyperlink>
      <w:hyperlink r:id="rId6" w:anchor=":~:text=%EF%82%A7%20Desde%20la%20entrada%20en,a%C3%B1o%202020%20con%20un%2089">
        <w:r w:rsidR="00E01851">
          <w:rPr>
            <w:rStyle w:val="Hipervnculo"/>
          </w:rPr>
          <w:t>[2]</w:t>
        </w:r>
      </w:hyperlink>
      <w:r>
        <w:t xml:space="preserve">. Según la Superintendencia de Salud, el 27% de los reclamos presentados bajo la Ley 20.584 se refieren a la </w:t>
      </w:r>
      <w:r>
        <w:rPr>
          <w:b/>
          <w:bCs/>
        </w:rPr>
        <w:t>información financiera de la atención</w:t>
      </w:r>
      <w:r>
        <w:t>, siendo esta la segunda causa más común después de la atención oportuna</w:t>
      </w:r>
      <w:hyperlink r:id="rId7" w:anchor=":~:text=encuentra%20identificada%20%2842,respectivamente">
        <w:r w:rsidR="00E01851">
          <w:rPr>
            <w:rStyle w:val="Hipervnculo"/>
          </w:rPr>
          <w:t>[3]</w:t>
        </w:r>
      </w:hyperlink>
      <w:r>
        <w:t xml:space="preserve">. Cabe destacar que la mayoría de esos reclamos por información financiera (89%) se dirigen contra </w:t>
      </w:r>
      <w:r>
        <w:rPr>
          <w:i/>
          <w:iCs/>
        </w:rPr>
        <w:t>prestadores privados</w:t>
      </w:r>
      <w:r>
        <w:t xml:space="preserve"> (clínicas, hospitales privados), evidenciando la relevancia del problema en el ámbito ISAPRE</w:t>
      </w:r>
      <w:hyperlink r:id="rId8" w:anchor=":~:text=%EF%82%A7%20Por%20otra%20parte%2C%20del,total%20de%20reclamos%20resueltos%20relacionados">
        <w:r w:rsidR="00E01851">
          <w:rPr>
            <w:rStyle w:val="Hipervnculo"/>
          </w:rPr>
          <w:t>[4]</w:t>
        </w:r>
      </w:hyperlink>
      <w:r>
        <w:t>.</w:t>
      </w:r>
    </w:p>
    <w:p w14:paraId="6F1CE2AA" w14:textId="77777777" w:rsidR="00E01851" w:rsidRDefault="00000000">
      <w:pPr>
        <w:pStyle w:val="Textoindependiente"/>
      </w:pPr>
      <w:r>
        <w:t xml:space="preserve">Este informe técnico-jurídico expone las </w:t>
      </w:r>
      <w:r>
        <w:rPr>
          <w:b/>
          <w:bCs/>
        </w:rPr>
        <w:t>principales prácticas de facturación irregular</w:t>
      </w:r>
      <w:r>
        <w:t xml:space="preserve">, las relaciona con las obligaciones contractuales de las ISAPREs y analiza sus implicancias legales. Se incluye referencia a jurisprudencia relevante de la Superintendencia de Salud (fallos arbitrales) y tribunales, junto con las normas administrativas aplicables (circulares, compendios normativos). Asimismo, se abordan problemáticas específicas en </w:t>
      </w:r>
      <w:r>
        <w:rPr>
          <w:b/>
          <w:bCs/>
        </w:rPr>
        <w:t>copagos, bonificaciones, exclusiones de cobertura y uso de redes preferentes</w:t>
      </w:r>
      <w:r>
        <w:t>, vinculándolas con mecanismos como la Cobertura Adicional para Enfermedades Catastróficas (CAEC), Garantías Explícitas en Salud (GES/AUGE), Ley de Urgencia y Ley Ricarte Soto. Finalmente, se presentan conclusiones orientadas a fortalecer políticas de cumplimiento, fiscalización efectiva y defensa de los derechos de los afiliados.</w:t>
      </w:r>
    </w:p>
    <w:p w14:paraId="4230838D" w14:textId="77777777" w:rsidR="00E01851" w:rsidRDefault="00000000">
      <w:pPr>
        <w:pStyle w:val="Ttulo2"/>
      </w:pPr>
      <w:bookmarkStart w:id="4" w:name="X6a940701c3ac85426c804e15094e1681cfc0537"/>
      <w:bookmarkEnd w:id="3"/>
      <w:r>
        <w:t>Prácticas Irregulares Comunes en la Facturación Médica</w:t>
      </w:r>
    </w:p>
    <w:p w14:paraId="5A33925C" w14:textId="77777777" w:rsidR="00E01851" w:rsidRDefault="00000000">
      <w:pPr>
        <w:pStyle w:val="FirstParagraph"/>
      </w:pPr>
      <w:r>
        <w:t xml:space="preserve">A continuación se describen diez prácticas comunes de </w:t>
      </w:r>
      <w:r>
        <w:rPr>
          <w:b/>
          <w:bCs/>
        </w:rPr>
        <w:t>cobro irregular</w:t>
      </w:r>
      <w:r>
        <w:t xml:space="preserve"> detectadas en cuentas hospitalarias y clínicas privadas</w:t>
      </w:r>
      <w:hyperlink r:id="rId9" w:anchor=":~:text=1,pactadas%20o%20topes%20del%20plan">
        <w:r w:rsidR="00E01851">
          <w:rPr>
            <w:rStyle w:val="Hipervnculo"/>
          </w:rPr>
          <w:t>[5]</w:t>
        </w:r>
      </w:hyperlink>
      <w:hyperlink r:id="rId10" w:anchor=":~:text=%28Cobertura%2FContrato%29%208,agrupadores%20sin%20desglose%2C%20asociaciones%20err%C3%B3neas">
        <w:r w:rsidR="00E01851">
          <w:rPr>
            <w:rStyle w:val="Hipervnculo"/>
          </w:rPr>
          <w:t>[6]</w:t>
        </w:r>
      </w:hyperlink>
      <w:r>
        <w:t>. Cada sub-sección explica en qué consiste la práctica, por qué infringe normas o contratos, y cómo impacta en los copagos del paciente.</w:t>
      </w:r>
    </w:p>
    <w:p w14:paraId="0782C0F9" w14:textId="77777777" w:rsidR="00E01851" w:rsidRDefault="00000000">
      <w:pPr>
        <w:pStyle w:val="Ttulo3"/>
      </w:pPr>
      <w:bookmarkStart w:id="5" w:name="X83b11c54eca9ed616b08dc8f3057f6513d1e933"/>
      <w:r>
        <w:t>1. Inflamiento de costos de medicamentos (farmacia)</w:t>
      </w:r>
    </w:p>
    <w:p w14:paraId="3E31B300" w14:textId="77777777" w:rsidR="00E01851" w:rsidRDefault="00000000">
      <w:pPr>
        <w:pStyle w:val="FirstParagraph"/>
      </w:pPr>
      <w:r>
        <w:t xml:space="preserve">Consiste en </w:t>
      </w:r>
      <w:r>
        <w:rPr>
          <w:b/>
          <w:bCs/>
        </w:rPr>
        <w:t>sobrecargar el valor de los medicamentos</w:t>
      </w:r>
      <w:r>
        <w:t xml:space="preserve"> utilizados durante la atención, cobrando más de lo realmente consumido. Un ejemplo típico es facturar al </w:t>
      </w:r>
      <w:r>
        <w:lastRenderedPageBreak/>
        <w:t xml:space="preserve">paciente una caja completa de un fármaco aunque solo se usaron unas pocas dosis, o aplicar códigos de medicamento más costosos que el correspondiente (lo que en auditoría se denomina </w:t>
      </w:r>
      <w:r>
        <w:rPr>
          <w:i/>
          <w:iCs/>
        </w:rPr>
        <w:t>upcoding</w:t>
      </w:r>
      <w:r>
        <w:t>)</w:t>
      </w:r>
      <w:hyperlink r:id="rId11" w:anchor=":~:text=instituciones%20cobran%20por%20%20cantidades,no%20corresponde%20al%20consumo%20real">
        <w:r w:rsidR="00E01851">
          <w:rPr>
            <w:rStyle w:val="Hipervnculo"/>
          </w:rPr>
          <w:t>[7]</w:t>
        </w:r>
      </w:hyperlink>
      <w:hyperlink r:id="rId12" w:anchor=":~:text=copago,cientos%20de%20miles%20de%20pesos">
        <w:r w:rsidR="00E01851">
          <w:rPr>
            <w:rStyle w:val="Hipervnculo"/>
          </w:rPr>
          <w:t>[8]</w:t>
        </w:r>
      </w:hyperlink>
      <w:r>
        <w:t>. El resultado es un copago exagerado sobre insumos no efectivamente utilizados.</w:t>
      </w:r>
    </w:p>
    <w:p w14:paraId="13ACD6BA" w14:textId="77777777" w:rsidR="00E01851" w:rsidRDefault="00000000">
      <w:pPr>
        <w:pStyle w:val="Textoindependiente"/>
      </w:pPr>
      <w:r>
        <w:t xml:space="preserve">Legalmente, esta práctica es incompatible con la normativa vigente. La </w:t>
      </w:r>
      <w:r>
        <w:rPr>
          <w:b/>
          <w:bCs/>
        </w:rPr>
        <w:t>Ley de Derechos y Deberes del Paciente (N°20.584)</w:t>
      </w:r>
      <w:r>
        <w:t xml:space="preserve"> estableció expresamente que solo puede cobrarse al paciente la dosis de medicamento </w:t>
      </w:r>
      <w:r>
        <w:rPr>
          <w:b/>
          <w:bCs/>
        </w:rPr>
        <w:t>efectivamente utilizada</w:t>
      </w:r>
      <w:r>
        <w:t>, corrigiendo el abuso histórico de facturar envases completos que no se consumieron</w:t>
      </w:r>
      <w:hyperlink r:id="rId13" w:anchor=":~:text=Desde%20el%20%20punto%20de,por%20ejemplo%2C%20un%20frasco%20entero">
        <w:r w:rsidR="00E01851">
          <w:rPr>
            <w:rStyle w:val="Hipervnculo"/>
          </w:rPr>
          <w:t>[9]</w:t>
        </w:r>
      </w:hyperlink>
      <w:r>
        <w:t xml:space="preserve">. Por ejemplo, si durante la hospitalización se administraron 5 dosis, la cuenta debe cobrar esas 5 dosis, </w:t>
      </w:r>
      <w:r>
        <w:rPr>
          <w:i/>
          <w:iCs/>
        </w:rPr>
        <w:t>no</w:t>
      </w:r>
      <w:r>
        <w:t xml:space="preserve"> un frasco entero de 30 dosis. Cobrar fármacos no usados o inflar sus precios vulnera el derecho del paciente a una facturación correcta y al cobro solo de prestaciones brindadas.</w:t>
      </w:r>
    </w:p>
    <w:p w14:paraId="68B65B3C" w14:textId="77777777" w:rsidR="00E01851" w:rsidRDefault="00000000">
      <w:pPr>
        <w:pStyle w:val="Textoindependiente"/>
      </w:pPr>
      <w:r>
        <w:t xml:space="preserve">Desde el punto de vista financiero, el inflamiento de medicamentos constituye una forma de </w:t>
      </w:r>
      <w:r>
        <w:rPr>
          <w:b/>
          <w:bCs/>
        </w:rPr>
        <w:t>fraude por sobrecodificación</w:t>
      </w:r>
      <w:r>
        <w:t>: se utilizan códigos de fármacos más caros o cantidades mayores para obtener mayor pago</w:t>
      </w:r>
      <w:hyperlink r:id="rId14" w:anchor=":~:text=copago,cientos%20de%20miles%20de%20pesos">
        <w:r w:rsidR="00E01851">
          <w:rPr>
            <w:rStyle w:val="Hipervnculo"/>
          </w:rPr>
          <w:t>[8]</w:t>
        </w:r>
      </w:hyperlink>
      <w:r>
        <w:t>. El paciente termina pagando de su bolsillo por medicamentos que no recibió, con incrementos que pueden sumar cientos de miles de pesos en copagos indebidos</w:t>
      </w:r>
      <w:hyperlink r:id="rId15" w:anchor=":~:text=caros%20o%20complejos%20de%20lo,de%20miles%20de%20pesos%20extra">
        <w:r w:rsidR="00E01851">
          <w:rPr>
            <w:rStyle w:val="Hipervnculo"/>
          </w:rPr>
          <w:t>[10]</w:t>
        </w:r>
      </w:hyperlink>
      <w:r>
        <w:t>. Clínicamente, no hay justificación para tales sobrecargos, pues los medicamentos administrados quedan registrados en la ficha y deberían coincidir con la facturación; cualquier divergencia sugiere manipulación deliberada de la cuenta</w:t>
      </w:r>
      <w:hyperlink r:id="rId16" w:anchor=":~:text=Desde%20%20el%20%20punto,de%20amplio%20espectro%20mucho%20m%C3%A1s">
        <w:r w:rsidR="00E01851">
          <w:rPr>
            <w:rStyle w:val="Hipervnculo"/>
          </w:rPr>
          <w:t>[11]</w:t>
        </w:r>
      </w:hyperlink>
      <w:hyperlink r:id="rId17" w:anchor=":~:text=manipulaci%C3%B3n%20%20deliberada%20%20de,administraron%2C%20lo%20que%20indicar%C3%ADa%20inflamiento">
        <w:r w:rsidR="00E01851">
          <w:rPr>
            <w:rStyle w:val="Hipervnculo"/>
          </w:rPr>
          <w:t>[12]</w:t>
        </w:r>
      </w:hyperlink>
      <w:r>
        <w:t>.</w:t>
      </w:r>
    </w:p>
    <w:p w14:paraId="36D6F972" w14:textId="77777777" w:rsidR="00E01851" w:rsidRDefault="00000000">
      <w:pPr>
        <w:pStyle w:val="Ttulo3"/>
      </w:pPr>
      <w:bookmarkStart w:id="6" w:name="desagregación-de-materiales-de-pabellón"/>
      <w:bookmarkEnd w:id="5"/>
      <w:r>
        <w:t>2. Desagregación de materiales de pabellón</w:t>
      </w:r>
    </w:p>
    <w:p w14:paraId="702C4C6C" w14:textId="77777777" w:rsidR="00E01851" w:rsidRDefault="00000000">
      <w:pPr>
        <w:pStyle w:val="FirstParagraph"/>
      </w:pPr>
      <w:r>
        <w:t xml:space="preserve">La “desagregación de materiales de pabellón” es una forma de </w:t>
      </w:r>
      <w:r>
        <w:rPr>
          <w:b/>
          <w:bCs/>
        </w:rPr>
        <w:t>unbundling</w:t>
      </w:r>
      <w:r>
        <w:t xml:space="preserve"> o cobro separado de insumos que deberían estar incluidos en la tarifa global de pabellón quirúrgico. Al someterse a una cirugía, la clínica cobra un ítem denominado generalmente </w:t>
      </w:r>
      <w:r>
        <w:rPr>
          <w:b/>
          <w:bCs/>
        </w:rPr>
        <w:t>“Derecho de Pabellón”</w:t>
      </w:r>
      <w:r>
        <w:t>, que es un precio paquete por el uso del quirófano e incluye materiales básicos y equipamiento necesarios durante la operación (p. ej., gasas, compresas, jeringas desechables, suturas básicas, guantes, ropa estéril, antisepsia, uso de equipos estándar, etc.)</w:t>
      </w:r>
      <w:hyperlink r:id="rId18" w:anchor=":~:text=insumos%20que%20deber%C3%ADan%20estar%20incluidos,acuerdos%20entre%20aseguradoras%20y%20prestadores">
        <w:r w:rsidR="00E01851">
          <w:rPr>
            <w:rStyle w:val="Hipervnculo"/>
          </w:rPr>
          <w:t>[13]</w:t>
        </w:r>
      </w:hyperlink>
      <w:hyperlink r:id="rId19" w:anchor=":~:text=deben%20cobrarse%20aparte%20al%20paciente%2C,insumos%20constituye%20un%20cobro%20duplicado">
        <w:r w:rsidR="00E01851">
          <w:rPr>
            <w:rStyle w:val="Hipervnculo"/>
          </w:rPr>
          <w:t>[14]</w:t>
        </w:r>
      </w:hyperlink>
      <w:r>
        <w:t xml:space="preserve">. Según normas técnico-administrativas vigentes y acuerdos entre aseguradoras y prestadores, </w:t>
      </w:r>
      <w:r>
        <w:rPr>
          <w:i/>
          <w:iCs/>
        </w:rPr>
        <w:t>estos insumos básicos no deben cobrarse aparte</w:t>
      </w:r>
      <w:r>
        <w:t xml:space="preserve">, pues su costo </w:t>
      </w:r>
      <w:r>
        <w:rPr>
          <w:b/>
          <w:bCs/>
        </w:rPr>
        <w:t>ya está incorporado</w:t>
      </w:r>
      <w:r>
        <w:t xml:space="preserve"> en la tarifa pactada de pabellón</w:t>
      </w:r>
      <w:hyperlink r:id="rId20" w:anchor=":~:text=t%C3%A9cnico,insumos%20constituye%20un%20cobro%20duplicado">
        <w:r w:rsidR="00E01851">
          <w:rPr>
            <w:rStyle w:val="Hipervnculo"/>
          </w:rPr>
          <w:t>[15]</w:t>
        </w:r>
      </w:hyperlink>
      <w:hyperlink r:id="rId21" w:anchor=":~:text=Desde%20el%20%20enfoque%20financiero%2C,cobran%20%20juntos%20%20a">
        <w:r w:rsidR="00E01851">
          <w:rPr>
            <w:rStyle w:val="Hipervnculo"/>
          </w:rPr>
          <w:t>[16]</w:t>
        </w:r>
      </w:hyperlink>
      <w:r>
        <w:t>. De hecho, existen listados oficiales detallando qué se incluye en el derecho de pabellón (e.g., “gasa, algodón, tórulas, ropa estéril, antisépticos…”)</w:t>
      </w:r>
      <w:hyperlink r:id="rId22" w:anchor=":~:text=paga,insumos%20constituye%20un%20cobro%20duplicado">
        <w:r w:rsidR="00E01851">
          <w:rPr>
            <w:rStyle w:val="Hipervnculo"/>
          </w:rPr>
          <w:t>[17]</w:t>
        </w:r>
      </w:hyperlink>
      <w:r>
        <w:t xml:space="preserve">. Cobrar separadamente por estos insumos constituye un </w:t>
      </w:r>
      <w:r>
        <w:rPr>
          <w:b/>
          <w:bCs/>
        </w:rPr>
        <w:t>doble cobro indebido</w:t>
      </w:r>
      <w:r>
        <w:t>.</w:t>
      </w:r>
    </w:p>
    <w:p w14:paraId="6E7CCC69" w14:textId="77777777" w:rsidR="00E01851" w:rsidRDefault="00000000">
      <w:pPr>
        <w:pStyle w:val="Textoindependiente"/>
      </w:pPr>
      <w:r>
        <w:t xml:space="preserve">Una práctica irregular detectada es que algunas clínicas </w:t>
      </w:r>
      <w:r>
        <w:rPr>
          <w:b/>
          <w:bCs/>
        </w:rPr>
        <w:t>fragmentan esos materiales incluidos y los facturan por separado</w:t>
      </w:r>
      <w:r>
        <w:t xml:space="preserve"> en la cuenta. Por ejemplo, cobran cierta cantidad de gasas con su propio código y precio, jeringas con otro código, suturas con otro, etc., </w:t>
      </w:r>
      <w:r>
        <w:rPr>
          <w:i/>
          <w:iCs/>
        </w:rPr>
        <w:t>cuando todo ello debió estar cubierto por el pago del pabellón</w:t>
      </w:r>
      <w:hyperlink r:id="rId23" w:anchor=":~:text=No%20obstante%2C%20una%20pr%C3%A1ctica%20irregular,fuera%2C%20%20a%20trav%C3%A9s%20de">
        <w:r w:rsidR="00E01851">
          <w:rPr>
            <w:rStyle w:val="Hipervnculo"/>
          </w:rPr>
          <w:t>[18]</w:t>
        </w:r>
      </w:hyperlink>
      <w:hyperlink r:id="rId24" w:anchor=":~:text=c%C3%B3digos%20gen%C3%A9ricos%20como%203101304%20u,otros%20agrupadores">
        <w:r w:rsidR="00E01851">
          <w:rPr>
            <w:rStyle w:val="Hipervnculo"/>
          </w:rPr>
          <w:t>[19]</w:t>
        </w:r>
      </w:hyperlink>
      <w:r>
        <w:t>. En la cuenta, esto suele aparecer bajo códigos genéricos o “agrupadores” como el 3101304, 3101002 u otros, en rubros de materiales clínicos</w:t>
      </w:r>
      <w:hyperlink r:id="rId25" w:anchor=":~:text=cubierto%20por%20el%20pago%20del,como%203101304%20u%20otros%20agrupadores">
        <w:r w:rsidR="00E01851">
          <w:rPr>
            <w:rStyle w:val="Hipervnculo"/>
          </w:rPr>
          <w:t>[20]</w:t>
        </w:r>
      </w:hyperlink>
      <w:hyperlink r:id="rId26" w:anchor=":~:text=gasas%20est%C3%A9riles%20%2430,Situaciones%20as%C3%AD%20deben">
        <w:r w:rsidR="00E01851">
          <w:rPr>
            <w:rStyle w:val="Hipervnculo"/>
          </w:rPr>
          <w:t>[21]</w:t>
        </w:r>
      </w:hyperlink>
      <w:r>
        <w:t xml:space="preserve">. Financiaramente, la desagregación </w:t>
      </w:r>
      <w:r>
        <w:rPr>
          <w:b/>
          <w:bCs/>
        </w:rPr>
        <w:t>aumenta artificialmente</w:t>
      </w:r>
      <w:r>
        <w:t xml:space="preserve"> el </w:t>
      </w:r>
      <w:r>
        <w:lastRenderedPageBreak/>
        <w:t xml:space="preserve">monto: el paciente paga el derecho de pabellón completo </w:t>
      </w:r>
      <w:r>
        <w:rPr>
          <w:i/>
          <w:iCs/>
        </w:rPr>
        <w:t>y además</w:t>
      </w:r>
      <w:r>
        <w:t xml:space="preserve"> paga de nuevo por insumos ya supuestamente cubiertos, resultando en un copago mayor por los mismos servicios</w:t>
      </w:r>
      <w:hyperlink r:id="rId27" w:anchor=":~:text=Desde%20el%20%20enfoque%20financiero%2C,cobran%20%20juntos%20%20a">
        <w:r w:rsidR="00E01851">
          <w:rPr>
            <w:rStyle w:val="Hipervnculo"/>
          </w:rPr>
          <w:t>[16]</w:t>
        </w:r>
      </w:hyperlink>
      <w:hyperlink r:id="rId28" w:anchor=":~:text=facturarlos%20individualmente%20a%20mayor%20costo,quedando%20a%20cargo%20del%20paciente">
        <w:r w:rsidR="00E01851">
          <w:rPr>
            <w:rStyle w:val="Hipervnculo"/>
          </w:rPr>
          <w:t>[22]</w:t>
        </w:r>
      </w:hyperlink>
      <w:r>
        <w:t xml:space="preserve">. Esta práctica califica como fraude de facturación por </w:t>
      </w:r>
      <w:r>
        <w:rPr>
          <w:i/>
          <w:iCs/>
        </w:rPr>
        <w:t>unbundling</w:t>
      </w:r>
      <w:r>
        <w:t>, definido precisamente como separar servicios que normalmente se cobran juntos en una tarifa fija, para facturarlos individualmente a mayor costo</w:t>
      </w:r>
      <w:hyperlink r:id="rId29" w:anchor=":~:text=supuestamente%20cubiertos%20en%20ese%20derecho,plan%20%20de%20%20salud">
        <w:r w:rsidR="00E01851">
          <w:rPr>
            <w:rStyle w:val="Hipervnculo"/>
          </w:rPr>
          <w:t>[23]</w:t>
        </w:r>
      </w:hyperlink>
      <w:r>
        <w:t>.</w:t>
      </w:r>
    </w:p>
    <w:p w14:paraId="44BAB7AE" w14:textId="77777777" w:rsidR="00E01851" w:rsidRDefault="00000000">
      <w:pPr>
        <w:pStyle w:val="Textoindependiente"/>
      </w:pPr>
      <w:r>
        <w:t xml:space="preserve">Desde el punto de vista </w:t>
      </w:r>
      <w:r>
        <w:rPr>
          <w:b/>
          <w:bCs/>
        </w:rPr>
        <w:t>legal y contractual</w:t>
      </w:r>
      <w:r>
        <w:t xml:space="preserve">, no existe justificación para desagregar insumos incluidos. Las ISAPREs definen en sus aranceles qué comprende el derecho de pabellón; por ejemplo, en aranceles se indica explícitamente: </w:t>
      </w:r>
      <w:r>
        <w:rPr>
          <w:i/>
          <w:iCs/>
        </w:rPr>
        <w:t>“QUE SE INCLUYE EN DERECHO DE PABELLÓN – Insumos y elementos: ... (lista de materiales básicos)”</w:t>
      </w:r>
      <w:hyperlink r:id="rId30" w:anchor=":~:text=Fonasa%20definen%20en%20sus%20aranceles,el%20paciente%20dif%C3%ADcilmente%20podr%C3%ADa%20saber">
        <w:r w:rsidR="00E01851">
          <w:rPr>
            <w:rStyle w:val="Hipervnculo"/>
          </w:rPr>
          <w:t>[24]</w:t>
        </w:r>
      </w:hyperlink>
      <w:r>
        <w:t xml:space="preserve">. Si un prestador igualmente cobra esos ítems aparte, está </w:t>
      </w:r>
      <w:r>
        <w:rPr>
          <w:b/>
          <w:bCs/>
        </w:rPr>
        <w:t>incumpliendo la normativa y su contrato con la aseguradora</w:t>
      </w:r>
      <w:r>
        <w:t>, incurriendo en una infracción sancionable</w:t>
      </w:r>
      <w:hyperlink r:id="rId31" w:anchor=":~:text=Legalmente%2C%20%20no%20existe%20justificaci%C3%B3n,la%20%20aseguradora%2C%20%20potencialmente">
        <w:r w:rsidR="00E01851">
          <w:rPr>
            <w:rStyle w:val="Hipervnculo"/>
          </w:rPr>
          <w:t>[25]</w:t>
        </w:r>
      </w:hyperlink>
      <w:r>
        <w:t xml:space="preserve">. Efectivamente, al cobrar duplicadamente materiales incluidos, el prestador obtiene un beneficio ilícito en perjuicio del paciente y de la aseguradora. Desde la óptica del paciente, además, se genera </w:t>
      </w:r>
      <w:r>
        <w:rPr>
          <w:i/>
          <w:iCs/>
        </w:rPr>
        <w:t>opacidad</w:t>
      </w:r>
      <w:r>
        <w:t xml:space="preserve">: es difícil que un paciente pueda comprobar cuántas gasas o guantes se usaron realmente durante su cirugía, confiando legítimamente en que el cobro global cubre todo lo necesario. La fragmentación abre la puerta a </w:t>
      </w:r>
      <w:r>
        <w:rPr>
          <w:b/>
          <w:bCs/>
        </w:rPr>
        <w:t>cobros fantasmas</w:t>
      </w:r>
      <w:r>
        <w:t>, imposibles de verificar por el usuario medio</w:t>
      </w:r>
      <w:hyperlink r:id="rId32" w:anchor=":~:text=sancionable,de%20transparencia%20aqu%C3%AD%20es%20cr%C3%ADtica">
        <w:r w:rsidR="00E01851">
          <w:rPr>
            <w:rStyle w:val="Hipervnculo"/>
          </w:rPr>
          <w:t>[26]</w:t>
        </w:r>
      </w:hyperlink>
      <w:hyperlink r:id="rId33" w:anchor=":~:text=gasas%20o%20agujas%20se%20usaron%3B,de%20transparencia%20aqu%C3%AD%20es%20cr%C3%ADtica">
        <w:r w:rsidR="00E01851">
          <w:rPr>
            <w:rStyle w:val="Hipervnculo"/>
          </w:rPr>
          <w:t>[27]</w:t>
        </w:r>
      </w:hyperlink>
      <w:r>
        <w:t>.</w:t>
      </w:r>
    </w:p>
    <w:p w14:paraId="4A255877" w14:textId="77777777" w:rsidR="00E01851" w:rsidRDefault="00000000">
      <w:pPr>
        <w:pStyle w:val="Textoindependiente"/>
      </w:pPr>
      <w:r>
        <w:rPr>
          <w:b/>
          <w:bCs/>
        </w:rPr>
        <w:t>Ejemplo:</w:t>
      </w:r>
      <w:r>
        <w:t xml:space="preserve"> un paciente recibe una factura con “Derecho de Pabellón: $1.000.000” por su cirugía, pero adicionalmente se le cargan ítems como “Uso de bisturí desechable: $50.000”, “Paquete de gasas estériles: $30.000”, “Sutura básica: $20.000”, sumando $100.000 extra. Ese monto adicional corresponde a insumos básicos que </w:t>
      </w:r>
      <w:r>
        <w:rPr>
          <w:i/>
          <w:iCs/>
        </w:rPr>
        <w:t>ya debían estar incluidos</w:t>
      </w:r>
      <w:r>
        <w:t xml:space="preserve"> en el precio del pabellón; por tanto, es cobro indebido. En un caso documentado, a un paciente se le facturaron $256.065 bajo el código genérico </w:t>
      </w:r>
      <w:r>
        <w:rPr>
          <w:b/>
          <w:bCs/>
        </w:rPr>
        <w:t>3101002 “Materiales clínicos en hospitalización”</w:t>
      </w:r>
      <w:r>
        <w:t>, generándole $226.995 de copago, cuando muchos de esos materiales eran insumos de quirófano incluidos en la cirugía</w:t>
      </w:r>
      <w:hyperlink r:id="rId34" w:anchor=":~:text=gasas%20est%C3%A9riles%20%2430,Situaciones%20as%C3%AD%20deben">
        <w:r w:rsidR="00E01851">
          <w:rPr>
            <w:rStyle w:val="Hipervnculo"/>
          </w:rPr>
          <w:t>[21]</w:t>
        </w:r>
      </w:hyperlink>
      <w:r>
        <w:t>. Situaciones así deben ser objetadas y corregidas.</w:t>
      </w:r>
    </w:p>
    <w:p w14:paraId="15BFA74C" w14:textId="77777777" w:rsidR="00E01851" w:rsidRDefault="00000000">
      <w:pPr>
        <w:pStyle w:val="Ttulo3"/>
      </w:pPr>
      <w:bookmarkStart w:id="7" w:name="Xe06e3046d0d961fa4308d03eed31c8f9aa30a41"/>
      <w:bookmarkEnd w:id="6"/>
      <w:r>
        <w:t>3. Fármacos de pabellón cobrados aparte (medicación intraoperatoria)</w:t>
      </w:r>
    </w:p>
    <w:p w14:paraId="7481CED2" w14:textId="77777777" w:rsidR="00E01851" w:rsidRDefault="00000000">
      <w:pPr>
        <w:pStyle w:val="FirstParagraph"/>
      </w:pPr>
      <w:r>
        <w:t xml:space="preserve">Relacionada con la anterior, esta práctica se enfoca en los </w:t>
      </w:r>
      <w:r>
        <w:rPr>
          <w:b/>
          <w:bCs/>
        </w:rPr>
        <w:t>medicamentos administrados durante una cirugía o procedimiento</w:t>
      </w:r>
      <w:r>
        <w:t xml:space="preserve"> (fármacos anestésicos, analgésicos intraoperatorios, antibióticos profilácticos, sueros, etc.). En muchos casos, el costo de estos fármacos debería estar considerado </w:t>
      </w:r>
      <w:r>
        <w:rPr>
          <w:b/>
          <w:bCs/>
        </w:rPr>
        <w:t>dentro del procedimiento quirúrgico</w:t>
      </w:r>
      <w:r>
        <w:t xml:space="preserve"> o de la atención integral. Sin embargo, algunas clínicas los </w:t>
      </w:r>
      <w:r>
        <w:rPr>
          <w:b/>
          <w:bCs/>
        </w:rPr>
        <w:t>“desplazan” al ítem de farmacia general</w:t>
      </w:r>
      <w:r>
        <w:t xml:space="preserve"> para generar un copago adicional</w:t>
      </w:r>
      <w:hyperlink r:id="rId35" w:anchor=":~:text=considerado%20%20dentro%20%20del,durante%20%20la%20hospitalizaci%C3%B3n">
        <w:r w:rsidR="00E01851">
          <w:rPr>
            <w:rStyle w:val="Hipervnculo"/>
          </w:rPr>
          <w:t>[28]</w:t>
        </w:r>
      </w:hyperlink>
      <w:hyperlink r:id="rId36" w:anchor=":~:text=cl%C3%ADnicas%20%20%E2%80%9Cdesplazan%E2%80%9D%20%20esos,durante%20%20la%20hospitalizaci%C3%B3n">
        <w:r w:rsidR="00E01851">
          <w:rPr>
            <w:rStyle w:val="Hipervnculo"/>
          </w:rPr>
          <w:t>[29]</w:t>
        </w:r>
      </w:hyperlink>
      <w:r>
        <w:t>. Es decir, en lugar de incluirlos bajo la cuenta de pabellón o del acto anestésico (donde aplicarían las coberturas del plan de salud), se facturan como medicamentos separados de la hospitalización.</w:t>
      </w:r>
    </w:p>
    <w:p w14:paraId="32E841AE" w14:textId="77777777" w:rsidR="00E01851" w:rsidRDefault="00000000">
      <w:pPr>
        <w:pStyle w:val="Textoindependiente"/>
      </w:pPr>
      <w:r>
        <w:t xml:space="preserve">Por ejemplo, supongamos que en una apendicectomía con anestesia general, el paquete quirúrgico debiera cubrir la medicación anestésica. La irregularidad ocurre si aparte del cobro del honorario del anestesista, el paciente encuentra en la sección “Farmacia” de su cuenta cargos detallados por </w:t>
      </w:r>
      <w:r>
        <w:rPr>
          <w:b/>
          <w:bCs/>
        </w:rPr>
        <w:t xml:space="preserve">Propofol, Fentanilo, Midazolam, </w:t>
      </w:r>
      <w:r>
        <w:rPr>
          <w:b/>
          <w:bCs/>
        </w:rPr>
        <w:lastRenderedPageBreak/>
        <w:t>Sevoflurano</w:t>
      </w:r>
      <w:r>
        <w:t>, etc., con sus respectivos precios</w:t>
      </w:r>
      <w:hyperlink r:id="rId37" w:anchor=":~:text=Por%20%20ejemplo%2C%20%20supongamos,con%20su%20precio">
        <w:r w:rsidR="00E01851">
          <w:rPr>
            <w:rStyle w:val="Hipervnculo"/>
          </w:rPr>
          <w:t>[30]</w:t>
        </w:r>
      </w:hyperlink>
      <w:hyperlink r:id="rId38" w:anchor=":~:text=espec%C3%ADfico%20de%20anestesia,que%20se%20est%C3%A1n%20facturando%20desagregados">
        <w:r w:rsidR="00E01851">
          <w:rPr>
            <w:rStyle w:val="Hipervnculo"/>
          </w:rPr>
          <w:t>[31]</w:t>
        </w:r>
      </w:hyperlink>
      <w:r>
        <w:t xml:space="preserve">. Esos son medicamentos de pabellón facturados </w:t>
      </w:r>
      <w:r>
        <w:rPr>
          <w:i/>
          <w:iCs/>
        </w:rPr>
        <w:t>como si fueran fármacos de hospitalización general</w:t>
      </w:r>
      <w:r>
        <w:t>, aumentando el copago.</w:t>
      </w:r>
    </w:p>
    <w:p w14:paraId="132C7F90" w14:textId="77777777" w:rsidR="00E01851" w:rsidRDefault="00000000">
      <w:pPr>
        <w:pStyle w:val="Textoindependiente"/>
      </w:pPr>
      <w:r>
        <w:t xml:space="preserve">Financieramente, esto </w:t>
      </w:r>
      <w:r>
        <w:rPr>
          <w:b/>
          <w:bCs/>
        </w:rPr>
        <w:t>encarece doblemente</w:t>
      </w:r>
      <w:r>
        <w:t xml:space="preserve"> la cirugía: el paciente paga el honorario del anestesiólogo (y otros costos quirúrgicos) </w:t>
      </w:r>
      <w:r>
        <w:rPr>
          <w:i/>
          <w:iCs/>
        </w:rPr>
        <w:t>y además</w:t>
      </w:r>
      <w:r>
        <w:t xml:space="preserve"> paga por separado los insumos farmacológicos de la anestesia que ya deberían estar considerados en la intervención</w:t>
      </w:r>
      <w:hyperlink r:id="rId39" w:anchor=":~:text=Desde%20%20el%20%20punto,paciente%20termina%20cubriendo%20el%20100">
        <w:r w:rsidR="00E01851">
          <w:rPr>
            <w:rStyle w:val="Hipervnculo"/>
          </w:rPr>
          <w:t>[32]</w:t>
        </w:r>
      </w:hyperlink>
      <w:r>
        <w:t xml:space="preserve">. Muchas aseguradoras, al auditar estas cuentas, tratan estos cargos igual que en el punto anterior: si estiman que tales medicamentos debían incluirse en el paquete quirúrgico, </w:t>
      </w:r>
      <w:r>
        <w:rPr>
          <w:b/>
          <w:bCs/>
        </w:rPr>
        <w:t>rechazan su cobertura (0% de bonificación)</w:t>
      </w:r>
      <w:r>
        <w:t>, con lo cual el paciente termina pagando el 100% de esos fármacos</w:t>
      </w:r>
      <w:hyperlink r:id="rId40" w:anchor=":~:text=honorario%20%20del%20%20anestesi%C3%B3logo,caso%20de%20unbundling%20motivado%20por">
        <w:r w:rsidR="00E01851">
          <w:rPr>
            <w:rStyle w:val="Hipervnculo"/>
          </w:rPr>
          <w:t>[33]</w:t>
        </w:r>
      </w:hyperlink>
      <w:r>
        <w:t xml:space="preserve">. En otras palabras, el afiliado financia completamente unos insumos que, de aplicarse correctamente el contrato, habrían estado mayoritariamente cubiertos. Nuevamente, es un caso de </w:t>
      </w:r>
      <w:r>
        <w:rPr>
          <w:i/>
          <w:iCs/>
        </w:rPr>
        <w:t>unbundling</w:t>
      </w:r>
      <w:r>
        <w:t xml:space="preserve"> motivado por lucro.</w:t>
      </w:r>
    </w:p>
    <w:p w14:paraId="2D267880" w14:textId="77777777" w:rsidR="00E01851" w:rsidRDefault="00000000">
      <w:pPr>
        <w:pStyle w:val="Textoindependiente"/>
      </w:pPr>
      <w:r>
        <w:t xml:space="preserve">Legalmente, </w:t>
      </w:r>
      <w:r>
        <w:rPr>
          <w:b/>
          <w:bCs/>
        </w:rPr>
        <w:t>existe un área gris</w:t>
      </w:r>
      <w:r>
        <w:t xml:space="preserve"> que depende de la redacción del contrato y arancel de cada isapre: algunas pólizas definen explícitamente si los medicamentos de pabellón van incluidos o no. En general, si el contrato o arancel </w:t>
      </w:r>
      <w:r>
        <w:rPr>
          <w:i/>
          <w:iCs/>
        </w:rPr>
        <w:t>no prevé cobrarlos aparte</w:t>
      </w:r>
      <w:r>
        <w:t xml:space="preserve">, hacerlo podría considerarse un cobro improcedente o no pactado. De hecho, desarrolladores de herramientas de auditoría han creado reglas para detectar estos casos: por ejemplo, marcar un medicamento con código </w:t>
      </w:r>
      <w:r>
        <w:rPr>
          <w:b/>
          <w:bCs/>
        </w:rPr>
        <w:t>3101302 “Medicamentos hospitalizados”</w:t>
      </w:r>
      <w:r>
        <w:t xml:space="preserve"> usado el mismo día de una cirugía, como posible duplicado del paquete quirúrgico</w:t>
      </w:r>
      <w:hyperlink r:id="rId41" w:anchor=":~:text=hecho%2C%20desarrolladores%20de%20herramientas%20de,an%C3%B3malo%20y%20deber%C3%ADa%20reclasificarse%20como">
        <w:r w:rsidR="00E01851">
          <w:rPr>
            <w:rStyle w:val="Hipervnculo"/>
          </w:rPr>
          <w:t>[34]</w:t>
        </w:r>
      </w:hyperlink>
      <w:r>
        <w:t>. Luego verifican la liquidación: si la isapre lo bonificó en $0 por considerarlo parte del paquete, es evidencia de que el cobro es anómalo y debió haberse incluido en la cirugía</w:t>
      </w:r>
      <w:hyperlink r:id="rId42" w:anchor=":~:text=por%20ejemplo%2C%20marcar%20un%20f%C3%A1rmaco,an%C3%B3malo%20y%20deber%C3%ADa%20reclasificarse%20como">
        <w:r w:rsidR="00E01851">
          <w:rPr>
            <w:rStyle w:val="Hipervnculo"/>
          </w:rPr>
          <w:t>[35]</w:t>
        </w:r>
      </w:hyperlink>
      <w:r>
        <w:t>. (En cambio, si la isapre lo bonificó parcialmente, significaría que reconoció ese cobro separado, lo cual puede ser debatible pero al menos no dejó todo al paciente</w:t>
      </w:r>
      <w:hyperlink r:id="rId43" w:anchor=":~:text=duplicado%2C%20no%20cargarlo%20al%20paciente,no%20dej%C3%B3%20todo%20al%20paciente">
        <w:r w:rsidR="00E01851">
          <w:rPr>
            <w:rStyle w:val="Hipervnculo"/>
          </w:rPr>
          <w:t>[36]</w:t>
        </w:r>
      </w:hyperlink>
      <w:r>
        <w:t>).</w:t>
      </w:r>
    </w:p>
    <w:p w14:paraId="37E9A164" w14:textId="77777777" w:rsidR="00E01851" w:rsidRDefault="00000000">
      <w:pPr>
        <w:pStyle w:val="Textoindependiente"/>
      </w:pPr>
      <w:r>
        <w:t xml:space="preserve">Desde el punto de vista clínico, todos los fármacos administrados en pabellón quedan registrados en la hoja anestésica o registro intraoperatorio. El paciente común quizás no conoce los nombres de esos medicamentos, pero tiene derecho a pedir dicho informe clínico. Si posteriormente ve en su factura cargos en farmacia cuyos nombres coinciden con fármacos usados en pabellón (ej. “Sevoflurano 1 frasco” o “Lidocaína 100ml”), es una </w:t>
      </w:r>
      <w:r>
        <w:rPr>
          <w:b/>
          <w:bCs/>
        </w:rPr>
        <w:t>señal de alerta</w:t>
      </w:r>
      <w:r>
        <w:t xml:space="preserve"> de posible doble cobro</w:t>
      </w:r>
      <w:hyperlink r:id="rId44" w:anchor=":~:text=quedan%20registrados%20en%20la%20hoja,no%20como%20productos%20farmac%C3%A9uticos%20generales">
        <w:r w:rsidR="00E01851">
          <w:rPr>
            <w:rStyle w:val="Hipervnculo"/>
          </w:rPr>
          <w:t>[37]</w:t>
        </w:r>
      </w:hyperlink>
      <w:hyperlink r:id="rId45" w:anchor=":~:text=coinciden%20con%20lo%20%20que,no%20como%20productos%20farmac%C3%A9uticos%20generales">
        <w:r w:rsidR="00E01851">
          <w:rPr>
            <w:rStyle w:val="Hipervnculo"/>
          </w:rPr>
          <w:t>[38]</w:t>
        </w:r>
      </w:hyperlink>
      <w:r>
        <w:t xml:space="preserve">. Idealmente, esos insumos deben facturarse dentro del paquete de pabellón o como parte de la prestación anestésica, </w:t>
      </w:r>
      <w:r>
        <w:rPr>
          <w:i/>
          <w:iCs/>
        </w:rPr>
        <w:t>no</w:t>
      </w:r>
      <w:r>
        <w:t xml:space="preserve"> como productos farmacéuticos generales.</w:t>
      </w:r>
    </w:p>
    <w:p w14:paraId="18E13978" w14:textId="77777777" w:rsidR="00E01851" w:rsidRDefault="00000000">
      <w:pPr>
        <w:pStyle w:val="Ttulo3"/>
      </w:pPr>
      <w:bookmarkStart w:id="8" w:name="X27c7e3a76852d49e07a62f63357e354d712a1d9"/>
      <w:bookmarkEnd w:id="7"/>
      <w:r>
        <w:t>4. Cobro de hotelería no clínica como si fuera atención médica</w:t>
      </w:r>
    </w:p>
    <w:p w14:paraId="136676A8" w14:textId="77777777" w:rsidR="00E01851" w:rsidRDefault="00000000">
      <w:pPr>
        <w:pStyle w:val="FirstParagraph"/>
      </w:pPr>
      <w:r>
        <w:t xml:space="preserve">Bajo este concepto se agrupan cargos por </w:t>
      </w:r>
      <w:r>
        <w:rPr>
          <w:b/>
          <w:bCs/>
        </w:rPr>
        <w:t>servicios o artículos de comodidad/hotelería</w:t>
      </w:r>
      <w:r>
        <w:t xml:space="preserve"> durante la hospitalización, que </w:t>
      </w:r>
      <w:r>
        <w:rPr>
          <w:i/>
          <w:iCs/>
        </w:rPr>
        <w:t>no son prestaciones de salud propiamente tales</w:t>
      </w:r>
      <w:r>
        <w:t xml:space="preserve">, pero que algunas clínicas igualmente facturan al paciente con copago. Ejemplos detectados: cobros por </w:t>
      </w:r>
      <w:r>
        <w:rPr>
          <w:i/>
          <w:iCs/>
        </w:rPr>
        <w:t>kits de aseo personal</w:t>
      </w:r>
      <w:r>
        <w:t xml:space="preserve"> (jabón, cepillo de dientes, toallas húmedas), </w:t>
      </w:r>
      <w:r>
        <w:rPr>
          <w:i/>
          <w:iCs/>
        </w:rPr>
        <w:t>ropa no clínica</w:t>
      </w:r>
      <w:r>
        <w:t xml:space="preserve"> (pijamas o batas para el paciente), elementos básicos entregados al paciente como termómetros, cobro por </w:t>
      </w:r>
      <w:r>
        <w:rPr>
          <w:i/>
          <w:iCs/>
        </w:rPr>
        <w:t>uso de televisor o teléfono en la habitación</w:t>
      </w:r>
      <w:r>
        <w:t xml:space="preserve">, </w:t>
      </w:r>
      <w:r>
        <w:rPr>
          <w:i/>
          <w:iCs/>
        </w:rPr>
        <w:t>alimentación del acompañante</w:t>
      </w:r>
      <w:r>
        <w:t xml:space="preserve">, etc. Muchas </w:t>
      </w:r>
      <w:r>
        <w:lastRenderedPageBreak/>
        <w:t xml:space="preserve">veces estos ítems aparecen en la cuenta con descripciones poco claras, bajo glosas como “confort del paciente”, “servicio habitacional” o incluso agrupados en </w:t>
      </w:r>
      <w:r>
        <w:rPr>
          <w:b/>
          <w:bCs/>
        </w:rPr>
        <w:t>“gastos varios no cubiertos”</w:t>
      </w:r>
      <w:hyperlink r:id="rId46" w:anchor=":~:text=Bajo%20este%20concepto%20se%20agrupan,paciente%2C%20uso%20de%20televisor%2C%20tel%C3%A9fono">
        <w:r w:rsidR="00E01851">
          <w:rPr>
            <w:rStyle w:val="Hipervnculo"/>
          </w:rPr>
          <w:t>[39]</w:t>
        </w:r>
      </w:hyperlink>
      <w:hyperlink r:id="rId47" w:anchor=":~:text=alimentaci%C3%B3n%20de%20acompa%C3%B1ante%2C%20etc,en%20%E2%80%9Cgastos%20varios%20no%20cubiertos%E2%80%9D">
        <w:r w:rsidR="00E01851">
          <w:rPr>
            <w:rStyle w:val="Hipervnculo"/>
          </w:rPr>
          <w:t>[40]</w:t>
        </w:r>
      </w:hyperlink>
      <w:r>
        <w:t>.</w:t>
      </w:r>
    </w:p>
    <w:p w14:paraId="5CE2B823" w14:textId="77777777" w:rsidR="00E01851" w:rsidRDefault="00000000">
      <w:pPr>
        <w:pStyle w:val="Textoindependiente"/>
      </w:pPr>
      <w:r>
        <w:t xml:space="preserve">¿Por qué es irregular? Porque en la mayoría de los casos </w:t>
      </w:r>
      <w:r>
        <w:rPr>
          <w:b/>
          <w:bCs/>
        </w:rPr>
        <w:t>no son gastos médicos directos</w:t>
      </w:r>
      <w:r>
        <w:t xml:space="preserve">, y debieran </w:t>
      </w:r>
      <w:r>
        <w:rPr>
          <w:b/>
          <w:bCs/>
        </w:rPr>
        <w:t>informarse previamente al paciente como servicios opcionales</w:t>
      </w:r>
      <w:r>
        <w:t xml:space="preserve">, con su costo, para que este decida si los usa. Algunas clínicas incluyen ciertos </w:t>
      </w:r>
      <w:r>
        <w:rPr>
          <w:i/>
          <w:iCs/>
        </w:rPr>
        <w:t>amenities</w:t>
      </w:r>
      <w:r>
        <w:t xml:space="preserve"> sin costo; otras los cobran, pero en todo caso </w:t>
      </w:r>
      <w:r>
        <w:rPr>
          <w:i/>
          <w:iCs/>
        </w:rPr>
        <w:t>deben advertirlo</w:t>
      </w:r>
      <w:r>
        <w:t xml:space="preserve"> (ejemplo: avisar en admisión que el uso de TV en la pieza tiene un costo diario de $X). Si no se transparenta, se vulnera el derecho del paciente a ser informado de los costos de su atención (art. 5° Ley 20.584). Además, desde la óptica del seguro, la mayoría de estos ítems </w:t>
      </w:r>
      <w:r>
        <w:rPr>
          <w:b/>
          <w:bCs/>
        </w:rPr>
        <w:t>no están cubiertos por el plan</w:t>
      </w:r>
      <w:r>
        <w:t xml:space="preserve"> (la isapre no los bonificará por considerarlos gastos personales). Entonces terminan </w:t>
      </w:r>
      <w:r>
        <w:rPr>
          <w:b/>
          <w:bCs/>
        </w:rPr>
        <w:t>cobrados íntegramente al paciente</w:t>
      </w:r>
      <w:r>
        <w:t>, a veces con sobreprecio incluido</w:t>
      </w:r>
      <w:hyperlink r:id="rId48" w:anchor=":~:text=tiene%20un%20costo%20diario%20de,paciente%2C%20a%20veces%20con%20sobreprecio">
        <w:r w:rsidR="00E01851">
          <w:rPr>
            <w:rStyle w:val="Hipervnculo"/>
          </w:rPr>
          <w:t>[41]</w:t>
        </w:r>
      </w:hyperlink>
      <w:hyperlink r:id="rId49" w:anchor=":~:text=bajo%20el%20c%C3%B3digo%20gen%C3%A9rico%203201001,facturan%20sin%20advertencia%20o%20inflados">
        <w:r w:rsidR="00E01851">
          <w:rPr>
            <w:rStyle w:val="Hipervnculo"/>
          </w:rPr>
          <w:t>[42]</w:t>
        </w:r>
      </w:hyperlink>
      <w:r>
        <w:t>.</w:t>
      </w:r>
    </w:p>
    <w:p w14:paraId="00BEFDE5" w14:textId="77777777" w:rsidR="00E01851" w:rsidRDefault="00000000">
      <w:pPr>
        <w:pStyle w:val="Textoindependiente"/>
      </w:pPr>
      <w:r>
        <w:t>Financieramente, estos cobros incrementan el total a pagar de forma sigilosa. Un caso común: en la cuenta se agrega “Set de aseo personal: $15.000” y “Kit de ropa clínica: $20.000”. El paciente podría suponer que eran cortesía o estaban incluidos en la diaria de hospitalización, pero se entera al recibir la cuenta de que no fue así, y además la isapre no cubrió nada de esos ítems (aparecen con 0% de bonificación)</w:t>
      </w:r>
      <w:hyperlink r:id="rId50" w:anchor=":~:text=en%20la%20cuenta%20se%20agrega,que%20todo%20ese%20costo%20va">
        <w:r w:rsidR="00E01851">
          <w:rPr>
            <w:rStyle w:val="Hipervnculo"/>
          </w:rPr>
          <w:t>[43]</w:t>
        </w:r>
      </w:hyperlink>
      <w:hyperlink r:id="rId51" w:anchor=":~:text=al%20paciente,facturan%20sin%20advertencia%20o%20inflados">
        <w:r w:rsidR="00E01851">
          <w:rPr>
            <w:rStyle w:val="Hipervnculo"/>
          </w:rPr>
          <w:t>[44]</w:t>
        </w:r>
      </w:hyperlink>
      <w:r>
        <w:t xml:space="preserve">. De hecho, en la liquidación de la isapre tales cargos suelen figurar bajo el código genérico </w:t>
      </w:r>
      <w:r>
        <w:rPr>
          <w:b/>
          <w:bCs/>
        </w:rPr>
        <w:t>3201001 – “Gastos no cubiertos por el plan”</w:t>
      </w:r>
      <w:r>
        <w:t>, lo que significa que todo ese costo va al paciente</w:t>
      </w:r>
      <w:hyperlink r:id="rId52" w:anchor=":~:text=no%20aport%C3%B3%20nada%20,problema%20es%20cuando%20se%20facturan">
        <w:r w:rsidR="00E01851">
          <w:rPr>
            <w:rStyle w:val="Hipervnculo"/>
          </w:rPr>
          <w:t>[45]</w:t>
        </w:r>
      </w:hyperlink>
      <w:hyperlink r:id="rId53" w:anchor=":~:text=ver%20que%20%C3%ADtems%20como%20%E2%80%9Calimentaci%C3%B3n,facturan%20sin%20advertencia%20o%20inflados">
        <w:r w:rsidR="00E01851">
          <w:rPr>
            <w:rStyle w:val="Hipervnculo"/>
          </w:rPr>
          <w:t>[46]</w:t>
        </w:r>
      </w:hyperlink>
      <w:r>
        <w:t xml:space="preserve">. </w:t>
      </w:r>
      <w:r>
        <w:rPr>
          <w:i/>
          <w:iCs/>
        </w:rPr>
        <w:t>Legalmente</w:t>
      </w:r>
      <w:r>
        <w:t xml:space="preserve">, es permitido que se cobren servicios adicionales no cubiertos (por ejemplo, la estadía de un acompañante, o consumos voluntarios), </w:t>
      </w:r>
      <w:r>
        <w:rPr>
          <w:b/>
          <w:bCs/>
        </w:rPr>
        <w:t>siempre que se informe y sea coherente con el contrato</w:t>
      </w:r>
      <w:r>
        <w:t>. El problema radica en cobrarlos sin advertencia o a precios excesivos, lo cual puede considerarse una infracción al deber de información y transparencia financiera.</w:t>
      </w:r>
    </w:p>
    <w:p w14:paraId="3A1EF23D" w14:textId="77777777" w:rsidR="00E01851" w:rsidRDefault="00000000">
      <w:pPr>
        <w:pStyle w:val="Textoindependiente"/>
      </w:pPr>
      <w:r>
        <w:t xml:space="preserve">La perspectiva normativa refuerza esta visión: la </w:t>
      </w:r>
      <w:r>
        <w:rPr>
          <w:b/>
          <w:bCs/>
        </w:rPr>
        <w:t>Ley 20.584</w:t>
      </w:r>
      <w:r>
        <w:t xml:space="preserve"> exige que </w:t>
      </w:r>
      <w:r>
        <w:rPr>
          <w:i/>
          <w:iCs/>
        </w:rPr>
        <w:t>“se informe de manera didáctica y clara sobre [...] los costos financieros en los recintos asistenciales”</w:t>
      </w:r>
      <w:r>
        <w:t>, detallando separadamente honorarios, insumos, valor del día cama, etc.</w:t>
      </w:r>
      <w:hyperlink r:id="rId54" w:anchor=":~:text=embargo%2C%20el%20no%20distinguir%20entre,los%20%20costos">
        <w:r w:rsidR="00E01851">
          <w:rPr>
            <w:rStyle w:val="Hipervnculo"/>
          </w:rPr>
          <w:t>[47]</w:t>
        </w:r>
      </w:hyperlink>
      <w:hyperlink r:id="rId55" w:anchor=":~:text=financieros%20en%20los%20recintos%20asistenciales%E2%80%9D%2C,el%20esp%C3%ADritu%20de%20la%20ley">
        <w:r w:rsidR="00E01851">
          <w:rPr>
            <w:rStyle w:val="Hipervnculo"/>
          </w:rPr>
          <w:t>[48]</w:t>
        </w:r>
      </w:hyperlink>
      <w:r>
        <w:t xml:space="preserve">. Si se “esconden” cargos de hotelería dentro de glosas inespecíficas o globales, se está incumpliendo el espíritu de la ley de derechos del paciente. Por lo demás, la Superintendencia de Salud (y Fonasa en el sector público) han definido que insumos sin un acto médico directo se clasifican como </w:t>
      </w:r>
      <w:r>
        <w:rPr>
          <w:b/>
          <w:bCs/>
        </w:rPr>
        <w:t>hotelería</w:t>
      </w:r>
      <w:r>
        <w:t xml:space="preserve"> y </w:t>
      </w:r>
      <w:r>
        <w:rPr>
          <w:b/>
          <w:bCs/>
        </w:rPr>
        <w:t>no pueden cobrarse como prestaciones clínicas</w:t>
      </w:r>
      <w:r>
        <w:t xml:space="preserve"> cubiertas</w:t>
      </w:r>
      <w:hyperlink r:id="rId56" w:anchor=":~:text=%5D%2C%20,">
        <w:r w:rsidR="00E01851">
          <w:rPr>
            <w:rStyle w:val="Hipervnculo"/>
          </w:rPr>
          <w:t>[49]</w:t>
        </w:r>
      </w:hyperlink>
      <w:r>
        <w:t xml:space="preserve">. Es decir, artículos de confort y aseo, vestuario del paciente, etc., deben ir </w:t>
      </w:r>
      <w:r>
        <w:rPr>
          <w:i/>
          <w:iCs/>
        </w:rPr>
        <w:t>incluidos en la tarifa diaria (día cama) o cobrarse aparte como servicios opcionales informados</w:t>
      </w:r>
      <w:r>
        <w:t>, pero sabiendo que no tendrán bonificación (cobro al 100% paciente). Cualquier intento de facturarlos como si fuesen atenciones de salud para obtener pago del seguro es improcedente.</w:t>
      </w:r>
    </w:p>
    <w:p w14:paraId="503FE2E8" w14:textId="77777777" w:rsidR="00E01851" w:rsidRDefault="00000000">
      <w:pPr>
        <w:pStyle w:val="Ttulo3"/>
      </w:pPr>
      <w:bookmarkStart w:id="9" w:name="X6e851e30ca48f6891b3076f09d2cfb3cc0bd930"/>
      <w:bookmarkEnd w:id="8"/>
      <w:r>
        <w:t>5. Cobros por enfermería básica ya incluida en el Día Cama</w:t>
      </w:r>
    </w:p>
    <w:p w14:paraId="3DF0ADEE" w14:textId="77777777" w:rsidR="00E01851" w:rsidRDefault="00000000">
      <w:pPr>
        <w:pStyle w:val="FirstParagraph"/>
      </w:pPr>
      <w:r>
        <w:t xml:space="preserve">Otra trampa común es cobrar por </w:t>
      </w:r>
      <w:r>
        <w:rPr>
          <w:b/>
          <w:bCs/>
        </w:rPr>
        <w:t>procedimientos de enfermería que forman parte del cuidado básico de hospitalización</w:t>
      </w:r>
      <w:r>
        <w:t xml:space="preserve">, los cuales deberían estar incluidos en la </w:t>
      </w:r>
      <w:r>
        <w:lastRenderedPageBreak/>
        <w:t xml:space="preserve">tarifa del </w:t>
      </w:r>
      <w:r>
        <w:rPr>
          <w:i/>
          <w:iCs/>
        </w:rPr>
        <w:t>“Día Cama”</w:t>
      </w:r>
      <w:r>
        <w:t xml:space="preserve">. El Día Cama (estadia por día en sala) normalmente incluye no solo el uso de la habitación, sino también la atención general de enfermería 24 horas y ciertos procedimientos </w:t>
      </w:r>
      <w:r>
        <w:rPr>
          <w:b/>
          <w:bCs/>
        </w:rPr>
        <w:t>rutinarios inherentes a la internación</w:t>
      </w:r>
      <w:r>
        <w:t>. Por ejemplo, en una hospitalización estándar el personal de enfermería realiza: controles periódicos de signos vitales, curaciones simples, instalación de vías venosas periféricas (suero), administración de medicamentos EV (</w:t>
      </w:r>
      <w:r>
        <w:rPr>
          <w:i/>
          <w:iCs/>
        </w:rPr>
        <w:t>fleboclisis</w:t>
      </w:r>
      <w:r>
        <w:t xml:space="preserve">), enemas o sondas según necesidad, monitoreo post-operatorio inmediato, etc. Todo esto es parte del cuidado continuo diario. De hecho, la normativa indica claramente que la </w:t>
      </w:r>
      <w:r>
        <w:rPr>
          <w:i/>
          <w:iCs/>
        </w:rPr>
        <w:t>“atención completa de enfermería según estándares de la institución, incluyendo curaciones, colocación de sondas, inyecciones, toma de muestras, administración de fluidos (fleboclisis)”</w:t>
      </w:r>
      <w:r>
        <w:t xml:space="preserve"> </w:t>
      </w:r>
      <w:r>
        <w:rPr>
          <w:b/>
          <w:bCs/>
        </w:rPr>
        <w:t>está incluida en el valor del Día Cama</w:t>
      </w:r>
      <w:hyperlink r:id="rId57" w:anchor=":~:text=indica%20claramente%20que%20la%20%E2%80%9Catenci%C3%B3n,el%20valor%20del%20D%C3%ADa%20Cama">
        <w:r w:rsidR="00E01851">
          <w:rPr>
            <w:rStyle w:val="Hipervnculo"/>
          </w:rPr>
          <w:t>[50]</w:t>
        </w:r>
      </w:hyperlink>
      <w:hyperlink r:id="rId58" w:anchor=":~:text=indica%20claramente%20que%20la%20%E2%80%9Catenci%C3%B3n,el%20valor%20del%20D%C3%ADa%20Cama">
        <w:r w:rsidR="00E01851">
          <w:rPr>
            <w:rStyle w:val="Hipervnculo"/>
          </w:rPr>
          <w:t>[51]</w:t>
        </w:r>
      </w:hyperlink>
      <w:r>
        <w:t>.</w:t>
      </w:r>
    </w:p>
    <w:p w14:paraId="554D6085" w14:textId="77777777" w:rsidR="00E01851" w:rsidRDefault="00000000">
      <w:pPr>
        <w:pStyle w:val="Textoindependiente"/>
      </w:pPr>
      <w:r>
        <w:t xml:space="preserve">El problema es que algunas clínicas </w:t>
      </w:r>
      <w:r>
        <w:rPr>
          <w:b/>
          <w:bCs/>
        </w:rPr>
        <w:t>fragmentan y cobran aparte actividades de enfermería básicas</w:t>
      </w:r>
      <w:r>
        <w:t xml:space="preserve">, como si fueran prestaciones independientes. Ejemplos observados: cobrar </w:t>
      </w:r>
      <w:r>
        <w:rPr>
          <w:i/>
          <w:iCs/>
        </w:rPr>
        <w:t>“instalación de vía venosa periférica: $X”</w:t>
      </w:r>
      <w:r>
        <w:t xml:space="preserve">, </w:t>
      </w:r>
      <w:r>
        <w:rPr>
          <w:i/>
          <w:iCs/>
        </w:rPr>
        <w:t>“cura de herida quirúrgica: $Y”</w:t>
      </w:r>
      <w:r>
        <w:t xml:space="preserve">, </w:t>
      </w:r>
      <w:r>
        <w:rPr>
          <w:i/>
          <w:iCs/>
        </w:rPr>
        <w:t>“control de signos vitales: $Z”</w:t>
      </w:r>
      <w:r>
        <w:t xml:space="preserve">, etc. Con frecuencia se usan códigos genéricos o de procedimientos menores para facturarlos. El efecto es que, además del costo diario de hospitalización, el paciente paga extra por actos que </w:t>
      </w:r>
      <w:r>
        <w:rPr>
          <w:i/>
          <w:iCs/>
        </w:rPr>
        <w:t>deberían estar cubiertos dentro del día cama</w:t>
      </w:r>
      <w:hyperlink r:id="rId59" w:anchor=":~:text=El%20problema%20es%20que%20algunas,actos%20que%20debieron%20estar%20cubiertos">
        <w:r w:rsidR="00E01851">
          <w:rPr>
            <w:rStyle w:val="Hipervnculo"/>
          </w:rPr>
          <w:t>[52]</w:t>
        </w:r>
      </w:hyperlink>
      <w:hyperlink r:id="rId60" w:anchor=":~:text=como%20si%20fueran%20prestaciones%20independientes,actos%20que%20debieron%20estar%20cubiertos">
        <w:r w:rsidR="00E01851">
          <w:rPr>
            <w:rStyle w:val="Hipervnculo"/>
          </w:rPr>
          <w:t>[53]</w:t>
        </w:r>
      </w:hyperlink>
      <w:r>
        <w:t>.</w:t>
      </w:r>
    </w:p>
    <w:p w14:paraId="147CBF16" w14:textId="77777777" w:rsidR="00E01851" w:rsidRDefault="00000000">
      <w:pPr>
        <w:pStyle w:val="Textoindependiente"/>
      </w:pPr>
      <w:r>
        <w:t xml:space="preserve">Financieramente, es otro </w:t>
      </w:r>
      <w:r>
        <w:rPr>
          <w:b/>
          <w:bCs/>
        </w:rPr>
        <w:t>cobro duplicado</w:t>
      </w:r>
      <w:r>
        <w:t xml:space="preserve"> que aumenta el copago en forma indebida. Si el plan cubre, digamos, 90% del Día Cama, el paciente ya está pagando 10% por ese servicio integral. Cobrar aparte una “curación simple” significa que por esa curación el plan probablemente no pagará nada (pues asume que ya fue cubierta en el día cama), resultando que el paciente termina pagando el 100% de un procedimiento cuyo costo extra </w:t>
      </w:r>
      <w:r>
        <w:rPr>
          <w:i/>
          <w:iCs/>
        </w:rPr>
        <w:t>debería ser $0</w:t>
      </w:r>
      <w:hyperlink r:id="rId61" w:anchor=":~:text=Financieramente%2C%20%20es%20%20otro,cobrar%E2%80%9D%20por%20cuidado">
        <w:r w:rsidR="00E01851">
          <w:rPr>
            <w:rStyle w:val="Hipervnculo"/>
          </w:rPr>
          <w:t>[54]</w:t>
        </w:r>
      </w:hyperlink>
      <w:hyperlink r:id="rId62" w:anchor=":~:text=Cobrar%20aparte%20una%20%E2%80%9Ccuraci%C3%B3n%20,cobrar%E2%80%9D%20por%20cuidado%20rutinario">
        <w:r w:rsidR="00E01851">
          <w:rPr>
            <w:rStyle w:val="Hipervnculo"/>
          </w:rPr>
          <w:t>[55]</w:t>
        </w:r>
      </w:hyperlink>
      <w:r>
        <w:t>. Es una forma sutil de “re-cobrar” por cuidado rutinario incluido en la internación.</w:t>
      </w:r>
    </w:p>
    <w:p w14:paraId="10BB70A2" w14:textId="77777777" w:rsidR="00E01851" w:rsidRDefault="00000000">
      <w:pPr>
        <w:pStyle w:val="Textoindependiente"/>
      </w:pPr>
      <w:r>
        <w:t xml:space="preserve">Legalmente, esta práctica contraviene las normas de información y lo </w:t>
      </w:r>
      <w:r>
        <w:rPr>
          <w:b/>
          <w:bCs/>
        </w:rPr>
        <w:t>pactado con las aseguradoras</w:t>
      </w:r>
      <w:r>
        <w:t xml:space="preserve">. Las isapres suelen definir en sus aranceles qué incluye el día cama, similar a lo visto con pabellón. En el arancel de una isapre, por ejemplo, se especifica que el día cama </w:t>
      </w:r>
      <w:r>
        <w:rPr>
          <w:b/>
          <w:bCs/>
        </w:rPr>
        <w:t>incluye todos esos cuidados de enfermería e insumos asociados</w:t>
      </w:r>
      <w:r>
        <w:t>; cobrar aparte implicaría incumplir el contrato con la isapre</w:t>
      </w:r>
      <w:hyperlink r:id="rId63" w:anchor=":~:text=Legalmente%2C%20esta%20pr%C3%A1ctica%20contraviene%20las,una%20%20infracci%C3%B3n%20%20al">
        <w:r w:rsidR="00E01851">
          <w:rPr>
            <w:rStyle w:val="Hipervnculo"/>
          </w:rPr>
          <w:t>[56]</w:t>
        </w:r>
      </w:hyperlink>
      <w:r>
        <w:t>. Incluso, la Superintendencia de Salud podría considerar esto una infracción al derecho del paciente a una facturación correcta y veraz</w:t>
      </w:r>
      <w:hyperlink r:id="rId64" w:anchor=":~:text=de%20Nueva%20Masvida%2C%20por%20ejemplo%2C,a%20%20una%20facturaci%C3%B3n%20correcta">
        <w:r w:rsidR="00E01851">
          <w:rPr>
            <w:rStyle w:val="Hipervnculo"/>
          </w:rPr>
          <w:t>[57]</w:t>
        </w:r>
      </w:hyperlink>
      <w:r>
        <w:t xml:space="preserve">. Las instrucciones técnicas respaldan este criterio: los </w:t>
      </w:r>
      <w:r>
        <w:rPr>
          <w:i/>
          <w:iCs/>
        </w:rPr>
        <w:t>cuidados básicos de enfermería son inherentes al día cama y no deben cobrarse como ítems independientes</w:t>
      </w:r>
      <w:hyperlink r:id="rId65" w:anchor=":~:text=,">
        <w:r w:rsidR="00E01851">
          <w:rPr>
            <w:rStyle w:val="Hipervnculo"/>
          </w:rPr>
          <w:t>[58]</w:t>
        </w:r>
      </w:hyperlink>
      <w:r>
        <w:t xml:space="preserve">. Solo procedimientos de enfermería </w:t>
      </w:r>
      <w:r>
        <w:rPr>
          <w:i/>
          <w:iCs/>
        </w:rPr>
        <w:t>especiales o extraordinarios</w:t>
      </w:r>
      <w:r>
        <w:t xml:space="preserve"> podrían facturarse aparte (ej.: curación avanzada de una herida compleja por un especialista, instalación de un catéter venoso central por un médico, etc.), pero </w:t>
      </w:r>
      <w:r>
        <w:rPr>
          <w:b/>
          <w:bCs/>
        </w:rPr>
        <w:t>no</w:t>
      </w:r>
      <w:r>
        <w:t xml:space="preserve"> las actividades diarias estándar. Cobrar, por ejemplo, “toma de temperatura” o “recuperación post-anestesia 2 horas” carece de justificación médica o económica cuando esas labores están dentro de la rutina hospitalaria</w:t>
      </w:r>
      <w:hyperlink r:id="rId66" w:anchor=":~:text=Desde%20el%20punto%20de%20vista,de%20justificaci%C3%B3n%20m%C3%A9dica%20o%20econ%C3%B3mica">
        <w:r w:rsidR="00E01851">
          <w:rPr>
            <w:rStyle w:val="Hipervnculo"/>
          </w:rPr>
          <w:t>[59]</w:t>
        </w:r>
      </w:hyperlink>
      <w:hyperlink r:id="rId67" w:anchor=":~:text=Ejemplo%20real%3A%20Un%20paciente%20internado,en%20la%20lista%20del%20hospital">
        <w:r w:rsidR="00E01851">
          <w:rPr>
            <w:rStyle w:val="Hipervnculo"/>
          </w:rPr>
          <w:t>[60]</w:t>
        </w:r>
      </w:hyperlink>
      <w:r>
        <w:t>.</w:t>
      </w:r>
    </w:p>
    <w:p w14:paraId="01DCAED4" w14:textId="77777777" w:rsidR="00E01851" w:rsidRDefault="00000000">
      <w:pPr>
        <w:pStyle w:val="Textoindependiente"/>
      </w:pPr>
      <w:r>
        <w:rPr>
          <w:b/>
          <w:bCs/>
        </w:rPr>
        <w:lastRenderedPageBreak/>
        <w:t>Ejemplo:</w:t>
      </w:r>
      <w:r>
        <w:t xml:space="preserve"> un paciente internado encuentra en su cuenta cargos como “Control de signos vitales (4 veces) – $40.000” o “Recuperación post-operatoria 2 horas – $50.000”. Estos conceptos </w:t>
      </w:r>
      <w:r>
        <w:rPr>
          <w:i/>
          <w:iCs/>
        </w:rPr>
        <w:t>deberían estar incluidos</w:t>
      </w:r>
      <w:r>
        <w:t xml:space="preserve"> en la atención de enfermería del día cama (en muchos hospitales, la recuperación inmediata post-anestesia hasta ciertas horas no tiene costo extra)</w:t>
      </w:r>
      <w:hyperlink r:id="rId68" w:anchor=":~:text=Ejemplo%20real%3A%20Un%20paciente%20internado,en%20la%20lista%20del%20hospital">
        <w:r w:rsidR="00E01851">
          <w:rPr>
            <w:rStyle w:val="Hipervnculo"/>
          </w:rPr>
          <w:t>[60]</w:t>
        </w:r>
      </w:hyperlink>
      <w:hyperlink r:id="rId69" w:anchor=":~:text=deber%C3%ADan%20estar%20incluidos%20en%20la,se%20la%20cobran%2C%20es%20irregular">
        <w:r w:rsidR="00E01851">
          <w:rPr>
            <w:rStyle w:val="Hipervnculo"/>
          </w:rPr>
          <w:t>[61]</w:t>
        </w:r>
      </w:hyperlink>
      <w:r>
        <w:t>. De hecho, en la normativa interna de algunos prestadores se indica explícitamente que la “recuperación 0-3 horas” post anestesia está incluida en la hospitalización estándar</w:t>
      </w:r>
      <w:hyperlink r:id="rId70" w:anchor=":~:text=inmediata%20%20en%20%20sala,se%20la%20cobran%2C%20es%20irregular">
        <w:r w:rsidR="00E01851">
          <w:rPr>
            <w:rStyle w:val="Hipervnculo"/>
          </w:rPr>
          <w:t>[62]</w:t>
        </w:r>
      </w:hyperlink>
      <w:r>
        <w:t>. Si aun así se la cobran, es un cobro irregular que debe reclamarse.</w:t>
      </w:r>
    </w:p>
    <w:p w14:paraId="0A2BA26E" w14:textId="77777777" w:rsidR="00E01851" w:rsidRDefault="00000000">
      <w:pPr>
        <w:pStyle w:val="Ttulo3"/>
      </w:pPr>
      <w:bookmarkStart w:id="10" w:name="X41de28fd308ca901301e01900cf7a56fc0aa920"/>
      <w:bookmarkEnd w:id="9"/>
      <w:r>
        <w:t>6. Uso de glosas genéricas para cargar costos al paciente</w:t>
      </w:r>
    </w:p>
    <w:p w14:paraId="47031E45" w14:textId="77777777" w:rsidR="00E01851" w:rsidRDefault="00000000">
      <w:pPr>
        <w:pStyle w:val="FirstParagraph"/>
      </w:pPr>
      <w:r>
        <w:t xml:space="preserve">En muchas cuentas clínicas aparecen </w:t>
      </w:r>
      <w:r>
        <w:rPr>
          <w:i/>
          <w:iCs/>
        </w:rPr>
        <w:t>códigos o glosas genéricas</w:t>
      </w:r>
      <w:r>
        <w:t xml:space="preserve"> como </w:t>
      </w:r>
      <w:r>
        <w:rPr>
          <w:b/>
          <w:bCs/>
        </w:rPr>
        <w:t>3201001</w:t>
      </w:r>
      <w:r>
        <w:t xml:space="preserve"> y </w:t>
      </w:r>
      <w:r>
        <w:rPr>
          <w:b/>
          <w:bCs/>
        </w:rPr>
        <w:t>3201002</w:t>
      </w:r>
      <w:r>
        <w:t xml:space="preserve">, usualmente con descripciones del tipo “Gastos no cubiertos por el plan” y “Prestación no arancelada”, u otras similares. Estas glosas indican cargos que la aseguradora </w:t>
      </w:r>
      <w:r>
        <w:rPr>
          <w:b/>
          <w:bCs/>
        </w:rPr>
        <w:t>no reconoció</w:t>
      </w:r>
      <w:r>
        <w:t xml:space="preserve"> o que </w:t>
      </w:r>
      <w:r>
        <w:rPr>
          <w:b/>
          <w:bCs/>
        </w:rPr>
        <w:t>no están en el arancel</w:t>
      </w:r>
      <w:r>
        <w:t xml:space="preserve"> convencional, por lo que su costo recae íntegramente en el paciente</w:t>
      </w:r>
      <w:hyperlink r:id="rId71" w:anchor=":~:text=En%20%20muchas%20%20cuentas,Esto">
        <w:r w:rsidR="00E01851">
          <w:rPr>
            <w:rStyle w:val="Hipervnculo"/>
          </w:rPr>
          <w:t>[63]</w:t>
        </w:r>
      </w:hyperlink>
      <w:hyperlink r:id="rId72" w:anchor=":~:text=maliciosamente%2C%20%20es%20una%20forma,paciente%20saber%20qu%C3%A9%20pag%C3%B3">
        <w:r w:rsidR="00E01851">
          <w:rPr>
            <w:rStyle w:val="Hipervnculo"/>
          </w:rPr>
          <w:t>[64]</w:t>
        </w:r>
      </w:hyperlink>
      <w:r>
        <w:t xml:space="preserve">. En principio, pueden ser legítimas (por ejemplo, si el paciente pidió un servicio extra no cubierto, es correcto que aparezca como gasto no cubierto). Sin embargo, </w:t>
      </w:r>
      <w:r>
        <w:rPr>
          <w:i/>
          <w:iCs/>
        </w:rPr>
        <w:t>usadas maliciosamente</w:t>
      </w:r>
      <w:r>
        <w:t xml:space="preserve">, constituyen una forma de </w:t>
      </w:r>
      <w:r>
        <w:rPr>
          <w:b/>
          <w:bCs/>
        </w:rPr>
        <w:t>ocultar cobros bajo rubros inespecíficos</w:t>
      </w:r>
      <w:r>
        <w:t>, dificultando que el paciente sepa qué pagó realmente</w:t>
      </w:r>
      <w:hyperlink r:id="rId73" w:anchor=":~:text=aseguradora%20no%20reconoci%C3%B3%20o%20que,paciente%20saber%20qu%C3%A9%20pag%C3%B3">
        <w:r w:rsidR="00E01851">
          <w:rPr>
            <w:rStyle w:val="Hipervnculo"/>
          </w:rPr>
          <w:t>[65]</w:t>
        </w:r>
      </w:hyperlink>
      <w:hyperlink r:id="rId74" w:anchor=":~:text=maliciosamente%2C%20%20es%20una%20forma,paciente%20saber%20qu%C3%A9%20pag%C3%B3">
        <w:r w:rsidR="00E01851">
          <w:rPr>
            <w:rStyle w:val="Hipervnculo"/>
          </w:rPr>
          <w:t>[64]</w:t>
        </w:r>
      </w:hyperlink>
      <w:r>
        <w:t>.</w:t>
      </w:r>
    </w:p>
    <w:p w14:paraId="5DAD1266" w14:textId="77777777" w:rsidR="00E01851" w:rsidRDefault="00000000">
      <w:pPr>
        <w:pStyle w:val="Textoindependiente"/>
      </w:pPr>
      <w:r>
        <w:t xml:space="preserve">Por ejemplo, </w:t>
      </w:r>
      <w:r>
        <w:rPr>
          <w:b/>
          <w:bCs/>
        </w:rPr>
        <w:t>3201001 “Gastos no cubiertos”</w:t>
      </w:r>
      <w:r>
        <w:t xml:space="preserve"> es un </w:t>
      </w:r>
      <w:r>
        <w:rPr>
          <w:i/>
          <w:iCs/>
        </w:rPr>
        <w:t>cajón de sastre</w:t>
      </w:r>
      <w:r>
        <w:t xml:space="preserve"> donde se puede meter de todo: desde pañales, artículos de aseo personal, hasta diferencias de honorarios o cualquier ítem que el plan excluya</w:t>
      </w:r>
      <w:hyperlink r:id="rId75" w:anchor=":~:text=Por%20ejemplo%2C%20%203201001%20%E2%80%9CGastos,cl%C3%ADnicas%20%20utilizan%20%20estos">
        <w:r w:rsidR="00E01851">
          <w:rPr>
            <w:rStyle w:val="Hipervnculo"/>
          </w:rPr>
          <w:t>[66]</w:t>
        </w:r>
      </w:hyperlink>
      <w:r>
        <w:t xml:space="preserve">. A su vez, </w:t>
      </w:r>
      <w:r>
        <w:rPr>
          <w:b/>
          <w:bCs/>
        </w:rPr>
        <w:t>3201002 “Prestación no contemplada en arancel”</w:t>
      </w:r>
      <w:r>
        <w:t xml:space="preserve"> básicamente significa que se cobró algo que </w:t>
      </w:r>
      <w:r>
        <w:rPr>
          <w:i/>
          <w:iCs/>
        </w:rPr>
        <w:t>no figura</w:t>
      </w:r>
      <w:r>
        <w:t xml:space="preserve"> en el listado oficial de prestaciones (podría ser un procedimiento nuevo sin código, o simplemente un cobro arbitrario fuera de catálogo)</w:t>
      </w:r>
      <w:hyperlink r:id="rId76" w:anchor=":~:text=cosas%3A%20desde%20pa%C3%B1ales%2C%20art%C3%ADculos%20de,de%20enfermer%C3%ADa%2C%20equipamiento%20adicional%2C%20etc">
        <w:r w:rsidR="00E01851">
          <w:rPr>
            <w:rStyle w:val="Hipervnculo"/>
          </w:rPr>
          <w:t>[67]</w:t>
        </w:r>
      </w:hyperlink>
      <w:hyperlink r:id="rId77" w:anchor=":~:text=excluya,sin%20dar%20explicaciones%20precisas">
        <w:r w:rsidR="00E01851">
          <w:rPr>
            <w:rStyle w:val="Hipervnculo"/>
          </w:rPr>
          <w:t>[68]</w:t>
        </w:r>
      </w:hyperlink>
      <w:r>
        <w:t xml:space="preserve">. En la práctica, se ha visto que clínicas utilizan estos códigos genéricos para cargar cosas como </w:t>
      </w:r>
      <w:r>
        <w:rPr>
          <w:i/>
          <w:iCs/>
        </w:rPr>
        <w:t>materiales sin desglose</w:t>
      </w:r>
      <w:r>
        <w:t xml:space="preserve">, “varios de enfermería”, </w:t>
      </w:r>
      <w:r>
        <w:rPr>
          <w:i/>
          <w:iCs/>
        </w:rPr>
        <w:t>equipamiento adicional</w:t>
      </w:r>
      <w:r>
        <w:t xml:space="preserve">, etc., </w:t>
      </w:r>
      <w:r>
        <w:rPr>
          <w:b/>
          <w:bCs/>
        </w:rPr>
        <w:t>sin dar explicaciones precisas</w:t>
      </w:r>
      <w:r>
        <w:t xml:space="preserve"> de su naturaleza</w:t>
      </w:r>
      <w:hyperlink r:id="rId78" w:anchor=":~:text=figura%20en%20el%20listado%20oficial,sin%20dar%20explicaciones%20precisas">
        <w:r w:rsidR="00E01851">
          <w:rPr>
            <w:rStyle w:val="Hipervnculo"/>
          </w:rPr>
          <w:t>[69]</w:t>
        </w:r>
      </w:hyperlink>
      <w:hyperlink r:id="rId79" w:anchor=":~:text=arbitrario%29,sin%20dar%20explicaciones%20precisas">
        <w:r w:rsidR="00E01851">
          <w:rPr>
            <w:rStyle w:val="Hipervnculo"/>
          </w:rPr>
          <w:t>[70]</w:t>
        </w:r>
      </w:hyperlink>
      <w:r>
        <w:t>.</w:t>
      </w:r>
    </w:p>
    <w:p w14:paraId="53A7BFB3" w14:textId="77777777" w:rsidR="00E01851" w:rsidRDefault="00000000">
      <w:pPr>
        <w:pStyle w:val="Textoindependiente"/>
      </w:pPr>
      <w:r>
        <w:t xml:space="preserve">El impacto financiero es claro: todo lo que se pone bajo estas glosas, la isapre lo bonifica con 0%, y el paciente lo paga al 100%. En la liquidación de ejemplo citada en un caso, a una paciente le aparecieron $9.331 bajo código 3201001 y $30.000 bajo 3201002, </w:t>
      </w:r>
      <w:r>
        <w:rPr>
          <w:i/>
          <w:iCs/>
        </w:rPr>
        <w:t>todo cobrado a ella sin cobertura</w:t>
      </w:r>
      <w:hyperlink r:id="rId80" w:anchor=":~:text=El%20%20impacto%20financiero%20es,%C2%BFO%20era">
        <w:r w:rsidR="00E01851">
          <w:rPr>
            <w:rStyle w:val="Hipervnculo"/>
          </w:rPr>
          <w:t>[71]</w:t>
        </w:r>
      </w:hyperlink>
      <w:hyperlink r:id="rId81" w:anchor=":~:text=paciente%20lo%20paga%20al%20100,El%20%20problema%20surge">
        <w:r w:rsidR="00E01851">
          <w:rPr>
            <w:rStyle w:val="Hipervnculo"/>
          </w:rPr>
          <w:t>[72]</w:t>
        </w:r>
      </w:hyperlink>
      <w:r>
        <w:t xml:space="preserve">. El problema surge cuando esos montos son significativos y el paciente </w:t>
      </w:r>
      <w:r>
        <w:rPr>
          <w:b/>
          <w:bCs/>
        </w:rPr>
        <w:t>no tiene forma de saber qué incluían</w:t>
      </w:r>
      <w:r>
        <w:t>. ¿Eran insumos legítimamente no cubiertos (por ejemplo, un medicamento cosmético no esencial)? ¿O era simplemente una manera de facturar un sobrecosto encubierto? La falta de transparencia abre espacio para el abuso</w:t>
      </w:r>
      <w:hyperlink r:id="rId82" w:anchor=":~:text=cuando%20%20esos%20%20montos,falta%20de%20transparencia%20permite%20abuso">
        <w:r w:rsidR="00E01851">
          <w:rPr>
            <w:rStyle w:val="Hipervnculo"/>
          </w:rPr>
          <w:t>[73]</w:t>
        </w:r>
      </w:hyperlink>
      <w:hyperlink r:id="rId83" w:anchor=":~:text=paciente,no%20vienen%20acompa%C3%B1ados%20de%20detalle">
        <w:r w:rsidR="00E01851">
          <w:rPr>
            <w:rStyle w:val="Hipervnculo"/>
          </w:rPr>
          <w:t>[74]</w:t>
        </w:r>
      </w:hyperlink>
      <w:r>
        <w:t>.</w:t>
      </w:r>
    </w:p>
    <w:p w14:paraId="65721E67" w14:textId="77777777" w:rsidR="00E01851" w:rsidRDefault="00000000">
      <w:pPr>
        <w:pStyle w:val="Textoindependiente"/>
      </w:pPr>
      <w:r>
        <w:t xml:space="preserve">Desde el punto de vista legal, el uso de códigos genéricos en sí mismo </w:t>
      </w:r>
      <w:r>
        <w:rPr>
          <w:i/>
          <w:iCs/>
        </w:rPr>
        <w:t>no es ilegal</w:t>
      </w:r>
      <w:r>
        <w:t xml:space="preserve"> (efectivamente existen en los aranceles; por ejemplo, el arancel de Nueva Masvida define el 3201001 como “Gastos no cubiertos por el plan – se liquidan con este código”)</w:t>
      </w:r>
      <w:hyperlink r:id="rId84" w:anchor=":~:text=Legalmente%2C%20el%20uso%20de%20c%C3%B3digos,liquidan%20con%20este%20c%C3%B3digo%E2%80%9D%2C%20etc">
        <w:r w:rsidR="00E01851">
          <w:rPr>
            <w:rStyle w:val="Hipervnculo"/>
          </w:rPr>
          <w:t>[75]</w:t>
        </w:r>
      </w:hyperlink>
      <w:r>
        <w:t xml:space="preserve">. </w:t>
      </w:r>
      <w:r>
        <w:rPr>
          <w:b/>
          <w:bCs/>
        </w:rPr>
        <w:t>Sin embargo, no detallar ni explicar esos cargos sí vulnera derechos del paciente</w:t>
      </w:r>
      <w:r>
        <w:t>. La ley exige una cuenta detallada; agrupar montos bajo rótulos vagos atenta contra la transparencia y el derecho a la información financiera clara</w:t>
      </w:r>
      <w:hyperlink r:id="rId85" w:anchor=":~:text=%29,no%20vienen%20acompa%C3%B1ados%20de%20detalle">
        <w:r w:rsidR="00E01851">
          <w:rPr>
            <w:rStyle w:val="Hipervnculo"/>
          </w:rPr>
          <w:t>[76]</w:t>
        </w:r>
      </w:hyperlink>
      <w:r>
        <w:t xml:space="preserve">. </w:t>
      </w:r>
      <w:r>
        <w:lastRenderedPageBreak/>
        <w:t xml:space="preserve">Además, si dentro de esos montos se escondió algo que </w:t>
      </w:r>
      <w:r>
        <w:rPr>
          <w:i/>
          <w:iCs/>
        </w:rPr>
        <w:t>sí debía estar cubierto</w:t>
      </w:r>
      <w:r>
        <w:t xml:space="preserve">, el paciente difícilmente podrá detectarlo sin un desglose. Por eso, desde un enfoque de defensa del consumidor, estos cargos </w:t>
      </w:r>
      <w:r>
        <w:rPr>
          <w:b/>
          <w:bCs/>
        </w:rPr>
        <w:t>son siempre objetables si no vienen acompañados de detalle desagregado</w:t>
      </w:r>
      <w:hyperlink r:id="rId86" w:anchor=":~:text=paciente,no%20vienen%20acompa%C3%B1ados%20de%20detalle">
        <w:r w:rsidR="00E01851">
          <w:rPr>
            <w:rStyle w:val="Hipervnculo"/>
          </w:rPr>
          <w:t>[74]</w:t>
        </w:r>
      </w:hyperlink>
      <w:hyperlink r:id="rId87" w:anchor=":~:text=paciente%20%20dif%C3%ADcilmente%20%20lo,no%20vienen%20acompa%C3%B1ados%20de%20detalle">
        <w:r w:rsidR="00E01851">
          <w:rPr>
            <w:rStyle w:val="Hipervnculo"/>
          </w:rPr>
          <w:t>[77]</w:t>
        </w:r>
      </w:hyperlink>
      <w:r>
        <w:t>.</w:t>
      </w:r>
    </w:p>
    <w:p w14:paraId="6605303B" w14:textId="77777777" w:rsidR="00E01851" w:rsidRDefault="00000000">
      <w:pPr>
        <w:pStyle w:val="Textoindependiente"/>
      </w:pPr>
      <w:r>
        <w:t xml:space="preserve">En términos clínicos, los prestadores suelen justificar que ciertos insumos o procedimientos “no están arancelados” (no tienen código individual) y por eso usan códigos genéricos. Esto puede ser cierto en casos puntuales, pero </w:t>
      </w:r>
      <w:r>
        <w:rPr>
          <w:i/>
          <w:iCs/>
        </w:rPr>
        <w:t>nunca debería tratarse de un monto elevado sin explicación</w:t>
      </w:r>
      <w:r>
        <w:t>. Por ejemplo, si en una cirugía se usó un dispositivo especial traído por el médico que no está tarifado, podrían intentar cobrarlo como “prestación no arancelada”; pero en ese caso el paciente debió ser informado previamente y haber aceptado ese costo extra. Si no fue así, su inclusión sorpresiva es impropia</w:t>
      </w:r>
      <w:hyperlink r:id="rId88" w:anchor=":~:text=como%20ciertos%20insumos%20o%20procedimientos,usan%20%20estos%20%20c%C3%B3digos">
        <w:r w:rsidR="00E01851">
          <w:rPr>
            <w:rStyle w:val="Hipervnculo"/>
          </w:rPr>
          <w:t>[78]</w:t>
        </w:r>
      </w:hyperlink>
      <w:hyperlink r:id="rId89" w:anchor=":~:text=gen%C3%A9ricos,haber%20aceptado%20ese%20cobro%20extra">
        <w:r w:rsidR="00E01851">
          <w:rPr>
            <w:rStyle w:val="Hipervnculo"/>
          </w:rPr>
          <w:t>[79]</w:t>
        </w:r>
      </w:hyperlink>
      <w:r>
        <w:t>.</w:t>
      </w:r>
    </w:p>
    <w:p w14:paraId="701826F7" w14:textId="77777777" w:rsidR="00E01851" w:rsidRDefault="00000000">
      <w:pPr>
        <w:pStyle w:val="Textoindependiente"/>
      </w:pPr>
      <w:r>
        <w:rPr>
          <w:b/>
          <w:bCs/>
        </w:rPr>
        <w:t>Recomendación:</w:t>
      </w:r>
      <w:r>
        <w:t xml:space="preserve"> Siempre que un paciente vea en su cuenta conceptos como “gastos no cubiertos” o “prestación no arancelada”, debe </w:t>
      </w:r>
      <w:r>
        <w:rPr>
          <w:b/>
          <w:bCs/>
        </w:rPr>
        <w:t>solicitar el desglose específico</w:t>
      </w:r>
      <w:r>
        <w:t xml:space="preserve"> de qué se incluyó en esos montos. El prestador está obligado a entregar esa información detallada</w:t>
      </w:r>
      <w:hyperlink r:id="rId90" w:anchor=":~:text=%C2%BFQu%C3%A9%20hacer%3F%3A%20%20Siempre%20que,quiere%20detallar%2C%20%20es%20un">
        <w:r w:rsidR="00E01851">
          <w:rPr>
            <w:rStyle w:val="Hipervnculo"/>
          </w:rPr>
          <w:t>[80]</w:t>
        </w:r>
      </w:hyperlink>
      <w:hyperlink r:id="rId91" w:anchor=":~:text=foco%20rojo,al%20menos%20habr%C3%A1%20obtenido%20claridad">
        <w:r w:rsidR="00E01851">
          <w:rPr>
            <w:rStyle w:val="Hipervnculo"/>
          </w:rPr>
          <w:t>[81]</w:t>
        </w:r>
      </w:hyperlink>
      <w:r>
        <w:t xml:space="preserve">. Al pedir el detalle, podría descubrirse, por ejemplo, que incluyeron “guantes talla XL especiales” o “equipo X importado” que efectivamente el plan no cubre; al menos así el paciente sabrá qué fue y por qué lo pagó. Pero si la clínica </w:t>
      </w:r>
      <w:r>
        <w:rPr>
          <w:b/>
          <w:bCs/>
        </w:rPr>
        <w:t>no puede o no quiere detallar</w:t>
      </w:r>
      <w:r>
        <w:t xml:space="preserve">, es un </w:t>
      </w:r>
      <w:r>
        <w:rPr>
          <w:i/>
          <w:iCs/>
        </w:rPr>
        <w:t>foco rojo</w:t>
      </w:r>
      <w:r>
        <w:t xml:space="preserve"> de cobro improcedente. En un reclamo formal, conviene dejar por escrito: </w:t>
      </w:r>
      <w:r>
        <w:rPr>
          <w:i/>
          <w:iCs/>
        </w:rPr>
        <w:t>“Solicito el desglose de los gastos facturados bajo código 3201001, dado que ignoro su naturaleza y no fueron informados oportunamente. La ley me garantiza recibir información completa de los cobros.”</w:t>
      </w:r>
      <w:hyperlink r:id="rId92" w:anchor=":~:text=menos%20usted%20sabr%C3%A1%20qu%C3%A9%20fue,debi%C3%B3%20estar%20%20cubierto">
        <w:r w:rsidR="00E01851">
          <w:rPr>
            <w:rStyle w:val="Hipervnculo"/>
          </w:rPr>
          <w:t>[82]</w:t>
        </w:r>
      </w:hyperlink>
      <w:hyperlink r:id="rId93" w:anchor=":~:text=foco%20rojo,al%20menos%20habr%C3%A1%20obtenido%20claridad">
        <w:r w:rsidR="00E01851">
          <w:rPr>
            <w:rStyle w:val="Hipervnculo"/>
          </w:rPr>
          <w:t>[81]</w:t>
        </w:r>
      </w:hyperlink>
      <w:r>
        <w:t>. Si tras el desglose se identifica un ítem irregular (por ejemplo, que metieron bajo "no cubiertos" algo que en realidad debió estar cubierto parcialmente por el plan), se puede exigir la recodificación correcta para que el seguro cubra lo que corresponda</w:t>
      </w:r>
      <w:hyperlink r:id="rId94" w:anchor=":~:text=Un%20%20caso%20%20t%C3%ADpico,seguro%20cubra%20lo%20que%20corresponde">
        <w:r w:rsidR="00E01851">
          <w:rPr>
            <w:rStyle w:val="Hipervnculo"/>
          </w:rPr>
          <w:t>[83]</w:t>
        </w:r>
      </w:hyperlink>
      <w:hyperlink r:id="rId95" w:anchor=":~:text=parcialmente%20bajo%20c%C3%B3digos%20normales%20,seguro%20cubra%20lo%20que%20corresponde">
        <w:r w:rsidR="00E01851">
          <w:rPr>
            <w:rStyle w:val="Hipervnculo"/>
          </w:rPr>
          <w:t>[84]</w:t>
        </w:r>
      </w:hyperlink>
      <w:r>
        <w:t>. En resumen, no se deben aceptar pagos genéricos sin preguntar; estas glosas deben ser de uso mínimo y excepcional, nunca para ocultar sumas importantes</w:t>
      </w:r>
      <w:hyperlink r:id="rId96" w:anchor=":~:text=En%20resumen%2C%20no%20acepte%20pagos,que%20escondan%20cobros%20discutibles">
        <w:r w:rsidR="00E01851">
          <w:rPr>
            <w:rStyle w:val="Hipervnculo"/>
          </w:rPr>
          <w:t>[85]</w:t>
        </w:r>
      </w:hyperlink>
      <w:r>
        <w:t>.</w:t>
      </w:r>
    </w:p>
    <w:p w14:paraId="699BC245" w14:textId="77777777" w:rsidR="00E01851" w:rsidRDefault="00000000">
      <w:pPr>
        <w:pStyle w:val="Ttulo3"/>
      </w:pPr>
      <w:bookmarkStart w:id="11" w:name="X0821117aa21b889530f89fcd03de9156e90d4eb"/>
      <w:bookmarkEnd w:id="10"/>
      <w:r>
        <w:t>7. Incumplimiento de coberturas pactadas o topes del plan</w:t>
      </w:r>
    </w:p>
    <w:p w14:paraId="1778CAAE" w14:textId="77777777" w:rsidR="00E01851" w:rsidRDefault="00000000">
      <w:pPr>
        <w:pStyle w:val="FirstParagraph"/>
      </w:pPr>
      <w:r>
        <w:t xml:space="preserve">Esta irregularidad ocurre cuando la clínica o prestador </w:t>
      </w:r>
      <w:r>
        <w:rPr>
          <w:b/>
          <w:bCs/>
        </w:rPr>
        <w:t>no respeta las condiciones de cobertura del plan de salud del paciente</w:t>
      </w:r>
      <w:r>
        <w:t>, resultando en cobros indebidos al afiliado. Hay dos situaciones frecuentes:</w:t>
      </w:r>
    </w:p>
    <w:p w14:paraId="1004211F" w14:textId="77777777" w:rsidR="00E01851" w:rsidRDefault="00000000">
      <w:pPr>
        <w:numPr>
          <w:ilvl w:val="0"/>
          <w:numId w:val="2"/>
        </w:numPr>
      </w:pPr>
      <w:r>
        <w:rPr>
          <w:b/>
          <w:bCs/>
        </w:rPr>
        <w:t>Desconocer topes o coberturas 100% pactadas:</w:t>
      </w:r>
      <w:r>
        <w:t xml:space="preserve"> Por ejemplo, supongamos que el plan indica </w:t>
      </w:r>
      <w:r>
        <w:rPr>
          <w:i/>
          <w:iCs/>
        </w:rPr>
        <w:t>cobertura 100%</w:t>
      </w:r>
      <w:r>
        <w:t xml:space="preserve"> en ciertas prestaciones (v.gr. hospitalización por parto, o algún beneficio especial). En teoría, el paciente </w:t>
      </w:r>
      <w:r>
        <w:rPr>
          <w:b/>
          <w:bCs/>
        </w:rPr>
        <w:t>no debería pagar copago</w:t>
      </w:r>
      <w:r>
        <w:t xml:space="preserve"> en esos casos. Sin embargo, en algunas cuentas se observa que igualmente se le cobró un porcentaje al paciente, </w:t>
      </w:r>
      <w:r>
        <w:rPr>
          <w:i/>
          <w:iCs/>
        </w:rPr>
        <w:t>ignorando el 100% pactado</w:t>
      </w:r>
      <w:hyperlink r:id="rId97" w:anchor=":~:text=Incumplimiento%20de%20topes%20o%20porcentajes,Otra%20variante%20es%20cuando%20el">
        <w:r w:rsidR="00E01851">
          <w:rPr>
            <w:rStyle w:val="Hipervnculo"/>
          </w:rPr>
          <w:t>[86]</w:t>
        </w:r>
      </w:hyperlink>
      <w:hyperlink r:id="rId98" w:anchor=":~:text=plan%20indica%20cobertura%20%20100,cobra%20por%20encima%20de%20ese">
        <w:r w:rsidR="00E01851">
          <w:rPr>
            <w:rStyle w:val="Hipervnculo"/>
          </w:rPr>
          <w:t>[87]</w:t>
        </w:r>
      </w:hyperlink>
      <w:r>
        <w:t xml:space="preserve">. Es decir, la clínica hizo caso omiso de la cobertura total y aplicó un copago. Otra variante es cuando el plan tiene un </w:t>
      </w:r>
      <w:r>
        <w:rPr>
          <w:b/>
          <w:bCs/>
        </w:rPr>
        <w:t>tope en UF o pesos</w:t>
      </w:r>
      <w:r>
        <w:t xml:space="preserve"> para una prestación, y la clínica de todas formas cobra por encima de ese tope sin avisar o sin ceñirse al procedimiento debido. Podrían argumentar </w:t>
      </w:r>
      <w:r>
        <w:lastRenderedPageBreak/>
        <w:t>que hubo excedente, pero a veces es cuestionable cómo miden ese “exceso” o si correspondía efectivamente</w:t>
      </w:r>
      <w:hyperlink r:id="rId99" w:anchor=":~:text=algunas%20%20cuentas%20%20presentan,c%C3%B3mo%20se%20mide%20ese%20exceso">
        <w:r w:rsidR="00E01851">
          <w:rPr>
            <w:rStyle w:val="Hipervnculo"/>
          </w:rPr>
          <w:t>[88]</w:t>
        </w:r>
      </w:hyperlink>
      <w:r>
        <w:t>.</w:t>
      </w:r>
    </w:p>
    <w:p w14:paraId="097766AD" w14:textId="77777777" w:rsidR="00E01851" w:rsidRDefault="00000000">
      <w:pPr>
        <w:numPr>
          <w:ilvl w:val="0"/>
          <w:numId w:val="2"/>
        </w:numPr>
      </w:pPr>
      <w:r>
        <w:rPr>
          <w:b/>
          <w:bCs/>
        </w:rPr>
        <w:t>Cobro de prestaciones excluidas como si fueran cubiertas:</w:t>
      </w:r>
      <w:r>
        <w:t xml:space="preserve"> Aquí la clínica factura al paciente costos que </w:t>
      </w:r>
      <w:r>
        <w:rPr>
          <w:b/>
          <w:bCs/>
        </w:rPr>
        <w:t>deberían ser asumidos por el seguro</w:t>
      </w:r>
      <w:r>
        <w:t>, o disfraza algo no cubierto dentro de otra prestación. Un ejemplo: el plan excluye procedimientos cosméticos, pero la cirugía realizada era reparadora (debiendo estar cubierta); si la clínica la codifica erróneamente como “cirugía estética”, la isapre negará cobertura y se cargará todo al paciente indebidamente</w:t>
      </w:r>
      <w:hyperlink r:id="rId100" w:anchor=":~:text=Cargos%20%20por%20%20prestaciones,la%20codifica%20mal%20como%20est%C3%A9tica">
        <w:r w:rsidR="00E01851">
          <w:rPr>
            <w:rStyle w:val="Hipervnculo"/>
          </w:rPr>
          <w:t>[89]</w:t>
        </w:r>
      </w:hyperlink>
      <w:hyperlink r:id="rId101" w:anchor=":~:text=costos%20que%20deber%C3%ADan%20ser%20,cargan%20todo%20a%20usted%20indebidamente">
        <w:r w:rsidR="00E01851">
          <w:rPr>
            <w:rStyle w:val="Hipervnculo"/>
          </w:rPr>
          <w:t>[90]</w:t>
        </w:r>
      </w:hyperlink>
      <w:r>
        <w:t xml:space="preserve">. Otro caso es que la clínica, en vez de buscar opciones de cobertura (ej. uso de un código alternativo cubierto), directamente le pasa el costo al paciente argumentando exclusión, cuando pudo haber sido cubierto parcialmente. En ambos supuestos, el resultado es que el paciente termina pagando por prestaciones que su contrato indicaba que </w:t>
      </w:r>
      <w:r>
        <w:rPr>
          <w:b/>
          <w:bCs/>
        </w:rPr>
        <w:t>no debía pagar</w:t>
      </w:r>
      <w:r>
        <w:t>, o pagando más allá de lo estipulado.</w:t>
      </w:r>
    </w:p>
    <w:p w14:paraId="44AAA81B" w14:textId="77777777" w:rsidR="00E01851" w:rsidRDefault="00000000">
      <w:pPr>
        <w:pStyle w:val="FirstParagraph"/>
      </w:pPr>
      <w:r>
        <w:t xml:space="preserve">En esencia, el trasfondo es que el afiliado sufre un </w:t>
      </w:r>
      <w:r>
        <w:rPr>
          <w:b/>
          <w:bCs/>
        </w:rPr>
        <w:t>incumplimiento contractual</w:t>
      </w:r>
      <w:r>
        <w:t xml:space="preserve">: se le cobra por encima de lo que su plan establece. Por ejemplo, en el listado de casos figuran reclamos donde </w:t>
      </w:r>
      <w:r>
        <w:rPr>
          <w:i/>
          <w:iCs/>
        </w:rPr>
        <w:t>“Plan indica 100% y se cobra copago”</w:t>
      </w:r>
      <w:hyperlink r:id="rId102" w:anchor=":~:text=Un%20ejemplo%20concreto%20del%20listado,cuenta%20de%20la%20cl%C3%ADnica%20aparece">
        <w:r w:rsidR="00E01851">
          <w:rPr>
            <w:rStyle w:val="Hipervnculo"/>
          </w:rPr>
          <w:t>[91]</w:t>
        </w:r>
      </w:hyperlink>
      <w:r>
        <w:t>. Si un afiliado tiene plan que cubre 100% la habitación compartida y en la cuenta de la clínica igualmente aparece un copago de $200.000, hay un problema evidente</w:t>
      </w:r>
      <w:hyperlink r:id="rId103" w:anchor=":~:text=Imaginemos%20un%20afiliado%20con%20plan,cuenta%20de%20la%20cl%C3%ADnica%20aparece">
        <w:r w:rsidR="00E01851">
          <w:rPr>
            <w:rStyle w:val="Hipervnculo"/>
          </w:rPr>
          <w:t>[92]</w:t>
        </w:r>
      </w:hyperlink>
      <w:hyperlink r:id="rId104" w:anchor=":~:text=un%20copago%20de%2C%20digamos%2C%20%24200,el%20paciente%20pague%20el%20100">
        <w:r w:rsidR="00E01851">
          <w:rPr>
            <w:rStyle w:val="Hipervnculo"/>
          </w:rPr>
          <w:t>[93]</w:t>
        </w:r>
      </w:hyperlink>
      <w:r>
        <w:t xml:space="preserve">. Puede ser un error de codificación o un intento de cobro en contra de lo pactado. Otro ejemplo del listado: </w:t>
      </w:r>
      <w:r>
        <w:rPr>
          <w:i/>
          <w:iCs/>
        </w:rPr>
        <w:t>“Exclusión/no cubierto trasladado al paciente (se marca y se revisa)”</w:t>
      </w:r>
      <w:r>
        <w:t>, lo cual sugiere que la clínica facturó como “no cubierto” algo que en realidad debió estar cubierto en parte, haciendo que el paciente pague el 100% indebidamente</w:t>
      </w:r>
      <w:hyperlink r:id="rId105" w:anchor=":~:text=un%20copago%20de%2C%20digamos%2C%20%24200,el%20paciente%20pague%20el%20100">
        <w:r w:rsidR="00E01851">
          <w:rPr>
            <w:rStyle w:val="Hipervnculo"/>
          </w:rPr>
          <w:t>[94]</w:t>
        </w:r>
      </w:hyperlink>
      <w:hyperlink r:id="rId106" w:anchor=":~:text=podr%C3%ADa%20referirse%20a%20que%20la,el%20paciente%20pague%20el%20100">
        <w:r w:rsidR="00E01851">
          <w:rPr>
            <w:rStyle w:val="Hipervnculo"/>
          </w:rPr>
          <w:t>[95]</w:t>
        </w:r>
      </w:hyperlink>
      <w:r>
        <w:t>.</w:t>
      </w:r>
    </w:p>
    <w:p w14:paraId="61FFE28E" w14:textId="77777777" w:rsidR="00E01851" w:rsidRDefault="00000000">
      <w:pPr>
        <w:pStyle w:val="Textoindependiente"/>
      </w:pPr>
      <w:r>
        <w:t xml:space="preserve">Desde el enfoque legal, estos casos tocan directamente la </w:t>
      </w:r>
      <w:r>
        <w:rPr>
          <w:b/>
          <w:bCs/>
        </w:rPr>
        <w:t>Ley de Contrato de Salud Previsional</w:t>
      </w:r>
      <w:r>
        <w:t xml:space="preserve"> y ameritan fiscalización de la Superintendencia. Si al afiliado le cobraron por sobre lo debido según su plan, puede reclamar por </w:t>
      </w:r>
      <w:r>
        <w:rPr>
          <w:i/>
          <w:iCs/>
        </w:rPr>
        <w:t>incumplimiento de contrato</w:t>
      </w:r>
      <w:r>
        <w:t xml:space="preserve">. La normativa indica que la </w:t>
      </w:r>
      <w:r>
        <w:rPr>
          <w:b/>
          <w:bCs/>
        </w:rPr>
        <w:t>ISAPRE debe respetar las condiciones pactadas</w:t>
      </w:r>
      <w:r>
        <w:t xml:space="preserve">, y la clínica (si tiene convenio con esa isapre) </w:t>
      </w:r>
      <w:r>
        <w:rPr>
          <w:i/>
          <w:iCs/>
        </w:rPr>
        <w:t>también</w:t>
      </w:r>
      <w:r>
        <w:t xml:space="preserve"> debe ceñirse a ellas</w:t>
      </w:r>
      <w:hyperlink r:id="rId107" w:anchor=":~:text=Desde%20el%20enfoque%20legal%2C%20estos,como%20est%C3%A1%20en%20su%20plan">
        <w:r w:rsidR="00E01851">
          <w:rPr>
            <w:rStyle w:val="Hipervnculo"/>
          </w:rPr>
          <w:t>[96]</w:t>
        </w:r>
      </w:hyperlink>
      <w:r>
        <w:t>. En palabras simples, el paciente tiene derecho a que se le aplique el beneficio tal como está en su plan. La clínica convenida no puede unilateralmente ignorar un 100% de cobertura o un tope anual. Incumplirlo vulnera el contrato tripartito (afiliado-isapre-prestador) y constituye una falta susceptible de sanción.</w:t>
      </w:r>
    </w:p>
    <w:p w14:paraId="30A35E1E" w14:textId="77777777" w:rsidR="00E01851" w:rsidRDefault="00000000">
      <w:pPr>
        <w:pStyle w:val="Textoindependiente"/>
      </w:pPr>
      <w:r>
        <w:t>Financieramente, el daño al paciente es obvio: termina pagando más de lo que le correspondía. Muchas personas, lamentablemente, no conocen los detalles de su cobertura y confían en que la cuenta final “ya viene correcta”. Esto puede ser explotado en su contra. Por ello, vale la pena que el afiliado verifique su plan o la cartola de liquidación (</w:t>
      </w:r>
      <w:r>
        <w:rPr>
          <w:i/>
          <w:iCs/>
        </w:rPr>
        <w:t>Programa Médico</w:t>
      </w:r>
      <w:r>
        <w:t xml:space="preserve">) para detectar discrepancias. En la </w:t>
      </w:r>
      <w:r>
        <w:rPr>
          <w:b/>
          <w:bCs/>
        </w:rPr>
        <w:t>liquidación (PAM)</w:t>
      </w:r>
      <w:r>
        <w:t xml:space="preserve"> que emite la isapre suelen venir columnas con el “% de bonificación” aplicado y el tope utilizado. Si se ve </w:t>
      </w:r>
      <w:r>
        <w:rPr>
          <w:i/>
          <w:iCs/>
        </w:rPr>
        <w:t>“% Bonif.: 100”</w:t>
      </w:r>
      <w:r>
        <w:t xml:space="preserve"> y aun así hay copago &gt; 0, claramente </w:t>
      </w:r>
      <w:r>
        <w:rPr>
          <w:b/>
          <w:bCs/>
        </w:rPr>
        <w:t>hay un problema</w:t>
      </w:r>
      <w:hyperlink r:id="rId108" w:anchor=":~:text=la%20%20cuenta%20%20final,cobraron%20m%C3%A1s%20all%C3%A1%20sin%20cubrir">
        <w:r w:rsidR="00E01851">
          <w:rPr>
            <w:rStyle w:val="Hipervnculo"/>
          </w:rPr>
          <w:t>[97]</w:t>
        </w:r>
      </w:hyperlink>
      <w:hyperlink r:id="rId109" w:anchor=":~:text=liquidaci%C3%B3n%20,cobraron%20m%C3%A1s%20all%C3%A1%20sin%20cubrir">
        <w:r w:rsidR="00E01851">
          <w:rPr>
            <w:rStyle w:val="Hipervnculo"/>
          </w:rPr>
          <w:t>[98]</w:t>
        </w:r>
      </w:hyperlink>
      <w:r>
        <w:t xml:space="preserve">. Lo mismo si el plan decía </w:t>
      </w:r>
      <w:r>
        <w:rPr>
          <w:i/>
          <w:iCs/>
        </w:rPr>
        <w:t xml:space="preserve">“Tope </w:t>
      </w:r>
      <w:r>
        <w:rPr>
          <w:i/>
          <w:iCs/>
        </w:rPr>
        <w:lastRenderedPageBreak/>
        <w:t>anual: X UF”</w:t>
      </w:r>
      <w:r>
        <w:t xml:space="preserve"> y la clínica cobró más allá de ese tope sin que la isapre cubriera la diferencia. Son signos de que la cobertura pactada no se aplicó correctamente.</w:t>
      </w:r>
    </w:p>
    <w:p w14:paraId="065E7A65" w14:textId="77777777" w:rsidR="00E01851" w:rsidRDefault="00000000">
      <w:pPr>
        <w:pStyle w:val="Textoindependiente"/>
      </w:pPr>
      <w:r>
        <w:t xml:space="preserve">Clínicamente, a veces el prestador alega que realizó algo extra no cubierto; pero muchas veces es un tema meramente administrativo (codificación errónea o manejable). Por ejemplo, si el plan cubría 100% una prótesis estándar y la clínica decidió usar una prótesis de mayor costo no cubierta, </w:t>
      </w:r>
      <w:r>
        <w:rPr>
          <w:b/>
          <w:bCs/>
        </w:rPr>
        <w:t>debió informar al paciente antes</w:t>
      </w:r>
      <w:r>
        <w:t xml:space="preserve"> de incurrir en ese costo. Si no lo hicieron, no pueden luego simplemente traspasarle la cuenta al paciente – esto implicaría mala fe contractual</w:t>
      </w:r>
      <w:hyperlink r:id="rId110" w:anchor=":~:text=Cl%C3%ADnicamente%2C%20a%20veces%20el%20prestador,pueden%20simplemente%20pasarle%20la%20cuenta">
        <w:r w:rsidR="00E01851">
          <w:rPr>
            <w:rStyle w:val="Hipervnculo"/>
          </w:rPr>
          <w:t>[99]</w:t>
        </w:r>
      </w:hyperlink>
      <w:hyperlink r:id="rId111" w:anchor=":~:text=muchas%20veces%20es%20un%20tema,pueden%20simplemente%20pasarle%20la%20cuenta">
        <w:r w:rsidR="00E01851">
          <w:rPr>
            <w:rStyle w:val="Hipervnculo"/>
          </w:rPr>
          <w:t>[100]</w:t>
        </w:r>
      </w:hyperlink>
      <w:r>
        <w:t>.</w:t>
      </w:r>
    </w:p>
    <w:p w14:paraId="718A31D5" w14:textId="77777777" w:rsidR="00E01851" w:rsidRDefault="00000000">
      <w:pPr>
        <w:pStyle w:val="Textoindependiente"/>
      </w:pPr>
      <w:r>
        <w:rPr>
          <w:b/>
          <w:bCs/>
        </w:rPr>
        <w:t>Cómo protegerse:</w:t>
      </w:r>
      <w:r>
        <w:t xml:space="preserve"> Es fundamental que el afiliado conozca, al menos en términos generales, las coberturas y límites de su plan. Si su plan dice “90% cobertura en hospitalización con tope anual de X UF”, al recibir la cuenta debe verificar que el copago corresponda aproximadamente al 10% esperado. Si es mayor, exigir explicaciones</w:t>
      </w:r>
      <w:hyperlink r:id="rId112" w:anchor=":~:text=C%C3%B3mo%20protegerse%3A%20Conozca%20,y%20usted%20no%20debe%20pagarlo">
        <w:r w:rsidR="00E01851">
          <w:rPr>
            <w:rStyle w:val="Hipervnculo"/>
          </w:rPr>
          <w:t>[101]</w:t>
        </w:r>
      </w:hyperlink>
      <w:r>
        <w:t xml:space="preserve">. Si el plan dice “cobertura 100% en parto normal” y aun así le cobraron algo, </w:t>
      </w:r>
      <w:r>
        <w:rPr>
          <w:b/>
          <w:bCs/>
        </w:rPr>
        <w:t>de inmediato</w:t>
      </w:r>
      <w:r>
        <w:t xml:space="preserve"> pedir revisión: podría ser un error de la clínica o de la isapre, pero en ningún caso debe pagarlo el afiliado</w:t>
      </w:r>
      <w:hyperlink r:id="rId113" w:anchor=":~:text=su%20plan%20dice%2090,y%20usted%20no%20debe%20pagarlo">
        <w:r w:rsidR="00E01851">
          <w:rPr>
            <w:rStyle w:val="Hipervnculo"/>
          </w:rPr>
          <w:t>[102]</w:t>
        </w:r>
      </w:hyperlink>
      <w:r>
        <w:t xml:space="preserve">. Un mecanismo útil es comparar el </w:t>
      </w:r>
      <w:r>
        <w:rPr>
          <w:b/>
          <w:bCs/>
        </w:rPr>
        <w:t>Estado de Pago/Programa Médico (PAM)</w:t>
      </w:r>
      <w:r>
        <w:t xml:space="preserve"> emitido por la isapre con la factura de la clínica: el PAM mostrará qué montos pagó la isapre y qué paga usted. Si identifica discrepancias con lo pactado en su plan, debe reclamar</w:t>
      </w:r>
      <w:hyperlink r:id="rId114" w:anchor=":~:text=Un%20mecanismo%20%C3%BAtil%20es%20comparar,Documente%20todo%20por%20escrito">
        <w:r w:rsidR="00E01851">
          <w:rPr>
            <w:rStyle w:val="Hipervnculo"/>
          </w:rPr>
          <w:t>[103]</w:t>
        </w:r>
      </w:hyperlink>
      <w:r>
        <w:t>. Por ejemplo, si descubre que la isapre bonificó solo un 70% en una prestación que en el contrato aparece con 100%, probablemente la clínica la codificó mal. En tal caso, se puede solicitar re-codificación y refacturación para que apliquen el 100% correcto</w:t>
      </w:r>
      <w:hyperlink r:id="rId115" w:anchor=":~:text=Un%20mecanismo%20%C3%BAtil%20es%20comparar,Documente%20todo%20por%20escrito">
        <w:r w:rsidR="00E01851">
          <w:rPr>
            <w:rStyle w:val="Hipervnculo"/>
          </w:rPr>
          <w:t>[103]</w:t>
        </w:r>
      </w:hyperlink>
      <w:hyperlink r:id="rId116" w:anchor=":~:text=mostrar%C3%A1%20lo%20que%20la%20isapre,Documente%20todo%20por%20escrito">
        <w:r w:rsidR="00E01851">
          <w:rPr>
            <w:rStyle w:val="Hipervnculo"/>
          </w:rPr>
          <w:t>[104]</w:t>
        </w:r>
      </w:hyperlink>
      <w:r>
        <w:t>. Es importante documentar todo por escrito.</w:t>
      </w:r>
    </w:p>
    <w:p w14:paraId="5DA69A9C" w14:textId="77777777" w:rsidR="00E01851" w:rsidRDefault="00000000">
      <w:pPr>
        <w:pStyle w:val="Textoindependiente"/>
      </w:pPr>
      <w:r>
        <w:t xml:space="preserve">Si la clínica se rehúsa o da explicaciones poco claras, el afiliado puede acudir a la </w:t>
      </w:r>
      <w:r>
        <w:rPr>
          <w:b/>
          <w:bCs/>
        </w:rPr>
        <w:t>Superintendencia de Salud</w:t>
      </w:r>
      <w:r>
        <w:t xml:space="preserve"> con copia de su contrato y las cuentas. La Superintendencia puede mediar e incluso </w:t>
      </w:r>
      <w:r>
        <w:rPr>
          <w:b/>
          <w:bCs/>
        </w:rPr>
        <w:t>sancionar a la clínica por incumplir coberturas</w:t>
      </w:r>
      <w:r>
        <w:t xml:space="preserve"> pactadas</w:t>
      </w:r>
      <w:hyperlink r:id="rId117" w:anchor=":~:text=Si%20la%20cl%C3%ADnica%20se%20reh%C3%BAsa,administrativo%20%20deber%C3%ADa%20corregirse">
        <w:r w:rsidR="00E01851">
          <w:rPr>
            <w:rStyle w:val="Hipervnculo"/>
          </w:rPr>
          <w:t>[105]</w:t>
        </w:r>
      </w:hyperlink>
      <w:r>
        <w:t>. En casos extremos, podría tratarse de cláusulas abusivas o incumplimientos de mala fe que escalen a instancias judiciales, pero por lo general con el reclamo administrativo debería corregirse</w:t>
      </w:r>
      <w:hyperlink r:id="rId118" w:anchor=":~:text=Si%20la%20cl%C3%ADnica%20se%20reh%C3%BAsa,administrativo%20%20deber%C3%ADa%20corregirse">
        <w:r w:rsidR="00E01851">
          <w:rPr>
            <w:rStyle w:val="Hipervnculo"/>
          </w:rPr>
          <w:t>[105]</w:t>
        </w:r>
      </w:hyperlink>
      <w:r>
        <w:t xml:space="preserve">. En suma, </w:t>
      </w:r>
      <w:r>
        <w:rPr>
          <w:b/>
          <w:bCs/>
        </w:rPr>
        <w:t>no dé por sentado que “si me lo cobraron, será porque mi plan no lo cubría”</w:t>
      </w:r>
      <w:r>
        <w:t>; podría ser una irregularidad. Siempre vale la pena verificar y exigir el cumplimiento exacto de lo contratado.</w:t>
      </w:r>
    </w:p>
    <w:p w14:paraId="5B86319B" w14:textId="77777777" w:rsidR="00E01851" w:rsidRDefault="00000000">
      <w:pPr>
        <w:pStyle w:val="Textoindependiente"/>
      </w:pPr>
      <w:r>
        <w:rPr>
          <w:i/>
          <w:iCs/>
        </w:rPr>
        <w:t>Nota:</w:t>
      </w:r>
      <w:r>
        <w:t xml:space="preserve"> Dentro de esta categoría caen también problemas con </w:t>
      </w:r>
      <w:r>
        <w:rPr>
          <w:b/>
          <w:bCs/>
        </w:rPr>
        <w:t>preexistencias y exclusiones</w:t>
      </w:r>
      <w:r>
        <w:t xml:space="preserve"> declaradas improcedentemente. La jurisprudencia ha determinado que para negar cobertura por preexistencia, debe existir un diagnóstico claro y </w:t>
      </w:r>
      <w:r>
        <w:rPr>
          <w:i/>
          <w:iCs/>
        </w:rPr>
        <w:t>conocido por el afiliado</w:t>
      </w:r>
      <w:r>
        <w:t xml:space="preserve"> previo a la suscripción del contrato; síntomas vagos o antecedentes imprecisos no bastan para excluir cobertura</w:t>
      </w:r>
      <w:hyperlink r:id="rId119" w:anchor=":~:text=,Las%20exclusiones%20deben">
        <w:r w:rsidR="00E01851">
          <w:rPr>
            <w:rStyle w:val="Hipervnculo"/>
          </w:rPr>
          <w:t>[106]</w:t>
        </w:r>
      </w:hyperlink>
      <w:r>
        <w:t xml:space="preserve">. Asimismo, las exclusiones de cobertura deben interpretarse en forma restrictiva; por ejemplo, si una determinada cirugía está excluida por ser “estética” pero en el caso concreto tiene una indicación médica funcional/reparadora, </w:t>
      </w:r>
      <w:r>
        <w:rPr>
          <w:i/>
          <w:iCs/>
        </w:rPr>
        <w:t>debe cubrirse</w:t>
      </w:r>
      <w:r>
        <w:t xml:space="preserve">. Un fallo señaló que el recambio de prótesis mamarias defectuosas (PIP) por recomendación sanitaria no puede </w:t>
      </w:r>
      <w:r>
        <w:lastRenderedPageBreak/>
        <w:t>denegarse alegando exclusión de cirugías estéticas, pues el fin no es cosmético sino terapéutico</w:t>
      </w:r>
      <w:hyperlink r:id="rId120" w:anchor=":~:text=,y%20no%20est%C3%A9tico%2C%20debe%20cubrirse">
        <w:r w:rsidR="00E01851">
          <w:rPr>
            <w:rStyle w:val="Hipervnculo"/>
          </w:rPr>
          <w:t>[107]</w:t>
        </w:r>
      </w:hyperlink>
      <w:r>
        <w:t>.</w:t>
      </w:r>
    </w:p>
    <w:p w14:paraId="4629E678" w14:textId="77777777" w:rsidR="00E01851" w:rsidRDefault="00000000">
      <w:pPr>
        <w:pStyle w:val="Ttulo3"/>
      </w:pPr>
      <w:bookmarkStart w:id="12" w:name="X73a4a1bd6c4b0a39e506394349c6b686abbe92f"/>
      <w:bookmarkEnd w:id="11"/>
      <w:r>
        <w:t>8. Reconversión tarifaria o “upcoding” de prestaciones</w:t>
      </w:r>
    </w:p>
    <w:p w14:paraId="507B574B" w14:textId="77777777" w:rsidR="00E01851" w:rsidRDefault="00000000">
      <w:pPr>
        <w:pStyle w:val="FirstParagraph"/>
      </w:pPr>
      <w:r>
        <w:t xml:space="preserve">La reconversión tarifaria se refiere a </w:t>
      </w:r>
      <w:r>
        <w:rPr>
          <w:b/>
          <w:bCs/>
        </w:rPr>
        <w:t>recodificar o re-etiquetar prestaciones, insumos o medicamentos con códigos de mayor valor arancelario que los que realmente corresponden</w:t>
      </w:r>
      <w:r>
        <w:t xml:space="preserve">, con el fin de aumentar el cobro y, típicamente, el copago del paciente. En otras palabras, es una forma de </w:t>
      </w:r>
      <w:r>
        <w:rPr>
          <w:i/>
          <w:iCs/>
        </w:rPr>
        <w:t>upcoding</w:t>
      </w:r>
      <w:r>
        <w:t xml:space="preserve"> deliberado aplicada en el contexto hospitalario: se toma algo de menor costo y se “vende” como si fuera algo más caro</w:t>
      </w:r>
      <w:hyperlink r:id="rId121" w:anchor=":~:text=La%20%20reconversi%C3%B3n%20%20tarifaria,si%20fuera%20algo%20m%C3%A1s%20caro">
        <w:r w:rsidR="00E01851">
          <w:rPr>
            <w:rStyle w:val="Hipervnculo"/>
          </w:rPr>
          <w:t>[108]</w:t>
        </w:r>
      </w:hyperlink>
      <w:hyperlink r:id="rId122" w:anchor=":~:text=medicamentos%20con%20c%C3%B3digos%20de%20mayor,si%20fuera%20algo%20m%C3%A1s%20caro">
        <w:r w:rsidR="00E01851">
          <w:rPr>
            <w:rStyle w:val="Hipervnculo"/>
          </w:rPr>
          <w:t>[109]</w:t>
        </w:r>
      </w:hyperlink>
      <w:r>
        <w:t>.</w:t>
      </w:r>
    </w:p>
    <w:p w14:paraId="26D0BFF3" w14:textId="77777777" w:rsidR="00E01851" w:rsidRDefault="00000000">
      <w:pPr>
        <w:pStyle w:val="Textoindependiente"/>
      </w:pPr>
      <w:r>
        <w:t>Ejemplos: Si un paciente recibió un insumo médico estándar de bajo costo, la cuenta podría mostrar un código distinto que corresponde a un insumo mucho más caro. O en lugar de cobrar una cirugía menor ambulatoria, se codifica como cirugía mayor para obtener mayor pago. También ocurre con medicamentos: un fármaco genérico económico facturado con el código de un medicamento de marca más oneroso (lo cual se relaciona con el punto 1, inflamiento de fármacos). Estas prácticas buscan maximizar el reembolso del seguro y el copago, excediendo lo que realmente se utilizó.</w:t>
      </w:r>
    </w:p>
    <w:p w14:paraId="31608FBD" w14:textId="77777777" w:rsidR="00E01851" w:rsidRDefault="00000000">
      <w:pPr>
        <w:pStyle w:val="Textoindependiente"/>
      </w:pPr>
      <w:r>
        <w:t xml:space="preserve">El </w:t>
      </w:r>
      <w:r>
        <w:rPr>
          <w:i/>
          <w:iCs/>
        </w:rPr>
        <w:t>upcoding</w:t>
      </w:r>
      <w:r>
        <w:t xml:space="preserve"> constituye </w:t>
      </w:r>
      <w:r>
        <w:rPr>
          <w:b/>
          <w:bCs/>
        </w:rPr>
        <w:t>fraude</w:t>
      </w:r>
      <w:r>
        <w:t xml:space="preserve"> desde la perspectiva del seguro de salud. Implica cobrar por prestaciones distintas a las otorgadas, violando tanto el contrato como las normas de ética médica y financiera. Para el afiliado, el efecto es pagar más por algo de menor valor real, erosionando sus beneficios (p. ej., consumiendo más rápido los topes). Detectar el upcoding no es sencillo para un paciente sin conocimientos técnicos, ya que requiere comparar los códigos facturados versus la atención efectivamente brindada. No obstante, auditorías internas y herramientas digitales actuales permiten identificar discrepancias inusuales de codificación</w:t>
      </w:r>
      <w:hyperlink r:id="rId123" w:anchor=":~:text=copago,cientos%20de%20miles%20de%20pesos">
        <w:r w:rsidR="00E01851">
          <w:rPr>
            <w:rStyle w:val="Hipervnculo"/>
          </w:rPr>
          <w:t>[8]</w:t>
        </w:r>
      </w:hyperlink>
      <w:r>
        <w:t>. La Superintendencia de Salud también puede, en un procedimiento de reclamación, solicitar peritajes o segundas opiniones para evaluar si la codificación fue adecuada a la realidad clínica.</w:t>
      </w:r>
    </w:p>
    <w:p w14:paraId="607723EB" w14:textId="77777777" w:rsidR="00E01851" w:rsidRDefault="00000000">
      <w:pPr>
        <w:pStyle w:val="Textoindependiente"/>
      </w:pPr>
      <w:r>
        <w:t xml:space="preserve">Del lado legal, el upcoding vulnera la obligación de buena fe en la ejecución del contrato de salud previsional y podría constituir enriquecimiento ilícito del prestador. La </w:t>
      </w:r>
      <w:r>
        <w:rPr>
          <w:b/>
          <w:bCs/>
        </w:rPr>
        <w:t>Ley N°18.933</w:t>
      </w:r>
      <w:r>
        <w:t xml:space="preserve"> (que regula a las ISAPREs, texto refundido en el DFL 1/2005) establece sanciones para obtención indebida de prestaciones: obtener beneficios mayores que los que corresponden mediante simulación o engaño es constitutivo de delito</w:t>
      </w:r>
      <w:hyperlink r:id="rId124" w:anchor=":~:text=El%20que%20sin%20tener%20la,En%20igual%20sanci%C3%B3n%20incurrir%C3%A1">
        <w:r w:rsidR="00E01851">
          <w:rPr>
            <w:rStyle w:val="Hipervnculo"/>
          </w:rPr>
          <w:t>[110]</w:t>
        </w:r>
      </w:hyperlink>
      <w:hyperlink r:id="rId125" w:anchor=":~:text=enga%C3%B1o%2C%20obtuviere%20los%20beneficios%20establecidos,cualquier%20medio%20la%20comisi%C3%B3n%20de">
        <w:r w:rsidR="00E01851">
          <w:rPr>
            <w:rStyle w:val="Hipervnculo"/>
          </w:rPr>
          <w:t>[111]</w:t>
        </w:r>
      </w:hyperlink>
      <w:r>
        <w:t>. Si bien estas sanciones penales apuntan a fraudes de afiliados contra aseguradoras, por analogía un prestador que engaña para cobrar más podría enfrentar sanciones administrativas severas e incluso acciones penales por fraude o estafa en casos extremos.</w:t>
      </w:r>
    </w:p>
    <w:p w14:paraId="55A9DB8A" w14:textId="77777777" w:rsidR="00E01851" w:rsidRDefault="00000000">
      <w:pPr>
        <w:pStyle w:val="Textoindependiente"/>
      </w:pPr>
      <w:r>
        <w:t xml:space="preserve">En suma, la reconversión tarifaria/upcoding es una práctica que erosiona la confianza en el sistema. Su detección y sanción es prioritaria para las ISAPREs y la </w:t>
      </w:r>
      <w:r>
        <w:lastRenderedPageBreak/>
        <w:t>autoridad, pues atenta contra la transparencia tarifaria y sobrecarga injustamente a los pacientes.</w:t>
      </w:r>
    </w:p>
    <w:p w14:paraId="70582FEC" w14:textId="77777777" w:rsidR="00E01851" w:rsidRDefault="00000000">
      <w:pPr>
        <w:pStyle w:val="Ttulo3"/>
      </w:pPr>
      <w:bookmarkStart w:id="13" w:name="Xdb3adc84d2739099e0bb2191bdf50d20a15ee56"/>
      <w:bookmarkEnd w:id="12"/>
      <w:r>
        <w:t>9. Cobro separado de la urgencia debiendo integrarse a un evento único de hospitalización</w:t>
      </w:r>
    </w:p>
    <w:p w14:paraId="02335511" w14:textId="77777777" w:rsidR="00E01851" w:rsidRDefault="00000000">
      <w:pPr>
        <w:pStyle w:val="FirstParagraph"/>
      </w:pPr>
      <w:r>
        <w:t xml:space="preserve">Cuando un paciente ingresa por </w:t>
      </w:r>
      <w:r>
        <w:rPr>
          <w:b/>
          <w:bCs/>
        </w:rPr>
        <w:t>urgencia</w:t>
      </w:r>
      <w:r>
        <w:t xml:space="preserve"> a un centro de salud y luego es hospitalizado por la misma causa, la atención de urgencia inicial </w:t>
      </w:r>
      <w:r>
        <w:rPr>
          <w:i/>
          <w:iCs/>
        </w:rPr>
        <w:t>debe</w:t>
      </w:r>
      <w:r>
        <w:t xml:space="preserve"> integrarse como parte del mismo evento hospitalario, y no cobrarse por separado como si fuera una prestación independiente. El principio de </w:t>
      </w:r>
      <w:r>
        <w:rPr>
          <w:b/>
          <w:bCs/>
        </w:rPr>
        <w:t>“evento único”</w:t>
      </w:r>
      <w:r>
        <w:t xml:space="preserve"> postula que atenciones continuas por el mismo diagnóstico o episodio deben consolidarse en un solo evento a efectos de cobertura, </w:t>
      </w:r>
      <w:r>
        <w:rPr>
          <w:i/>
          <w:iCs/>
        </w:rPr>
        <w:t>impidiendo la fragmentación</w:t>
      </w:r>
      <w:r>
        <w:t xml:space="preserve"> que obligue al paciente a pagar múltiples veces deducibles o copagos por lo que esencialmente es un mismo proceso patológico</w:t>
      </w:r>
      <w:hyperlink r:id="rId126" w:anchor=":~:text=,liquidada%20bajo%20las%20reglas%20del">
        <w:r w:rsidR="00E01851">
          <w:rPr>
            <w:rStyle w:val="Hipervnculo"/>
          </w:rPr>
          <w:t>[112]</w:t>
        </w:r>
      </w:hyperlink>
      <w:r>
        <w:t>.</w:t>
      </w:r>
    </w:p>
    <w:p w14:paraId="0653290C" w14:textId="77777777" w:rsidR="00E01851" w:rsidRDefault="00000000">
      <w:pPr>
        <w:pStyle w:val="Textoindependiente"/>
      </w:pPr>
      <w:r>
        <w:t xml:space="preserve">Una práctica irregular consiste precisamente en </w:t>
      </w:r>
      <w:r>
        <w:rPr>
          <w:b/>
          <w:bCs/>
        </w:rPr>
        <w:t>fragmentar la atención de urgencia y la posterior hospitalización</w:t>
      </w:r>
      <w:r>
        <w:t xml:space="preserve">, cobrando la urgencia como un evento ambulatorio aislado y la hospitalización aparte. Esto puede perjudicar gravemente al afiliado, por ejemplo, al aplicar dos veces deducibles de CAEC (uno por la urgencia y otro por la hospitalización) cuando debió ser solo uno, o al no considerar la urgencia dentro de los límites de cobertura del evento mayor. La Superintendencia de Salud ha sido clara en este punto: mediante el </w:t>
      </w:r>
      <w:r>
        <w:rPr>
          <w:i/>
          <w:iCs/>
        </w:rPr>
        <w:t>Dictamen SS N°12.287/2016</w:t>
      </w:r>
      <w:r>
        <w:t xml:space="preserve"> reafirmó el principio de </w:t>
      </w:r>
      <w:r>
        <w:rPr>
          <w:b/>
          <w:bCs/>
        </w:rPr>
        <w:t>evento único</w:t>
      </w:r>
      <w:r>
        <w:t xml:space="preserve">, indicando que las atenciones continuas por el mismo diagnóstico deben consolidarse, </w:t>
      </w:r>
      <w:r>
        <w:rPr>
          <w:b/>
          <w:bCs/>
        </w:rPr>
        <w:t>prohibiendo su fragmentación para aplicar múltiples deducibles o topes</w:t>
      </w:r>
      <w:hyperlink r:id="rId127" w:anchor=":~:text=,liquidada%20bajo%20las%20reglas%20del">
        <w:r w:rsidR="00E01851">
          <w:rPr>
            <w:rStyle w:val="Hipervnculo"/>
          </w:rPr>
          <w:t>[112]</w:t>
        </w:r>
      </w:hyperlink>
      <w:r>
        <w:t>.</w:t>
      </w:r>
    </w:p>
    <w:p w14:paraId="3F5A69DC" w14:textId="77777777" w:rsidR="00E01851" w:rsidRDefault="00000000">
      <w:pPr>
        <w:pStyle w:val="Textoindependiente"/>
      </w:pPr>
      <w:r>
        <w:t xml:space="preserve">Asimismo, el fallo arbitral Rol N°15373-2013 abordó un caso de doble hospitalización relacionada: determinó que si una segunda hospitalización es complicación directa de la primera (ejemplo: paciente hospitalizado por insuficiencia renal que posteriormente requiere hospitalización por hiperparatiroidismo secundario), se considera </w:t>
      </w:r>
      <w:r>
        <w:rPr>
          <w:b/>
          <w:bCs/>
        </w:rPr>
        <w:t>un solo evento</w:t>
      </w:r>
      <w:r>
        <w:t xml:space="preserve"> a efectos del deducible CAEC, no dos eventos separados</w:t>
      </w:r>
      <w:hyperlink r:id="rId128" w:anchor=":~:text=para%20aplicar%20m%C3%BAltiples%20deducibles%2Ftopes.%20,atenci%C3%B3n%20inicial%20de%20urgencia%20que">
        <w:r w:rsidR="00E01851">
          <w:rPr>
            <w:rStyle w:val="Hipervnculo"/>
          </w:rPr>
          <w:t>[113]</w:t>
        </w:r>
      </w:hyperlink>
      <w:r>
        <w:t>. Esto protege al afiliado de pagar dos veces el alto deducible catastrófico por complicaciones encadenadas de una misma condición.</w:t>
      </w:r>
    </w:p>
    <w:p w14:paraId="0A9BE5BF" w14:textId="77777777" w:rsidR="00E01851" w:rsidRDefault="00000000">
      <w:pPr>
        <w:pStyle w:val="Textoindependiente"/>
      </w:pPr>
      <w:r>
        <w:t xml:space="preserve">En el contexto de la </w:t>
      </w:r>
      <w:r>
        <w:rPr>
          <w:b/>
          <w:bCs/>
        </w:rPr>
        <w:t>urgencia que deriva en hospitalización</w:t>
      </w:r>
      <w:r>
        <w:t xml:space="preserve">, la regla es análoga. La atención inicial de emergencia debe liquidarse bajo las reglas del evento hospitalario global, </w:t>
      </w:r>
      <w:r>
        <w:rPr>
          <w:i/>
          <w:iCs/>
        </w:rPr>
        <w:t>no</w:t>
      </w:r>
      <w:r>
        <w:t xml:space="preserve"> como una prestación ambulatoria independiente</w:t>
      </w:r>
      <w:hyperlink r:id="rId129" w:anchor=":~:text=,como%20una%20prestaci%C3%B3n%20ambulatoria%20aislada">
        <w:r w:rsidR="00E01851">
          <w:rPr>
            <w:rStyle w:val="Hipervnculo"/>
          </w:rPr>
          <w:t>[114]</w:t>
        </w:r>
      </w:hyperlink>
      <w:r>
        <w:t>. Algunas clínicas, no obstante, han intentado facturar la urgencia por separado (aplicando copago de urgencia) además de la hospitalización, eludiendo así la cobertura más extensa que correspondería si todo se unifica en un solo evento. Esta fragmentación infringe las instrucciones de la autoridad y perjudica al paciente, quien ve reducida su cobertura global.</w:t>
      </w:r>
    </w:p>
    <w:p w14:paraId="19C989DC" w14:textId="77777777" w:rsidR="00E01851" w:rsidRDefault="00000000">
      <w:pPr>
        <w:pStyle w:val="Textoindependiente"/>
      </w:pPr>
      <w:r>
        <w:t xml:space="preserve">Legalmente, el </w:t>
      </w:r>
      <w:r>
        <w:rPr>
          <w:b/>
          <w:bCs/>
        </w:rPr>
        <w:t>DFL 1/2005</w:t>
      </w:r>
      <w:r>
        <w:t xml:space="preserve"> incorporó en la regulación ISAPRE el mandato de cubrir la urgencia hasta estabilización (ver sección siguiente), y la jurisprudencia ha extendido esa lógica a la continuidad del tratamiento. Si la urgencia y la hospitalización </w:t>
      </w:r>
      <w:r>
        <w:lastRenderedPageBreak/>
        <w:t xml:space="preserve">comparten causa, debe considerarse que </w:t>
      </w:r>
      <w:r>
        <w:rPr>
          <w:i/>
          <w:iCs/>
        </w:rPr>
        <w:t>la cobertura de urgencia se prolonga durante la hospitalización hasta la estabilización definitiva</w:t>
      </w:r>
      <w:r>
        <w:t>. Cualquier cobro duplicado (urgencia separada) puede reclamarse. En caso de controversia, la Superintendencia tiende a fallar a favor de unificar el evento en pro del paciente – por ejemplo, fallando que la isapre cubra bajo modalidad institucional todo el período porque no se gestionó traslado oportuno tras la estabilización</w:t>
      </w:r>
      <w:hyperlink r:id="rId130" w:anchor=":~:text=,a%20%C3%A9l%2C%20aplica%20Modalidad%20Institucional">
        <w:r w:rsidR="00E01851">
          <w:rPr>
            <w:rStyle w:val="Hipervnculo"/>
          </w:rPr>
          <w:t>[115]</w:t>
        </w:r>
      </w:hyperlink>
      <w:r>
        <w:t>.</w:t>
      </w:r>
    </w:p>
    <w:p w14:paraId="63BA7C9C" w14:textId="77777777" w:rsidR="00E01851" w:rsidRDefault="00000000">
      <w:pPr>
        <w:pStyle w:val="Textoindependiente"/>
      </w:pPr>
      <w:r>
        <w:t xml:space="preserve">En conclusión, </w:t>
      </w:r>
      <w:r>
        <w:rPr>
          <w:b/>
          <w:bCs/>
        </w:rPr>
        <w:t>cobrar por separado una urgencia que debió ser parte de una hospitalización es una práctica irregular</w:t>
      </w:r>
      <w:r>
        <w:t>. Los pacientes y abogados deben estar atentos a este punto: si un paciente fue hospitalizado tras pasar por urgencia, la cuenta debiese reflejar un único proceso. Si en cambio recibe facturas separadas (una por urgencia, otra por hospitalización) con duplicidad de cobros fijos o deducibles, existen fundamentos técnicos y jurídicos para exigir su reunificación y reembolso de lo cobrado en exceso.</w:t>
      </w:r>
    </w:p>
    <w:p w14:paraId="044B55A6" w14:textId="77777777" w:rsidR="00E01851" w:rsidRDefault="00000000">
      <w:pPr>
        <w:pStyle w:val="Ttulo3"/>
      </w:pPr>
      <w:bookmarkStart w:id="14" w:name="X5e024490ba938cdb8d9ef079df41adffcbc8e33"/>
      <w:bookmarkEnd w:id="13"/>
      <w:r>
        <w:t>10. Falta de respaldo y transparencia en la cuenta (codificación agregada sin desglose)</w:t>
      </w:r>
    </w:p>
    <w:p w14:paraId="59218723" w14:textId="77777777" w:rsidR="00E01851" w:rsidRDefault="00000000">
      <w:pPr>
        <w:pStyle w:val="FirstParagraph"/>
      </w:pPr>
      <w:r>
        <w:t xml:space="preserve">Muchas de las prácticas antes descritas se ven facilitadas por una </w:t>
      </w:r>
      <w:r>
        <w:rPr>
          <w:b/>
          <w:bCs/>
        </w:rPr>
        <w:t>falta de transparencia general en la factura</w:t>
      </w:r>
      <w:r>
        <w:t xml:space="preserve"> y en la documentación de respaldo. El uso de códigos genéricos o “agrupadores” sin desglose claro (#6), la asociación errónea de cargos a categorías equivocadas (#7, #9), o simplemente la omisión de entregar al paciente un detalle comprensible de cada prestación (#4, #5), son manifestaciones de este problema.</w:t>
      </w:r>
    </w:p>
    <w:p w14:paraId="764A2EA4" w14:textId="77777777" w:rsidR="00E01851" w:rsidRDefault="00000000">
      <w:pPr>
        <w:pStyle w:val="Textoindependiente"/>
      </w:pPr>
      <w:r>
        <w:t xml:space="preserve">La normativa sectorial enfatiza el deber de entregar </w:t>
      </w:r>
      <w:r>
        <w:rPr>
          <w:b/>
          <w:bCs/>
        </w:rPr>
        <w:t>información completa y oportuna</w:t>
      </w:r>
      <w:r>
        <w:t xml:space="preserve"> sobre las prestaciones cobradas. La Superintendencia, vía </w:t>
      </w:r>
      <w:r>
        <w:rPr>
          <w:i/>
          <w:iCs/>
        </w:rPr>
        <w:t>Circular IF Nº19 de 2018</w:t>
      </w:r>
      <w:r>
        <w:t xml:space="preserve">, ordenó a las isapres mejorar la transparencia de las liquidaciones de cuentas: la isapre debe pronunciarse claramente sobre </w:t>
      </w:r>
      <w:r>
        <w:rPr>
          <w:b/>
          <w:bCs/>
        </w:rPr>
        <w:t>todos y cada uno de los cobros</w:t>
      </w:r>
      <w:r>
        <w:t xml:space="preserve"> del prestador, identificando el nombre de la prestación, su código arancelario, el monto bonificado y el copago a cargo del afiliado</w:t>
      </w:r>
      <w:hyperlink r:id="rId131" w:anchor=":~:text=En%20el%20documento%20,salud%20recibidas%20por%20el%20beneficiario">
        <w:r w:rsidR="00E01851">
          <w:rPr>
            <w:rStyle w:val="Hipervnculo"/>
          </w:rPr>
          <w:t>[116]</w:t>
        </w:r>
      </w:hyperlink>
      <w:r>
        <w:t xml:space="preserve">. Solo se permite agrupar montos cuando corresponden a la </w:t>
      </w:r>
      <w:r>
        <w:rPr>
          <w:i/>
          <w:iCs/>
        </w:rPr>
        <w:t>misma</w:t>
      </w:r>
      <w:r>
        <w:t xml:space="preserve"> prestación y código repetido, indicando la cantidad de veces otorgada</w:t>
      </w:r>
      <w:hyperlink r:id="rId132" w:anchor=":~:text=cuenta%20de%20las%20atenciones%20de,salud%20recibidas%20por%20el%20beneficiario">
        <w:r w:rsidR="00E01851">
          <w:rPr>
            <w:rStyle w:val="Hipervnculo"/>
          </w:rPr>
          <w:t>[117]</w:t>
        </w:r>
      </w:hyperlink>
      <w:hyperlink r:id="rId133" w:anchor=":~:text=En%20la%20liquidaci%C3%B3n%20se%20deber%C3%A1,copago%20correspondiente%2C%20permitiendo%20su%20verificaci%C3%B3n">
        <w:r w:rsidR="00E01851">
          <w:rPr>
            <w:rStyle w:val="Hipervnculo"/>
          </w:rPr>
          <w:t>[118]</w:t>
        </w:r>
      </w:hyperlink>
      <w:r>
        <w:t xml:space="preserve">. Si alguna prestación no tiene derecho a bonificación, debe presentarse </w:t>
      </w:r>
      <w:r>
        <w:rPr>
          <w:b/>
          <w:bCs/>
        </w:rPr>
        <w:t>por separado</w:t>
      </w:r>
      <w:r>
        <w:t xml:space="preserve"> con una nota explicativa de la causa (ej.: “Prestación no arancelada”, “Exclusión por plan”, etc.), con letra visible</w:t>
      </w:r>
      <w:hyperlink r:id="rId134" w:anchor=":~:text=Las%20prestaciones%20que%20no%20tuvieren,al%20utilizado%20en%20la%20liquidaci%C3%B3n">
        <w:r w:rsidR="00E01851">
          <w:rPr>
            <w:rStyle w:val="Hipervnculo"/>
          </w:rPr>
          <w:t>[119]</w:t>
        </w:r>
      </w:hyperlink>
      <w:r>
        <w:t>. Este nivel de desglose y explicación es obligatorio y busca justamente impedir que se oculten cobros indebidos o errores bajo rubros inespecíficos.</w:t>
      </w:r>
    </w:p>
    <w:p w14:paraId="16EC3D1F" w14:textId="77777777" w:rsidR="00E01851" w:rsidRDefault="00000000">
      <w:pPr>
        <w:pStyle w:val="Textoindependiente"/>
      </w:pPr>
      <w:r>
        <w:t>Por tanto, la ausencia de respaldo (falta de hojas de consumo, fichas incompletas) o la factura poco clara (</w:t>
      </w:r>
      <w:r>
        <w:rPr>
          <w:b/>
          <w:bCs/>
        </w:rPr>
        <w:t>sin detalle de qué se está cobrando</w:t>
      </w:r>
      <w:r>
        <w:t xml:space="preserve">) contraviene la normativa de información al paciente. El afiliado tiene derecho a exigir cuentas claras y documentos de respaldo de cada cargo. La </w:t>
      </w:r>
      <w:r>
        <w:rPr>
          <w:i/>
          <w:iCs/>
        </w:rPr>
        <w:t>Ley 20.584</w:t>
      </w:r>
      <w:r>
        <w:t xml:space="preserve"> y las circulares asociadas se amparan en el principio de transparencia: lo que no esté debidamente justificado en la cuenta es </w:t>
      </w:r>
      <w:r>
        <w:rPr>
          <w:b/>
          <w:bCs/>
        </w:rPr>
        <w:t>objetable</w:t>
      </w:r>
      <w:r>
        <w:t xml:space="preserve">. Desde 1998, incluso antes de la ley de derechos del paciente, la autoridad ha impulsado mayor transparencia contractual: por ejemplo, la </w:t>
      </w:r>
      <w:r>
        <w:rPr>
          <w:b/>
          <w:bCs/>
        </w:rPr>
        <w:t xml:space="preserve">Circular </w:t>
      </w:r>
      <w:r>
        <w:rPr>
          <w:b/>
          <w:bCs/>
        </w:rPr>
        <w:lastRenderedPageBreak/>
        <w:t>N°43 de 1998</w:t>
      </w:r>
      <w:r>
        <w:t xml:space="preserve"> introdujo la </w:t>
      </w:r>
      <w:r>
        <w:rPr>
          <w:i/>
          <w:iCs/>
        </w:rPr>
        <w:t>“Selección de Prestaciones Valorizadas”</w:t>
      </w:r>
      <w:r>
        <w:t>, un formato estándar donde las isapres deben informar al afiliado el valor de cobertura de un conjunto de prestaciones frecuentes bajo su plan</w:t>
      </w:r>
      <w:hyperlink r:id="rId135" w:anchor=":~:text=La%20selecci%C3%B3n%20de%20prestaciones%20valorizadas%2C,las%20Instituciones%20de%20Salud%20Previsional">
        <w:r w:rsidR="00E01851">
          <w:rPr>
            <w:rStyle w:val="Hipervnculo"/>
          </w:rPr>
          <w:t>[120]</w:t>
        </w:r>
      </w:hyperlink>
      <w:r>
        <w:t>. Esto facilita la comparabilidad y entendimiento de los beneficios ofrecidos</w:t>
      </w:r>
      <w:hyperlink r:id="rId136" w:anchor=":~:text=facilitar%20a%20las%20personas%20la,las%20Instituciones%20de%20Salud%20Previsional">
        <w:r w:rsidR="00E01851">
          <w:rPr>
            <w:rStyle w:val="Hipervnculo"/>
          </w:rPr>
          <w:t>[121]</w:t>
        </w:r>
      </w:hyperlink>
      <w:hyperlink r:id="rId137" w:anchor=":~:text=Las%20isapres%20deber%C3%A1n%20ajustarse%20estrictamente,formato%20de%20la%20selecci%C3%B3n%20de">
        <w:r w:rsidR="00E01851">
          <w:rPr>
            <w:rStyle w:val="Hipervnculo"/>
          </w:rPr>
          <w:t>[122]</w:t>
        </w:r>
      </w:hyperlink>
      <w:r>
        <w:t>. En la misma línea, exigir facturas detalladas y respaldadas robustamente es esencial para detectar y frenar las prácticas irregulares de facturación.</w:t>
      </w:r>
    </w:p>
    <w:p w14:paraId="7FF18555" w14:textId="77777777" w:rsidR="00E01851" w:rsidRDefault="00000000">
      <w:pPr>
        <w:pStyle w:val="Textoindependiente"/>
      </w:pPr>
      <w:r>
        <w:rPr>
          <w:b/>
          <w:bCs/>
        </w:rPr>
        <w:t>En resumen,</w:t>
      </w:r>
      <w:r>
        <w:t xml:space="preserve"> la clave para combatir estas irregularidades es la transparencia y el apego estricto a las condiciones contratadas. A continuación, se detallan las obligaciones contractuales y legales de las isapres y prestadores en materias críticas (urgencia, CAEC, GES, Ricarte Soto, etc.), que sirven de marco para evaluar y enfrentar las situaciones descritas.</w:t>
      </w:r>
    </w:p>
    <w:p w14:paraId="6F94FB1F" w14:textId="77777777" w:rsidR="00E01851" w:rsidRDefault="00000000">
      <w:pPr>
        <w:pStyle w:val="Ttulo2"/>
      </w:pPr>
      <w:bookmarkStart w:id="15" w:name="X8938baac43add9fee2f845eca55cb37efa71f43"/>
      <w:bookmarkEnd w:id="4"/>
      <w:bookmarkEnd w:id="14"/>
      <w:r>
        <w:t>Coberturas Legales y Contractuales Especiales en los Planes ISAPRE</w:t>
      </w:r>
    </w:p>
    <w:p w14:paraId="4172CE2C" w14:textId="77777777" w:rsidR="00E01851" w:rsidRDefault="00000000">
      <w:pPr>
        <w:pStyle w:val="FirstParagraph"/>
      </w:pPr>
      <w:r>
        <w:t xml:space="preserve">Existen diversos regímenes de </w:t>
      </w:r>
      <w:r>
        <w:rPr>
          <w:b/>
          <w:bCs/>
        </w:rPr>
        <w:t>cobertura especial</w:t>
      </w:r>
      <w:r>
        <w:t xml:space="preserve"> establecidos por ley o contrato, cuyo correcto cumplimiento incide directamente en muchas de las problemáticas analizadas. Entre ellos destacan la cobertura de urgencias (Ley de Urgencia), la Cobertura Adicional para Enfermedades Catastróficas (CAEC), las Garantías Explícitas en Salud (GES/AUGE) y la Ley Ricarte Soto para altos costos, además de otros beneficios contractuales específicos. A continuación se resumen sus características principales, obligaciones para las isapres y prestadores, y la interacción con las prácticas irregulares mencionadas.</w:t>
      </w:r>
    </w:p>
    <w:p w14:paraId="6C5C35D7" w14:textId="77777777" w:rsidR="00E01851" w:rsidRDefault="00000000">
      <w:pPr>
        <w:pStyle w:val="Textoindependiente"/>
      </w:pPr>
      <w:r>
        <w:t>&lt;table&gt;&lt;tr&gt;&lt;th&gt;Beneficio / Cobertura&lt;/th&gt;&lt;th&gt;Descripción y Base Legal&lt;/th&gt;&lt;th&gt;Obligaciones y Condiciones&lt;/th&gt;&lt;th&gt;Cobertura al Afiliado&lt;/th&gt;&lt;/tr&gt; &lt;tr&gt;&lt;td&gt;&lt;strong&gt;Atención de Urgencia Vital&lt;/strong&gt;&lt;br&gt;(&lt;em&gt;Ley 19.650&lt;/em&gt;)&lt;/td&gt; &lt;td&gt;Corresponde a la cobertura de emergencias con riesgo vital o secuela grave, garantizada por la Ley de Urgencia (incluida en DFL 1/2005, art. 173 y ss.).</w:t>
      </w:r>
      <w:hyperlink r:id="rId138" w:anchor=":~:text=Sin%20perjuicio%20de%20lo%20anterior%2C,que%20el%20paciente%20se%20encuentre">
        <w:r w:rsidR="00E01851">
          <w:rPr>
            <w:rStyle w:val="Hipervnculo"/>
          </w:rPr>
          <w:t>[123]</w:t>
        </w:r>
      </w:hyperlink>
      <w:hyperlink r:id="rId139" w:anchor=":~:text=indicadas%20en%20los%20incisos%20cuarto,cualquier%20otra%20forma%20dicha%20atenci%C3%B3n">
        <w:r w:rsidR="00E01851">
          <w:rPr>
            <w:rStyle w:val="Hipervnculo"/>
          </w:rPr>
          <w:t>[124]</w:t>
        </w:r>
      </w:hyperlink>
      <w:r>
        <w:t xml:space="preserve">&lt;/td&gt; &lt;td&gt;La ISAPRE debe pagar directamente al prestador (público o privado) </w:t>
      </w:r>
      <w:r>
        <w:rPr>
          <w:b/>
          <w:bCs/>
        </w:rPr>
        <w:t>todas las prestaciones de emergencia</w:t>
      </w:r>
      <w:r>
        <w:t xml:space="preserve"> hasta la &lt;strong&gt;estabilización&lt;/strong&gt; del paciente</w:t>
      </w:r>
      <w:hyperlink r:id="rId140" w:anchor=":~:text=Sin%20perjuicio%20de%20lo%20anterior%2C,que%20el%20paciente%20se%20encuentre">
        <w:r w:rsidR="00E01851">
          <w:rPr>
            <w:rStyle w:val="Hipervnculo"/>
          </w:rPr>
          <w:t>[123]</w:t>
        </w:r>
      </w:hyperlink>
      <w:r>
        <w:t>. Se prohíbe al prestador exigir cheques, dinero u otras garantías de pago al paciente en urgencias (no se puede condicionar la atención)</w:t>
      </w:r>
      <w:hyperlink r:id="rId141" w:anchor=":~:text=indicadas%20en%20los%20incisos%20cuarto,cualquier%20otra%20forma%20dicha%20atenci%C3%B3n">
        <w:r w:rsidR="00E01851">
          <w:rPr>
            <w:rStyle w:val="Hipervnculo"/>
          </w:rPr>
          <w:t>[124]</w:t>
        </w:r>
      </w:hyperlink>
      <w:r>
        <w:t>. Una vez estabilizado, el paciente debe ser derivado a la red de la isapre; si él o su familia rechazan el traslado ofrecido, a partir de ese momento la cobertura pasa a ser la normal del plan (ej. modalidad libre elección)</w:t>
      </w:r>
      <w:hyperlink r:id="rId142" w:anchor=":~:text=m%C3%A1ximo%205%25%20renta%29.%20,la%20que%20corresponda%20seg%C3%BAn%20plan">
        <w:r w:rsidR="00E01851">
          <w:rPr>
            <w:rStyle w:val="Hipervnculo"/>
          </w:rPr>
          <w:t>[125]</w:t>
        </w:r>
      </w:hyperlink>
      <w:r>
        <w:t xml:space="preserve">.&lt;/td&gt; &lt;td&gt;Hasta la estabilización: </w:t>
      </w:r>
      <w:r>
        <w:rPr>
          <w:b/>
          <w:bCs/>
        </w:rPr>
        <w:t>Cobertura como institucional (máxima)</w:t>
      </w:r>
      <w:r>
        <w:t>, aun fuera de la red. La isapre cubre según arancel convenido o, si no hay convenio, a valores del prestador (público: arancel Fonasa Nivel 3; privado: precios del prestador)</w:t>
      </w:r>
      <w:hyperlink r:id="rId143" w:anchor=":~:text=Sin%20perjuicio%20de%20lo%20anterior%2C,que%20el%20paciente%20se%20encuentre">
        <w:r w:rsidR="00E01851">
          <w:rPr>
            <w:rStyle w:val="Hipervnculo"/>
          </w:rPr>
          <w:t>[123]</w:t>
        </w:r>
      </w:hyperlink>
      <w:hyperlink r:id="rId144" w:anchor=":~:text=por%20un%20m%C3%A9dico%20cirujano%2C%20otorgadas,asistencial%20que%20otorg%C3%B3%20las%20atenciones">
        <w:r w:rsidR="00E01851">
          <w:rPr>
            <w:rStyle w:val="Hipervnculo"/>
          </w:rPr>
          <w:t>[126]</w:t>
        </w:r>
      </w:hyperlink>
      <w:r>
        <w:t>. El afiliado &lt;strong&gt;no paga en el momento&lt;/strong&gt;; su copago se difiere como &lt;em&gt;crédito&lt;/em&gt; otorgado por la isapre automáticamente si a 30 días no lo ha pagado</w:t>
      </w:r>
      <w:hyperlink r:id="rId145" w:anchor=":~:text=aplicaci%C3%B3n%20de%20este%20art%C3%ADculo%20se,el%20valor%20de%20las%20atenciones">
        <w:r w:rsidR="00E01851">
          <w:rPr>
            <w:rStyle w:val="Hipervnculo"/>
          </w:rPr>
          <w:t>[127]</w:t>
        </w:r>
      </w:hyperlink>
      <w:r>
        <w:t>. Dicho crédito se paga en cuotas mensuales con interés corriente y reajuste, sin exceder el 5% de su renta mensual</w:t>
      </w:r>
      <w:hyperlink r:id="rId146">
        <w:r w:rsidR="00E01851">
          <w:rPr>
            <w:rStyle w:val="Hipervnculo"/>
          </w:rPr>
          <w:t>[128]</w:t>
        </w:r>
      </w:hyperlink>
      <w:hyperlink r:id="rId147" w:anchor=":~:text=que%20se%20refiere%20el%20art%C3%ADculo,al%20precio%20del%20plan%20de">
        <w:r w:rsidR="00E01851">
          <w:rPr>
            <w:rStyle w:val="Hipervnculo"/>
          </w:rPr>
          <w:t>[129]</w:t>
        </w:r>
      </w:hyperlink>
      <w:r>
        <w:t xml:space="preserve">. La isapre no puede exigir cheques u otros instrumentos para garantizar este préstamo </w:t>
      </w:r>
      <w:r>
        <w:lastRenderedPageBreak/>
        <w:t>legal</w:t>
      </w:r>
      <w:hyperlink r:id="rId148" w:anchor=":~:text=no%20podr%C3%A1n%20exceder%20del%205,aplicaci%C3%B3n%20de%20este%20mecanismo%2C%20la">
        <w:r w:rsidR="00E01851">
          <w:rPr>
            <w:rStyle w:val="Hipervnculo"/>
          </w:rPr>
          <w:t>[130]</w:t>
        </w:r>
      </w:hyperlink>
      <w:hyperlink r:id="rId149" w:anchor=":~:text=Instituci%C3%B3n%20no%20podr%C3%A1%20exigir%20a,650">
        <w:r w:rsidR="00E01851">
          <w:rPr>
            <w:rStyle w:val="Hipervnculo"/>
          </w:rPr>
          <w:t>[131]</w:t>
        </w:r>
      </w:hyperlink>
      <w:r>
        <w:t>.&lt;/td&gt; &lt;/tr&gt; &lt;tr&gt;&lt;td&gt;&lt;strong&gt;Cobertura Adicional para Enfermedades Catastróficas (CAEC)&lt;/strong&gt;&lt;br&gt;(Contrato ISAPRE, DFL 1/2005)&lt;/td&gt; &lt;td&gt;Beneficio contractual obligatorio en planes ISAPRE (desde 2005) para gastos muy altos. Financia el 100% de los copagos una vez superado un &lt;strong&gt;deducible anual&lt;/strong&gt; por enfermedad catastrófica.</w:t>
      </w:r>
      <w:hyperlink r:id="rId150" w:anchor=":~:text=2,min%2060%20UF%2C%20max%20126">
        <w:r w:rsidR="00E01851">
          <w:rPr>
            <w:rStyle w:val="Hipervnculo"/>
          </w:rPr>
          <w:t>[132]</w:t>
        </w:r>
      </w:hyperlink>
      <w:hyperlink r:id="rId151" w:anchor=":~:text=la%20Red%20CAEC%2C%20el%20beneficio,red%20gestionada%20por%20la%20Isapre">
        <w:r w:rsidR="00E01851">
          <w:rPr>
            <w:rStyle w:val="Hipervnculo"/>
          </w:rPr>
          <w:t>[133]</w:t>
        </w:r>
      </w:hyperlink>
      <w:r>
        <w:t>&lt;/td&gt; &lt;td&gt;El afiliado o representante debe &lt;strong&gt;activar&lt;/strong&gt; la CAEC presentando la solicitud ante la isapre. Se define un &lt;strong&gt;deducible anual&lt;/strong&gt; equivalente a 30 cotizaciones mensuales del plan (aprox 30 veces la cotización pactada), con un mínimo de 60 UF y máximo de 126 UF</w:t>
      </w:r>
      <w:hyperlink r:id="rId152" w:anchor=":~:text=la%20Red%20CAEC%2C%20el%20beneficio,red%20gestionada%20por%20la%20Isapre">
        <w:r w:rsidR="00E01851">
          <w:rPr>
            <w:rStyle w:val="Hipervnculo"/>
          </w:rPr>
          <w:t>[133]</w:t>
        </w:r>
      </w:hyperlink>
      <w:r>
        <w:t>. La CAEC opera solo dentro de una &lt;strong&gt;Red Cerrada&lt;/strong&gt; de prestadores designados por la isapre para este efecto</w:t>
      </w:r>
      <w:hyperlink r:id="rId153" w:anchor=":~:text=2,min%2060%20UF%2C%20max%20126">
        <w:r w:rsidR="00E01851">
          <w:rPr>
            <w:rStyle w:val="Hipervnculo"/>
          </w:rPr>
          <w:t>[132]</w:t>
        </w:r>
      </w:hyperlink>
      <w:r>
        <w:t>. En caso de emergencia vital, si el paciente ingresa inicialmente a un prestador de la red CAEC, el beneficio puede activarse retroactivamente (aviso dentro de 48h)</w:t>
      </w:r>
      <w:hyperlink r:id="rId154" w:anchor=":~:text=,red%20gestionada%20por%20la%20Isapre">
        <w:r w:rsidR="00E01851">
          <w:rPr>
            <w:rStyle w:val="Hipervnculo"/>
          </w:rPr>
          <w:t>[134]</w:t>
        </w:r>
      </w:hyperlink>
      <w:r>
        <w:t xml:space="preserve">. La ISAPRE tiene la obligación de &lt;strong&gt;gestionar el traslado&lt;/strong&gt; oportuno del paciente a su red CAEC una vez estabilizado. Si no lo hace o no tiene prestador CAEC disponible en la región, no puede negar la cobertura.&lt;/td&gt; &lt;td&gt;Dentro de la red CAEC: </w:t>
      </w:r>
      <w:r>
        <w:rPr>
          <w:b/>
          <w:bCs/>
        </w:rPr>
        <w:t>100% de cobertura</w:t>
      </w:r>
      <w:r>
        <w:t xml:space="preserve"> de los copagos una vez pagado el deducible por el paciente (el deducible se acumula por año calendario)</w:t>
      </w:r>
      <w:hyperlink r:id="rId155" w:anchor=":~:text=2,min%2060%20UF%2C%20max%20126">
        <w:r w:rsidR="00E01851">
          <w:rPr>
            <w:rStyle w:val="Hipervnculo"/>
          </w:rPr>
          <w:t>[132]</w:t>
        </w:r>
      </w:hyperlink>
      <w:hyperlink r:id="rId156" w:anchor=":~:text=la%20Red%20CAEC%2C%20el%20beneficio,red%20gestionada%20por%20la%20Isapre">
        <w:r w:rsidR="00E01851">
          <w:rPr>
            <w:rStyle w:val="Hipervnculo"/>
          </w:rPr>
          <w:t>[133]</w:t>
        </w:r>
      </w:hyperlink>
      <w:r>
        <w:t xml:space="preserve">. Fuera de red: por regla general, la CAEC &lt;strong&gt;no rige&lt;/strong&gt; fuera de los prestadores designados. Sin embargo, la jurisprudencia arbitral ha establecido que si la isapre no ofrece un prestador CAEC idóneo o el traslado es inviable por razones no imputables al afiliado (ej. falta de convenio en la región, urgencia que impide traslado), la isapre </w:t>
      </w:r>
      <w:r>
        <w:rPr>
          <w:b/>
          <w:bCs/>
        </w:rPr>
        <w:t>debe igualmente cubrir</w:t>
      </w:r>
      <w:r>
        <w:t xml:space="preserve"> bajo modalidad catastrófica aunque sea fuera de red</w:t>
      </w:r>
      <w:hyperlink r:id="rId157" w:anchor=":~:text=,es%20responsabilidad%20de%20la%20Isapre">
        <w:r w:rsidR="00E01851">
          <w:rPr>
            <w:rStyle w:val="Hipervnculo"/>
          </w:rPr>
          <w:t>[135]</w:t>
        </w:r>
      </w:hyperlink>
      <w:r>
        <w:t>. En otras palabras, la falta de red es responsabilidad de la isapre y no puede dejar sin cobertura al afiliado. También, si la isapre avisa tardíamente el traslado (cuando el paciente ya fue dado de alta fuera de red), se le puede exigir que cubra esos gastos como si hubiesen sido en red, por no haber gestionado oportunamente la derivación</w:t>
      </w:r>
      <w:hyperlink r:id="rId158" w:anchor=":~:text=,lo%20realizado%20fuera%20de%20red">
        <w:r w:rsidR="00E01851">
          <w:rPr>
            <w:rStyle w:val="Hipervnculo"/>
          </w:rPr>
          <w:t>[136]</w:t>
        </w:r>
      </w:hyperlink>
      <w:r>
        <w:t xml:space="preserve">.&lt;/td&gt; &lt;/tr&gt; &lt;tr&gt;&lt;td&gt;&lt;strong&gt;Garantías Explícitas en Salud (GES/AUGE)&lt;/strong&gt;&lt;br&gt;(Ley 19.966)&lt;/td&gt; &lt;td&gt;Régimen legal de beneficios garantizados para un listado de problemas de salud prioritarios (85 condiciones en la última actualización). Asegura </w:t>
      </w:r>
      <w:r>
        <w:rPr>
          <w:i/>
          <w:iCs/>
        </w:rPr>
        <w:t>acceso</w:t>
      </w:r>
      <w:r>
        <w:t xml:space="preserve">, </w:t>
      </w:r>
      <w:r>
        <w:rPr>
          <w:i/>
          <w:iCs/>
        </w:rPr>
        <w:t>oportunidad</w:t>
      </w:r>
      <w:r>
        <w:t xml:space="preserve">, </w:t>
      </w:r>
      <w:r>
        <w:rPr>
          <w:i/>
          <w:iCs/>
        </w:rPr>
        <w:t>calidad</w:t>
      </w:r>
      <w:r>
        <w:t xml:space="preserve"> y </w:t>
      </w:r>
      <w:r>
        <w:rPr>
          <w:i/>
          <w:iCs/>
        </w:rPr>
        <w:t>protección financiera</w:t>
      </w:r>
      <w:r>
        <w:t xml:space="preserve"> en dichas patologías para todos los asegurados (Fonasa e Isapre).</w:t>
      </w:r>
      <w:hyperlink r:id="rId159" w:anchor=":~:text=3,Isapre%20a%20gestionar%20la%20entrega">
        <w:r w:rsidR="00E01851">
          <w:rPr>
            <w:rStyle w:val="Hipervnculo"/>
          </w:rPr>
          <w:t>[137]</w:t>
        </w:r>
      </w:hyperlink>
      <w:r>
        <w:t xml:space="preserve">&lt;/td&gt; &lt;td&gt;Las ISAPREs deben ofrecer GES en todos sus planes. El afiliado que invoque una patología GES tiene derecho a atención en la &lt;strong&gt;Red GES&lt;/strong&gt; designada por su isapre, dentro de plazos máximos establecidos por protocolo. La isapre debe garantizar la cobertura de todas las prestaciones sanitarias definidas en el protocolo GES de esa condición, incluyendo cirugías, controles, </w:t>
      </w:r>
      <w:r>
        <w:rPr>
          <w:i/>
          <w:iCs/>
        </w:rPr>
        <w:t>medicamentos y dispositivos asociados</w:t>
      </w:r>
      <w:r>
        <w:t>. En particular, si la farmacia en convenio no tiene stock de un fármaco GES, la isapre debe proveerlo de otra forma (despacho o reembolso inmediato)</w:t>
      </w:r>
      <w:hyperlink r:id="rId160" w:anchor=":~:text=urgencia%20vital%20o%20bonificaci%C3%B3n%20CAEC,si%20el%20paciente%20compra%20fuera">
        <w:r w:rsidR="00E01851">
          <w:rPr>
            <w:rStyle w:val="Hipervnculo"/>
          </w:rPr>
          <w:t>[138]</w:t>
        </w:r>
      </w:hyperlink>
      <w:r>
        <w:t>. El uso de la garantía exige que el paciente se atienda en los prestadores GES designados; si opta por atenderse fuera de la red GES sin autorización, se &lt;strong&gt;pierde la cobertura GES&lt;/strong&gt; (quedando la atención sujeta al plan general, salvo urgencias)</w:t>
      </w:r>
      <w:hyperlink r:id="rId161" w:anchor=":~:text=,si%20el%20paciente%20compra%20fuera">
        <w:r w:rsidR="00E01851">
          <w:rPr>
            <w:rStyle w:val="Hipervnculo"/>
          </w:rPr>
          <w:t>[139]</w:t>
        </w:r>
      </w:hyperlink>
      <w:r>
        <w:t xml:space="preserve">.&lt;/td&gt; &lt;td&gt;La cobertura GES implica un &lt;strong&gt;copago fijo reducido&lt;/strong&gt;. Por ley, Fonasa e Isapres deben establecer copagos GES equivalentes al 20% del arancel de referencia </w:t>
      </w:r>
      <w:r>
        <w:lastRenderedPageBreak/>
        <w:t>para cada prestación garantizada (Fonasa nivel 1), con un tope anual por beneficiario de 122 UF en copagos GES</w:t>
      </w:r>
      <w:hyperlink r:id="rId162" w:anchor=":~:text=3,si%20el%20paciente%20compra%20fuera">
        <w:r w:rsidR="00E01851">
          <w:rPr>
            <w:rStyle w:val="Hipervnculo"/>
          </w:rPr>
          <w:t>[140]</w:t>
        </w:r>
      </w:hyperlink>
      <w:r>
        <w:t xml:space="preserve">. En la práctica en isapres suele ser 0% en hospitalizaciones GES y 20% en ambulatorio, dependiendo del plan, pero nunca más oneroso que Fonasa. La protección financiera GES asegura que el paciente no pagará por encima de esos porcentajes predefinidos, </w:t>
      </w:r>
      <w:r>
        <w:rPr>
          <w:i/>
          <w:iCs/>
        </w:rPr>
        <w:t>independientemente del costo real</w:t>
      </w:r>
      <w:r>
        <w:t xml:space="preserve"> de las prestaciones (el excedente lo cubre la isapre). Esto brinda certeza de gasto al afiliado. Adicionalmente, los medicamentos GES relevantes deben ser entregados sin costo o con el mismo copago fijo.&lt;/td&gt; &lt;/tr&gt; &lt;tr&gt;&lt;td&gt;&lt;strong&gt;Sistema de Protección Financiera Ley Ricarte Soto&lt;/strong&gt;&lt;br&gt;(&lt;em&gt;Ley 20.850&lt;/em&gt;)&lt;/td&gt; &lt;td&gt;Es un fondo estatal de cobertura para </w:t>
      </w:r>
      <w:r>
        <w:rPr>
          <w:i/>
          <w:iCs/>
        </w:rPr>
        <w:t>diagnósticos y tratamientos de alto costo</w:t>
      </w:r>
      <w:r>
        <w:t>, establecido por la Ley 20.850 de 2015 (“Ley Ricarte Soto”). Cubre prestaciones definidas en un listado especial (decretos supremos) para enfermedades graves, elevando la cobertura al 100% del valor de dichos tratamientos para todos los beneficiarios del sistema (tanto Fonasa como Isapres).</w:t>
      </w:r>
      <w:hyperlink r:id="rId163" w:anchor=":~:text=En%20conformidad%20a%20lo%20dispuesto,de%20Salud%2C%20a%20todos%20los">
        <w:r w:rsidR="00E01851">
          <w:rPr>
            <w:rStyle w:val="Hipervnculo"/>
          </w:rPr>
          <w:t>[141]</w:t>
        </w:r>
      </w:hyperlink>
      <w:hyperlink r:id="rId164" w:anchor=":~:text=1,y%20la%20Superintendencia%20de%20Salud">
        <w:r w:rsidR="00E01851">
          <w:rPr>
            <w:rStyle w:val="Hipervnculo"/>
          </w:rPr>
          <w:t>[142]</w:t>
        </w:r>
      </w:hyperlink>
      <w:r>
        <w:t xml:space="preserve">&lt;/td&gt; &lt;td&gt;Cuando una prestación médica está incluida en el listado Ricarte Soto vigente, el paciente tiene derecho a que se financie íntegramente a través de este Sistema de Protección Financiera. </w:t>
      </w:r>
      <w:r>
        <w:rPr>
          <w:b/>
          <w:bCs/>
        </w:rPr>
        <w:t>Las isapres deben informar</w:t>
      </w:r>
      <w:r>
        <w:t xml:space="preserve"> a todos sus afiliados sobre la existencia de este beneficio garantizado y cómo acceder a él</w:t>
      </w:r>
      <w:hyperlink r:id="rId165" w:anchor=":~:text=Las%20Instituciones%20de%20Salud%20Previsional%2C,que%20establezca%20el%20citado%20decreto">
        <w:r w:rsidR="00E01851">
          <w:rPr>
            <w:rStyle w:val="Hipervnculo"/>
          </w:rPr>
          <w:t>[143]</w:t>
        </w:r>
      </w:hyperlink>
      <w:hyperlink r:id="rId166" w:anchor=":~:text=1,y%20la%20Superintendencia%20de%20Salud">
        <w:r w:rsidR="00E01851">
          <w:rPr>
            <w:rStyle w:val="Hipervnculo"/>
          </w:rPr>
          <w:t>[142]</w:t>
        </w:r>
      </w:hyperlink>
      <w:r>
        <w:t xml:space="preserve">. Al confirmarse el diagnóstico cubierto, el prestador debe notificar al paciente mediante un </w:t>
      </w:r>
      <w:r>
        <w:rPr>
          <w:i/>
          <w:iCs/>
        </w:rPr>
        <w:t>“Formulario de Constancia de Información al Paciente Ley Ricarte Soto”</w:t>
      </w:r>
      <w:hyperlink r:id="rId167" w:anchor=":~:text=Los%20beneficiarios%20a%20quienes%20durante,que%20tienen%20derecho%20a%20tales">
        <w:r w:rsidR="00E01851">
          <w:rPr>
            <w:rStyle w:val="Hipervnculo"/>
          </w:rPr>
          <w:t>[144]</w:t>
        </w:r>
      </w:hyperlink>
      <w:r>
        <w:t>, indicando que tiene derecho a esas prestaciones garantizadas y que debe atenderse a través de la red de prestadores designada para tal efecto</w:t>
      </w:r>
      <w:hyperlink r:id="rId168" w:anchor=":~:text=Informaci%C3%B3n%20al%20Paciente%20Ley%20Ricarte,de%20Prestadores%20que%20les%20corresponda">
        <w:r w:rsidR="00E01851">
          <w:rPr>
            <w:rStyle w:val="Hipervnculo"/>
          </w:rPr>
          <w:t>[145]</w:t>
        </w:r>
      </w:hyperlink>
      <w:r>
        <w:t>. Para los afiliados a isapre, la normativa exige &lt;strong&gt;activar primero la CAEC&lt;/strong&gt; si su plan la contempla, antes de acudir a la cobertura Ricarte Soto</w:t>
      </w:r>
      <w:hyperlink r:id="rId169" w:anchor=":~:text=En%20el%20caso%20de%20los,del%20Sistema%20de%20Protecci%C3%B3n%20Financiera">
        <w:r w:rsidR="00E01851">
          <w:rPr>
            <w:rStyle w:val="Hipervnculo"/>
          </w:rPr>
          <w:t>[146]</w:t>
        </w:r>
      </w:hyperlink>
      <w:r>
        <w:t xml:space="preserve">. Esto significa que si el contrato de salud tiene CAEC, debe hacerse efectiva hasta el deducible, y luego la Ley Ricarte cubre el resto del costo total. Si el contrato </w:t>
      </w:r>
      <w:r>
        <w:rPr>
          <w:i/>
          <w:iCs/>
        </w:rPr>
        <w:t>no</w:t>
      </w:r>
      <w:r>
        <w:t xml:space="preserve"> tiene CAEC, Ricarte Soto opera sin requerir deducible previo.&lt;/td&gt; &lt;td&gt;El beneficiario (Fonasa o Isapre) recibe </w:t>
      </w:r>
      <w:r>
        <w:rPr>
          <w:b/>
          <w:bCs/>
        </w:rPr>
        <w:t>cobertura del 100% del costo</w:t>
      </w:r>
      <w:r>
        <w:t xml:space="preserve"> de las prestaciones garantizadas por Ricarte Soto, </w:t>
      </w:r>
      <w:r>
        <w:rPr>
          <w:i/>
          <w:iCs/>
        </w:rPr>
        <w:t>sin copago</w:t>
      </w:r>
      <w:r>
        <w:t>, financiado por el Fondo público. En caso de afiliados isapre, una vez cumplidos los requisitos (ej. uso de CAEC hasta deducible si aplica), la totalidad del gasto del tratamiento de alto costo es asumida por el Estado, a través de Fonasa</w:t>
      </w:r>
      <w:hyperlink r:id="rId170" w:anchor=":~:text=1,y%20la%20Superintendencia%20de%20Salud">
        <w:r w:rsidR="00E01851">
          <w:rPr>
            <w:rStyle w:val="Hipervnculo"/>
          </w:rPr>
          <w:t>[142]</w:t>
        </w:r>
      </w:hyperlink>
      <w:r>
        <w:t>. Importante: si el afiliado ya tenía ese tratamiento cubierto por su isapre contractualmente (o por orden judicial, etc.), la incorporación a Ricarte Soto no puede hacerle perder esos derechos previamente obtenidos</w:t>
      </w:r>
      <w:hyperlink r:id="rId171" w:anchor=":~:text=Sin%20perjuicio%20de%20lo%20se%C3%B1alado%2C,contractual%2C%20extracontractual%2C%20o%20cualquiera%20otra">
        <w:r w:rsidR="00E01851">
          <w:rPr>
            <w:rStyle w:val="Hipervnculo"/>
          </w:rPr>
          <w:t>[147]</w:t>
        </w:r>
      </w:hyperlink>
      <w:r>
        <w:t>. El paciente podrá elegir entre seguir con su cobertura previa o utilizar la de Ricarte Soto, asegurando así siempre la alternativa más beneficiosa</w:t>
      </w:r>
      <w:hyperlink r:id="rId172" w:anchor=":~:text=Sin%20perjuicio%20de%20lo%20se%C3%B1alado%2C,contractual%2C%20extracontractual%2C%20o%20cualquiera%20otra">
        <w:r w:rsidR="00E01851">
          <w:rPr>
            <w:rStyle w:val="Hipervnculo"/>
          </w:rPr>
          <w:t>[147]</w:t>
        </w:r>
      </w:hyperlink>
      <w:r>
        <w:t>. La ley también excluye de Ricarte Soto aquellas prestaciones que estén cubiertas por otros regímenes especiales (ej. accidentes laborales, ley de accidentes de tránsito, o la misma CAEC de isapres)</w:t>
      </w:r>
      <w:hyperlink r:id="rId173" w:anchor=":~:text=2,cubiertas%2C%20por%20las%20normas%20sobre">
        <w:r w:rsidR="00E01851">
          <w:rPr>
            <w:rStyle w:val="Hipervnculo"/>
          </w:rPr>
          <w:t>[148]</w:t>
        </w:r>
      </w:hyperlink>
      <w:r>
        <w:t xml:space="preserve"> para evitar duplicidad. La fiscalización del cumplimiento de esta cobertura corresponde a Fonasa, pudiendo el beneficiario reclamar ante Fonasa y la Superintendencia de Salud si no se le entrega la protección financiera debida</w:t>
      </w:r>
      <w:hyperlink r:id="rId174" w:anchor=":~:text=4%C2%B0%20Formalidades">
        <w:r w:rsidR="00E01851">
          <w:rPr>
            <w:rStyle w:val="Hipervnculo"/>
          </w:rPr>
          <w:t>[149]</w:t>
        </w:r>
      </w:hyperlink>
      <w:r>
        <w:t>.&lt;/td&gt; &lt;/tr&gt; &lt;/table&gt;</w:t>
      </w:r>
    </w:p>
    <w:p w14:paraId="288A5A5D" w14:textId="77777777" w:rsidR="00E01851" w:rsidRDefault="00000000">
      <w:pPr>
        <w:pStyle w:val="Textoindependiente"/>
      </w:pPr>
      <w:r>
        <w:rPr>
          <w:b/>
          <w:bCs/>
        </w:rPr>
        <w:lastRenderedPageBreak/>
        <w:t>Otros aspectos contractuales:</w:t>
      </w:r>
      <w:r>
        <w:t xml:space="preserve"> Adicionalmente, existen normas administrativas generales que rigen los contratos de salud previsional y son relevantes para evitar abusos:</w:t>
      </w:r>
    </w:p>
    <w:p w14:paraId="5EB972EE" w14:textId="77777777" w:rsidR="00E01851" w:rsidRDefault="00000000">
      <w:pPr>
        <w:numPr>
          <w:ilvl w:val="0"/>
          <w:numId w:val="3"/>
        </w:numPr>
      </w:pPr>
      <w:r>
        <w:rPr>
          <w:i/>
          <w:iCs/>
        </w:rPr>
        <w:t>Continuidad de cobertura:</w:t>
      </w:r>
      <w:r>
        <w:t xml:space="preserve"> Una isapre </w:t>
      </w:r>
      <w:r>
        <w:rPr>
          <w:b/>
          <w:bCs/>
        </w:rPr>
        <w:t>no puede suspender las prestaciones ni la cobertura de un afiliado por mora en el pago de cotizaciones durante una hospitalización en curso o durante una licencia médica</w:t>
      </w:r>
      <w:r>
        <w:t xml:space="preserve"> (en ciertos supuestos legalmente determinados)</w:t>
      </w:r>
      <w:hyperlink r:id="rId175" w:anchor=":~:text=,salvo%20excepciones%20muy%20espec%C3%ADficas">
        <w:r w:rsidR="00E01851">
          <w:rPr>
            <w:rStyle w:val="Hipervnculo"/>
          </w:rPr>
          <w:t>[150]</w:t>
        </w:r>
      </w:hyperlink>
      <w:r>
        <w:t>. Es decir, si el afiliado está internado o con licencia, la isapre debe seguir otorgando las coberturas comprometidas aunque hubiere retrasos en el pago de cotizaciones, evitando dejarlo descubierto en medio del tratamiento.</w:t>
      </w:r>
    </w:p>
    <w:p w14:paraId="0B7B09CD" w14:textId="77777777" w:rsidR="00E01851" w:rsidRDefault="00000000">
      <w:pPr>
        <w:numPr>
          <w:ilvl w:val="0"/>
          <w:numId w:val="3"/>
        </w:numPr>
      </w:pPr>
      <w:r>
        <w:rPr>
          <w:i/>
          <w:iCs/>
        </w:rPr>
        <w:t>Límites anuales y topes:</w:t>
      </w:r>
      <w:r>
        <w:t xml:space="preserve"> Muchos planes contemplan topes de cobertura expresados en UF. La regulación exige que dichos </w:t>
      </w:r>
      <w:r>
        <w:rPr>
          <w:b/>
          <w:bCs/>
        </w:rPr>
        <w:t>topes sean anuales por beneficiario</w:t>
      </w:r>
      <w:r>
        <w:t xml:space="preserve">, </w:t>
      </w:r>
      <w:r>
        <w:rPr>
          <w:i/>
          <w:iCs/>
        </w:rPr>
        <w:t>no</w:t>
      </w:r>
      <w:r>
        <w:t xml:space="preserve"> por evento ni por prestación aislada</w:t>
      </w:r>
      <w:hyperlink r:id="rId176" w:anchor=":~:text=,aplica%20el%20tope%20del%20plan">
        <w:r w:rsidR="00E01851">
          <w:rPr>
            <w:rStyle w:val="Hipervnculo"/>
          </w:rPr>
          <w:t>[151]</w:t>
        </w:r>
      </w:hyperlink>
      <w:r>
        <w:t>. Salvo excepciones muy específicas, no es procedente que la isapre aplique el tope por cada siniestro, sino que debe acumular los montos durante el año hasta alcanzar el límite. Cualquier práctica de “reiniciar” el tope indebidamente (por ejemplo, fragmentando eventos, como en el caso del principio de evento único) va contra esta norma.</w:t>
      </w:r>
    </w:p>
    <w:p w14:paraId="0A33C22F" w14:textId="77777777" w:rsidR="00E01851" w:rsidRDefault="00000000">
      <w:pPr>
        <w:numPr>
          <w:ilvl w:val="0"/>
          <w:numId w:val="3"/>
        </w:numPr>
      </w:pPr>
      <w:r>
        <w:rPr>
          <w:i/>
          <w:iCs/>
        </w:rPr>
        <w:t>Red preferente vs. libre elección:</w:t>
      </w:r>
      <w:r>
        <w:t xml:space="preserve"> Si el plan contratado es de tipo </w:t>
      </w:r>
      <w:r>
        <w:rPr>
          <w:b/>
          <w:bCs/>
        </w:rPr>
        <w:t>Preferente o Cerrado</w:t>
      </w:r>
      <w:r>
        <w:t xml:space="preserve">, el afiliado tiene la obligación de usar los prestadores en convenio de esa red para obtener la cobertura máxima prometida; si se atiende fuera de la red por decisión propia (no por urgencia), la cobertura baja notablemente o puede no aplicar. En cambio, en planes de </w:t>
      </w:r>
      <w:r>
        <w:rPr>
          <w:b/>
          <w:bCs/>
        </w:rPr>
        <w:t>Libre Elección</w:t>
      </w:r>
      <w:r>
        <w:t>, el afiliado puede atenderse con cualquier prestador, recibiendo el porcentaje de bonificación del plan (usualmente menor que en red preferente) hasta los topes definidos</w:t>
      </w:r>
      <w:hyperlink r:id="rId177" w:anchor=":~:text=,aplica%20el%20tope%20del%20plan">
        <w:r w:rsidR="00E01851">
          <w:rPr>
            <w:rStyle w:val="Hipervnculo"/>
          </w:rPr>
          <w:t>[152]</w:t>
        </w:r>
      </w:hyperlink>
      <w:r>
        <w:t>. Este diseño contractual debe ser respetado por todas las partes: el afiliado asume pagar más si sale de la red, pero la isapre también debe garantizar una red suficiente y condiciones razonables. Si la red preferente falla (por ejemplo, no hay especialista disponible), el afiliado podría reclamar para que su atención fuera de red sea cubierta en forma excepcional como si fuera en red.</w:t>
      </w:r>
    </w:p>
    <w:p w14:paraId="7EAD4E33" w14:textId="77777777" w:rsidR="00E01851" w:rsidRDefault="00000000">
      <w:pPr>
        <w:numPr>
          <w:ilvl w:val="0"/>
          <w:numId w:val="3"/>
        </w:numPr>
      </w:pPr>
      <w:r>
        <w:rPr>
          <w:i/>
          <w:iCs/>
        </w:rPr>
        <w:t>Notas y comparabilidad:</w:t>
      </w:r>
      <w:r>
        <w:t xml:space="preserve"> Como se mencionó, instrumentos como la </w:t>
      </w:r>
      <w:r>
        <w:rPr>
          <w:b/>
          <w:bCs/>
        </w:rPr>
        <w:t>Selección de Prestaciones Valorizadas</w:t>
      </w:r>
      <w:r>
        <w:t xml:space="preserve"> (Circular 43/1998 y actualizaciones) obligan a las isapres a informar claramente cuánto bonifican para un conjunto estándar de prestaciones (día cama, consultas, exámenes, parto, apendicectomía, etc.), expresando tanto porcentajes como valores en pesos según el plan</w:t>
      </w:r>
      <w:hyperlink r:id="rId178" w:anchor=":~:text=La%20selecci%C3%B3n%20de%20prestaciones%20valorizadas%2C,las%20Instituciones%20de%20Salud%20Previsional">
        <w:r w:rsidR="00E01851">
          <w:rPr>
            <w:rStyle w:val="Hipervnculo"/>
          </w:rPr>
          <w:t>[120]</w:t>
        </w:r>
      </w:hyperlink>
      <w:hyperlink r:id="rId179" w:anchor=":~:text=Las%20isapres%20deber%C3%A1n%20ajustarse%20estrictamente,formato%20de%20la%20selecci%C3%B3n%20de">
        <w:r w:rsidR="00E01851">
          <w:rPr>
            <w:rStyle w:val="Hipervnculo"/>
          </w:rPr>
          <w:t>[153]</w:t>
        </w:r>
      </w:hyperlink>
      <w:r>
        <w:t xml:space="preserve">. Esto mejora la transparencia contractual y ayuda a detectar cuando una clínica está cobrando algo que </w:t>
      </w:r>
      <w:r>
        <w:rPr>
          <w:i/>
          <w:iCs/>
        </w:rPr>
        <w:t>debería</w:t>
      </w:r>
      <w:r>
        <w:t xml:space="preserve"> haber estado cubierto al 100% o a cierto porcentaje.</w:t>
      </w:r>
    </w:p>
    <w:p w14:paraId="599E0585" w14:textId="77777777" w:rsidR="00E01851" w:rsidRDefault="00000000">
      <w:pPr>
        <w:pStyle w:val="FirstParagraph"/>
      </w:pPr>
      <w:r>
        <w:lastRenderedPageBreak/>
        <w:t>En conclusión, el marco jurídico-contractual vigente provee herramientas importantes para fiscalizar y exigir el correcto comportamiento tanto de isapres como de prestadores. Las irregularidades surgen cuando estos actores se apartan de dichas reglas, sea por ánimo de lucro indebido o por desorden administrativo, en detrimento del usuario.</w:t>
      </w:r>
    </w:p>
    <w:p w14:paraId="1E46970F" w14:textId="77777777" w:rsidR="00E01851" w:rsidRDefault="00000000">
      <w:pPr>
        <w:pStyle w:val="Ttulo2"/>
      </w:pPr>
      <w:bookmarkStart w:id="16" w:name="X290eb9a1f990d979c7bd1f5fe17fdd91ff929fd"/>
      <w:bookmarkEnd w:id="15"/>
      <w:r>
        <w:t>Jurisprudencia Relevante de la Superintendencia de Salud y Tribunales</w:t>
      </w:r>
    </w:p>
    <w:p w14:paraId="151DE8D4" w14:textId="77777777" w:rsidR="00E01851" w:rsidRDefault="00000000">
      <w:pPr>
        <w:pStyle w:val="FirstParagraph"/>
      </w:pPr>
      <w:r>
        <w:t>La Superintendencia de Salud, a través de su Intendencia de Fondos y Seguros (para conflictos con isapres) y la Intendencia de Prestadores (para reclamos contra clínicas/hospitales), ha conocido numerosos casos relacionados con las prácticas descritas. Varias resoluciones arbitrales sientan precedentes importantes:</w:t>
      </w:r>
    </w:p>
    <w:p w14:paraId="3779C058" w14:textId="77777777" w:rsidR="00E01851" w:rsidRDefault="00000000">
      <w:pPr>
        <w:numPr>
          <w:ilvl w:val="0"/>
          <w:numId w:val="4"/>
        </w:numPr>
      </w:pPr>
      <w:r>
        <w:rPr>
          <w:b/>
          <w:bCs/>
        </w:rPr>
        <w:t>Ley de Urgencia y estabilización (Rol N° 100469-2013):</w:t>
      </w:r>
      <w:r>
        <w:t xml:space="preserve"> Confirmó que la cobertura de la Ley de Urgencia se extiende </w:t>
      </w:r>
      <w:r>
        <w:rPr>
          <w:i/>
          <w:iCs/>
        </w:rPr>
        <w:t>hasta la estabilización efectiva</w:t>
      </w:r>
      <w:r>
        <w:t xml:space="preserve"> del paciente, no quedando al arbitrio de formalidades. La certificación médica de “riesgo vital” no es una solemnidad inflexible; la urgencia es un hecho objetivo clínico. Si el paciente ya está estabilizado y no se gestiona su traslado a la red por causa no imputable a él, la isapre debe continuar cubriendo la atención como institucional (es decir, con la máxima cobertura) mientras permanezca en ese prestador</w:t>
      </w:r>
      <w:hyperlink r:id="rId180" w:anchor=":~:text=,a%20%C3%A9l%2C%20aplica%20Modalidad%20Institucional">
        <w:r w:rsidR="00E01851">
          <w:rPr>
            <w:rStyle w:val="Hipervnculo"/>
          </w:rPr>
          <w:t>[115]</w:t>
        </w:r>
      </w:hyperlink>
      <w:r>
        <w:t>. Este fallo protege al afiliado cuando la isapre o el prestador demoran el traslado después de la urgencia.</w:t>
      </w:r>
    </w:p>
    <w:p w14:paraId="54D4B3B4" w14:textId="77777777" w:rsidR="00E01851" w:rsidRDefault="00000000">
      <w:pPr>
        <w:numPr>
          <w:ilvl w:val="0"/>
          <w:numId w:val="4"/>
        </w:numPr>
      </w:pPr>
      <w:r>
        <w:rPr>
          <w:b/>
          <w:bCs/>
        </w:rPr>
        <w:t>CAEC e insuficiencia de red (Rol N° 1029959-2013):</w:t>
      </w:r>
      <w:r>
        <w:t xml:space="preserve"> Determinó que si la isapre </w:t>
      </w:r>
      <w:r>
        <w:rPr>
          <w:i/>
          <w:iCs/>
        </w:rPr>
        <w:t>no tiene prestador CAEC en la región</w:t>
      </w:r>
      <w:r>
        <w:t xml:space="preserve"> donde ocurre la contingencia y el traslado a otra región implica riesgo (por la urgencia), debe </w:t>
      </w:r>
      <w:r>
        <w:rPr>
          <w:b/>
          <w:bCs/>
        </w:rPr>
        <w:t>cubrir la atención fuera de red bajo las condiciones de CAEC</w:t>
      </w:r>
      <w:r>
        <w:t xml:space="preserve"> igualmente</w:t>
      </w:r>
      <w:hyperlink r:id="rId181" w:anchor=":~:text=,es%20responsabilidad%20de%20la%20Isapre">
        <w:r w:rsidR="00E01851">
          <w:rPr>
            <w:rStyle w:val="Hipervnculo"/>
          </w:rPr>
          <w:t>[135]</w:t>
        </w:r>
      </w:hyperlink>
      <w:r>
        <w:t>. La falta de red catastrófica es carga de la isapre, no del afiliado. Este laudo obliga a las isapres a hacerse cargo económicamente cuando su red designada no puede brindar el servicio requerido.</w:t>
      </w:r>
    </w:p>
    <w:p w14:paraId="7EFEE205" w14:textId="77777777" w:rsidR="00E01851" w:rsidRDefault="00000000">
      <w:pPr>
        <w:numPr>
          <w:ilvl w:val="0"/>
          <w:numId w:val="4"/>
        </w:numPr>
      </w:pPr>
      <w:r>
        <w:rPr>
          <w:b/>
          <w:bCs/>
        </w:rPr>
        <w:t>CAEC y gestión del traslado (Rol N° 2000730-2013):</w:t>
      </w:r>
      <w:r>
        <w:t xml:space="preserve"> En un caso donde la isapre notificó tardíamente al prestador de su red CAEC (cuando el paciente ya había sido dado de alta o estaba en su domicilio), se resolvió que esa gestión fue extemporánea y que la isapre debía </w:t>
      </w:r>
      <w:r>
        <w:rPr>
          <w:b/>
          <w:bCs/>
        </w:rPr>
        <w:t>cubrir todo lo realizado fuera de red</w:t>
      </w:r>
      <w:r>
        <w:t xml:space="preserve"> como si hubiera estado en red</w:t>
      </w:r>
      <w:hyperlink r:id="rId182" w:anchor=":~:text=,lo%20realizado%20fuera%20de%20red">
        <w:r w:rsidR="00E01851">
          <w:rPr>
            <w:rStyle w:val="Hipervnculo"/>
          </w:rPr>
          <w:t>[136]</w:t>
        </w:r>
      </w:hyperlink>
      <w:r>
        <w:t>. En esencia, se sancionó la pasividad de la isapre en activar la red CAEC a tiempo, otorgando al paciente el beneficio completo a pesar de haberse atendido fuera de ella.</w:t>
      </w:r>
    </w:p>
    <w:p w14:paraId="1331CDA9" w14:textId="77777777" w:rsidR="00E01851" w:rsidRDefault="00000000">
      <w:pPr>
        <w:numPr>
          <w:ilvl w:val="0"/>
          <w:numId w:val="4"/>
        </w:numPr>
      </w:pPr>
      <w:r>
        <w:rPr>
          <w:b/>
          <w:bCs/>
        </w:rPr>
        <w:t>Preexistencias y diagnóstico (Rol N° 1051300-2013):</w:t>
      </w:r>
      <w:r>
        <w:t xml:space="preserve"> Estableció que, para que proceda la negativa de cobertura por preexistencia, debe probarse que existía un diagnóstico médico claro, preciso y previo al contrato de salud, </w:t>
      </w:r>
      <w:r>
        <w:rPr>
          <w:i/>
          <w:iCs/>
        </w:rPr>
        <w:t>y conocido por el afiliado</w:t>
      </w:r>
      <w:r>
        <w:t xml:space="preserve"> al momento de suscribirlo. Síntomas aislados, consultas esporádicas o antecedentes menores no califican como </w:t>
      </w:r>
      <w:r>
        <w:lastRenderedPageBreak/>
        <w:t>preexistencia declarable</w:t>
      </w:r>
      <w:hyperlink r:id="rId183" w:anchor=":~:text=,Las%20exclusiones%20deben">
        <w:r w:rsidR="00E01851">
          <w:rPr>
            <w:rStyle w:val="Hipervnculo"/>
          </w:rPr>
          <w:t>[106]</w:t>
        </w:r>
      </w:hyperlink>
      <w:r>
        <w:t>. Este criterio protege al afiliado de exclusiones retroactivas infundadas; la carga de la prueba recae en la isapre, y la interpretación debe ser pro-beneficiario en caso de duda.</w:t>
      </w:r>
    </w:p>
    <w:p w14:paraId="78AB78F9" w14:textId="77777777" w:rsidR="00E01851" w:rsidRDefault="00000000">
      <w:pPr>
        <w:numPr>
          <w:ilvl w:val="0"/>
          <w:numId w:val="4"/>
        </w:numPr>
      </w:pPr>
      <w:r>
        <w:rPr>
          <w:b/>
          <w:bCs/>
        </w:rPr>
        <w:t>Exclusiones de cobertura y alcance (Rol N° 1508-2014):</w:t>
      </w:r>
      <w:r>
        <w:t xml:space="preserve"> Señaló que las cláusulas de exclusión en los contratos de salud deben interpretarse restrictivamente y conforme a su finalidad. En el caso concreto, una isapre negaba cobertura al recambio de prótesis mamarias </w:t>
      </w:r>
      <w:r>
        <w:rPr>
          <w:i/>
          <w:iCs/>
        </w:rPr>
        <w:t>PIP</w:t>
      </w:r>
      <w:r>
        <w:t xml:space="preserve"> (retiradas del mercado por defectuosas) alegando exclusión de cirugías plásticas. La resolución indicó que si el recambio de la prótesis es por razones médicas (seguridad del paciente) y no estéticas, </w:t>
      </w:r>
      <w:r>
        <w:rPr>
          <w:b/>
          <w:bCs/>
        </w:rPr>
        <w:t>debe ser cubierto</w:t>
      </w:r>
      <w:r>
        <w:t xml:space="preserve"> a pesar de la exclusión contractual de cirugía estética</w:t>
      </w:r>
      <w:hyperlink r:id="rId184" w:anchor=":~:text=,y%20no%20est%C3%A9tico%2C%20debe%20cubrirse">
        <w:r w:rsidR="00E01851">
          <w:rPr>
            <w:rStyle w:val="Hipervnculo"/>
          </w:rPr>
          <w:t>[107]</w:t>
        </w:r>
      </w:hyperlink>
      <w:r>
        <w:t xml:space="preserve">. Es decir, la exclusión de procedimientos cosméticos no puede usarse para negar uno que, aunque involucre una mama, es reparador/sanitario. Esta jurisprudencia sirve para otros casos: siempre que una prestación excluida tenga un fin terapéutico necesario, </w:t>
      </w:r>
      <w:r>
        <w:rPr>
          <w:i/>
          <w:iCs/>
        </w:rPr>
        <w:t>prima</w:t>
      </w:r>
      <w:r>
        <w:t xml:space="preserve"> el derecho a la salud del paciente.</w:t>
      </w:r>
    </w:p>
    <w:p w14:paraId="654CEB94" w14:textId="77777777" w:rsidR="00E01851" w:rsidRDefault="00000000">
      <w:pPr>
        <w:numPr>
          <w:ilvl w:val="0"/>
          <w:numId w:val="4"/>
        </w:numPr>
      </w:pPr>
      <w:r>
        <w:rPr>
          <w:b/>
          <w:bCs/>
        </w:rPr>
        <w:t>Derecho a la información y cobros indebidos (varios fallos):</w:t>
      </w:r>
      <w:r>
        <w:t xml:space="preserve"> De manera transversal, la Superintendencia en sus decisiones recalca el </w:t>
      </w:r>
      <w:r>
        <w:rPr>
          <w:i/>
          <w:iCs/>
        </w:rPr>
        <w:t>derecho del afiliado a recibir información veraz y oportuna sobre sus cobros</w:t>
      </w:r>
      <w:r>
        <w:t xml:space="preserve"> (art. 4 Ley 20.584) y a que las facturaciones correspondan a prestaciones efectivamente otorgadas. Cuando se demuestra una irregularidad de facturación (sea por sobrecobro, cobro duplicado, etc.), las resoluciones suelen ordenar la devolución de lo cobrado en exceso y a veces multas al prestador. Por ejemplo, en casos de cobros duplicados de materiales o enfermería incluidos, la Superintendencia ha instruido refacturar las cuentas eliminando los ítems indebidos, devolviendo al paciente los montos pagados de más, y ha amonestado al prestador por infracción al deber de corrección en la facturación (Ley 20.584, art. 33 letra g: derecho a una </w:t>
      </w:r>
      <w:r>
        <w:rPr>
          <w:i/>
          <w:iCs/>
        </w:rPr>
        <w:t>facturación clara y explicativa</w:t>
      </w:r>
      <w:r>
        <w:t>).</w:t>
      </w:r>
    </w:p>
    <w:p w14:paraId="52F6882C" w14:textId="77777777" w:rsidR="00E01851" w:rsidRDefault="00000000">
      <w:pPr>
        <w:pStyle w:val="FirstParagraph"/>
      </w:pPr>
      <w:r>
        <w:t>En sede judicial, si bien la mayoría de conflictos se resuelve administrativamente, algunos han escalado por la vía de recursos de protección o demandas civiles. Los tribunales superiores han reconocido la vinculación de la Ley de Protección al Consumidor en la relación afiliado-prestador (aplicable supletoriamente en materia de publicidad y cobros), y han ratificado sanciones por cláusulas abusivas en contratos de salud. Un ejemplo es la invalidación de cláusulas que pretendían limitar el monto de reembolsos GES o el acceso a CAEC en forma no contemplada en la ley.</w:t>
      </w:r>
    </w:p>
    <w:p w14:paraId="56D2E00B" w14:textId="77777777" w:rsidR="00E01851" w:rsidRDefault="00000000">
      <w:pPr>
        <w:pStyle w:val="Textoindependiente"/>
      </w:pPr>
      <w:r>
        <w:t xml:space="preserve">En síntesis, la jurisprudencia tanto administrativa como judicial ha robustecido la posición del paciente/afiliado frente a irregularidades, ofreciendo un recurso efectivo para corregir abusos: ya sea obligando a las isapres a honrar sus coberturas, ordenando a prestadores restituir cobros indebidos, o imponiendo sanciones ejemplares. Este cuerpo jurisprudencial es fundamental para abogados que litigan en </w:t>
      </w:r>
      <w:r>
        <w:lastRenderedPageBreak/>
        <w:t>esta materia y para profesionales de la salud que buscan alinear sus prácticas a lo que exigen las normas y fallos vigentes.</w:t>
      </w:r>
    </w:p>
    <w:p w14:paraId="72E9DA96" w14:textId="77777777" w:rsidR="00E01851" w:rsidRDefault="00000000">
      <w:pPr>
        <w:pStyle w:val="Ttulo2"/>
      </w:pPr>
      <w:bookmarkStart w:id="17" w:name="conclusiones-y-recomendaciones"/>
      <w:bookmarkEnd w:id="16"/>
      <w:r>
        <w:t>Conclusiones y Recomendaciones</w:t>
      </w:r>
    </w:p>
    <w:p w14:paraId="1073AF78" w14:textId="77777777" w:rsidR="00E01851" w:rsidRDefault="00000000">
      <w:pPr>
        <w:pStyle w:val="FirstParagraph"/>
      </w:pPr>
      <w:r>
        <w:t xml:space="preserve">Las prácticas irregulares en la facturación de atenciones de salud descritas –desde el inflamiento de medicamentos y materiales, hasta la negación de coberturas pactadas– representan </w:t>
      </w:r>
      <w:r>
        <w:rPr>
          <w:b/>
          <w:bCs/>
        </w:rPr>
        <w:t>vulneraciones graves</w:t>
      </w:r>
      <w:r>
        <w:t xml:space="preserve"> a los derechos de los pacientes y al correcto funcionamiento del sistema de salud previsional. Además de impactar financieramente a las personas (copagos injustificados, agotamiento prematuro de beneficios), erosionan la confianza en prestadores e ISAPREs, y tensionan el marco jurídico que busca equilibrar la relación entre afiliados, aseguradores y prestadores.</w:t>
      </w:r>
    </w:p>
    <w:p w14:paraId="411F558D" w14:textId="77777777" w:rsidR="00E01851" w:rsidRDefault="00000000">
      <w:pPr>
        <w:pStyle w:val="Textoindependiente"/>
      </w:pPr>
      <w:r>
        <w:t xml:space="preserve">Afortunadamente, Chile cuenta con un </w:t>
      </w:r>
      <w:r>
        <w:rPr>
          <w:b/>
          <w:bCs/>
        </w:rPr>
        <w:t>corpus normativo</w:t>
      </w:r>
      <w:r>
        <w:t xml:space="preserve"> relativamente robusto para abordar estos problemas: la Ley 20.584 consagra derechos explícitos a información y trato digno; el DFL 1/2005 y sus modificaciones regulan en detalle las obligaciones de las isapres (pago directo de urgencias, CAEC, etc.)</w:t>
      </w:r>
      <w:hyperlink r:id="rId185" w:anchor=":~:text=Sin%20perjuicio%20de%20lo%20anterior%2C,que%20el%20paciente%20se%20encuentre">
        <w:r w:rsidR="00E01851">
          <w:rPr>
            <w:rStyle w:val="Hipervnculo"/>
          </w:rPr>
          <w:t>[123]</w:t>
        </w:r>
      </w:hyperlink>
      <w:hyperlink r:id="rId186" w:anchor=":~:text=aplicaci%C3%B3n%20de%20este%20art%C3%ADculo%20se,el%20valor%20de%20las%20atenciones">
        <w:r w:rsidR="00E01851">
          <w:rPr>
            <w:rStyle w:val="Hipervnculo"/>
          </w:rPr>
          <w:t>[127]</w:t>
        </w:r>
      </w:hyperlink>
      <w:r>
        <w:t>; leyes especiales como la 19.966 (GES) y 20.850 (Ricarte Soto) establecen coberturas financieras adicionales de orden público; y la Superintendencia de Salud, mediante circulares e instrucciones, ha precisado estándares de transparencia en la relación asegurador-usuario-prestador</w:t>
      </w:r>
      <w:hyperlink r:id="rId187" w:anchor=":~:text=En%20el%20documento%20,salud%20recibidas%20por%20el%20beneficiario">
        <w:r w:rsidR="00E01851">
          <w:rPr>
            <w:rStyle w:val="Hipervnculo"/>
          </w:rPr>
          <w:t>[116]</w:t>
        </w:r>
      </w:hyperlink>
      <w:hyperlink r:id="rId188" w:anchor=":~:text=Las%20prestaciones%20que%20no%20tuvieren,al%20utilizado%20en%20la%20liquidaci%C3%B3n">
        <w:r w:rsidR="00E01851">
          <w:rPr>
            <w:rStyle w:val="Hipervnculo"/>
          </w:rPr>
          <w:t>[119]</w:t>
        </w:r>
      </w:hyperlink>
      <w:r>
        <w:t>. Asimismo, la función fiscalizadora se ha visto reforzada por jurisprudencia administrativa que no duda en sancionar incumplimientos contractuales o prácticas abusivas.</w:t>
      </w:r>
    </w:p>
    <w:p w14:paraId="6A21DC95" w14:textId="77777777" w:rsidR="00E01851" w:rsidRDefault="00000000">
      <w:pPr>
        <w:pStyle w:val="Textoindependiente"/>
      </w:pPr>
      <w:r>
        <w:t xml:space="preserve">No obstante, la eficacia de estas herramientas depende de su correcta implementación y de la </w:t>
      </w:r>
      <w:r>
        <w:rPr>
          <w:b/>
          <w:bCs/>
        </w:rPr>
        <w:t>vigilancia activa</w:t>
      </w:r>
      <w:r>
        <w:t xml:space="preserve"> por parte de todos los actores involucrados. En este sentido, se sugieren las siguientes recomendaciones a modo de políticas de cumplimiento, fiscalización y defensa de derechos:</w:t>
      </w:r>
    </w:p>
    <w:p w14:paraId="30184295" w14:textId="77777777" w:rsidR="00E01851" w:rsidRDefault="00000000">
      <w:pPr>
        <w:numPr>
          <w:ilvl w:val="0"/>
          <w:numId w:val="5"/>
        </w:numPr>
      </w:pPr>
      <w:r>
        <w:rPr>
          <w:b/>
          <w:bCs/>
        </w:rPr>
        <w:t>Para Prestadores (Clínicas, Hospitales):</w:t>
      </w:r>
      <w:r>
        <w:t xml:space="preserve"> Implementar sólidos </w:t>
      </w:r>
      <w:r>
        <w:rPr>
          <w:b/>
          <w:bCs/>
        </w:rPr>
        <w:t>controles internos de facturación</w:t>
      </w:r>
      <w:r>
        <w:t xml:space="preserve"> y auditorías periódicas que verifiquen que los cobros se ajustan a la normativa y contratos vigentes. Capacitar al personal administrativo en las listas de prestaciones incluidas en paquetes (pabellón, día cama, etc.) para evitar desagregaciones indebidas. Adoptar el principio de </w:t>
      </w:r>
      <w:r>
        <w:rPr>
          <w:i/>
          <w:iCs/>
        </w:rPr>
        <w:t>“facturación íntegra y honesta”</w:t>
      </w:r>
      <w:r>
        <w:t>, absteniéndose de prácticas de upcoding o cobro duplicado que podrían configurar fraude. Transparentar por escrito al paciente cualquier servicio adicional no cubierto antes de brindarlo (consentimiento informado en lo financiero). Un compromiso con la ética en la facturación no solo evita sanciones, sino que mejora la satisfacción y fidelidad de los usuarios.</w:t>
      </w:r>
    </w:p>
    <w:p w14:paraId="2DBF0AAC" w14:textId="77777777" w:rsidR="00E01851" w:rsidRDefault="00000000">
      <w:pPr>
        <w:numPr>
          <w:ilvl w:val="0"/>
          <w:numId w:val="5"/>
        </w:numPr>
      </w:pPr>
      <w:r>
        <w:rPr>
          <w:b/>
          <w:bCs/>
        </w:rPr>
        <w:t>Para ISAPREs (Aseguradores):</w:t>
      </w:r>
      <w:r>
        <w:t xml:space="preserve"> Fortalecer la </w:t>
      </w:r>
      <w:r>
        <w:rPr>
          <w:b/>
          <w:bCs/>
        </w:rPr>
        <w:t>fiscalización de las cuentas médicas</w:t>
      </w:r>
      <w:r>
        <w:t xml:space="preserve"> presentadas por prestadores en convenio. Las isapres deben ejercer sus facultades de auditoría: rechazar o objetar ítems indebidos (insumos incluidos cobrados aparte, prestaciones mal codificadas) y exigir rectificaciones antes de cargar costos al afiliado</w:t>
      </w:r>
      <w:hyperlink r:id="rId189" w:anchor=":~:text=Legalmente%2C%20%20no%20existe%20justificaci%C3%B3n,la%20%20aseguradora%2C%20%20potencialmente">
        <w:r w:rsidR="00E01851">
          <w:rPr>
            <w:rStyle w:val="Hipervnculo"/>
          </w:rPr>
          <w:t>[25]</w:t>
        </w:r>
      </w:hyperlink>
      <w:hyperlink r:id="rId190" w:anchor=":~:text=Desde%20el%20enfoque%20legal%2C%20estos,tal%20como%20est%C3%A1%20en%20su">
        <w:r w:rsidR="00E01851">
          <w:rPr>
            <w:rStyle w:val="Hipervnculo"/>
          </w:rPr>
          <w:t>[154]</w:t>
        </w:r>
      </w:hyperlink>
      <w:r>
        <w:t xml:space="preserve">. Asimismo, deben </w:t>
      </w:r>
      <w:r>
        <w:lastRenderedPageBreak/>
        <w:t xml:space="preserve">cumplir su deber de información hacia el afiliado: entregar </w:t>
      </w:r>
      <w:r>
        <w:rPr>
          <w:b/>
          <w:bCs/>
        </w:rPr>
        <w:t>liquidaciones detalladas</w:t>
      </w:r>
      <w:r>
        <w:t>, con notas explicativas claras de cualquier prestación no bonificada</w:t>
      </w:r>
      <w:hyperlink r:id="rId191" w:anchor=":~:text=prestaciones%2C%20seg%C3%BAn%20su%20especie%20,copago%20correspondiente%2C%20permitiendo%20su%20verificaci%C3%B3n">
        <w:r w:rsidR="00E01851">
          <w:rPr>
            <w:rStyle w:val="Hipervnculo"/>
          </w:rPr>
          <w:t>[155]</w:t>
        </w:r>
      </w:hyperlink>
      <w:hyperlink r:id="rId192" w:anchor=":~:text=Las%20prestaciones%20que%20no%20tuvieren,al%20utilizado%20en%20la%20liquidaci%C3%B3n">
        <w:r w:rsidR="00E01851">
          <w:rPr>
            <w:rStyle w:val="Hipervnculo"/>
          </w:rPr>
          <w:t>[119]</w:t>
        </w:r>
      </w:hyperlink>
      <w:r>
        <w:t>. En materia de coberturas especiales, las isapres tienen la carga de facilitar el acceso del afiliado a los beneficios (GES, CAEC, etc.), informándole oportunamente sus derechos (por ejemplo, difusión activa de la Ley Ricarte Soto)</w:t>
      </w:r>
      <w:hyperlink r:id="rId193" w:anchor=":~:text=Las%20Instituciones%20de%20Salud%20Previsional%2C,que%20establezca%20el%20citado%20decreto">
        <w:r w:rsidR="00E01851">
          <w:rPr>
            <w:rStyle w:val="Hipervnculo"/>
          </w:rPr>
          <w:t>[143]</w:t>
        </w:r>
      </w:hyperlink>
      <w:hyperlink r:id="rId194" w:anchor=":~:text=1,y%20la%20Superintendencia%20de%20Salud">
        <w:r w:rsidR="00E01851">
          <w:rPr>
            <w:rStyle w:val="Hipervnculo"/>
          </w:rPr>
          <w:t>[142]</w:t>
        </w:r>
      </w:hyperlink>
      <w:r>
        <w:t xml:space="preserve">. Desde la perspectiva contractual, las isapres deben asegurarse de que sus prestadores en convenio </w:t>
      </w:r>
      <w:r>
        <w:rPr>
          <w:i/>
          <w:iCs/>
        </w:rPr>
        <w:t>respeten las condiciones pactadas</w:t>
      </w:r>
      <w:r>
        <w:t xml:space="preserve">; en casos de incumplimiento reiterado por parte de un prestador, la isapre debería considerar medidas correctivas o incluso la terminación del convenio, en resguardo de sus afiliados. Finalmente, en cuanto a atención al usuario, las isapres deben fomentar que sus afiliados </w:t>
      </w:r>
      <w:r>
        <w:rPr>
          <w:b/>
          <w:bCs/>
        </w:rPr>
        <w:t>revisen las liquidaciones</w:t>
      </w:r>
      <w:r>
        <w:t xml:space="preserve"> y brindar canales expeditos para recibir consultas o reclamos sobre facturación, de modo de detectar tempranamente irregularidades.</w:t>
      </w:r>
    </w:p>
    <w:p w14:paraId="15093956" w14:textId="77777777" w:rsidR="00E01851" w:rsidRDefault="00000000">
      <w:pPr>
        <w:numPr>
          <w:ilvl w:val="0"/>
          <w:numId w:val="5"/>
        </w:numPr>
      </w:pPr>
      <w:r>
        <w:rPr>
          <w:b/>
          <w:bCs/>
        </w:rPr>
        <w:t>Para la Superintendencia de Salud (Autoridad):</w:t>
      </w:r>
      <w:r>
        <w:t xml:space="preserve"> Continuar y profundizar la </w:t>
      </w:r>
      <w:r>
        <w:rPr>
          <w:b/>
          <w:bCs/>
        </w:rPr>
        <w:t>labor fiscalizadora y normativa</w:t>
      </w:r>
      <w:r>
        <w:t xml:space="preserve">. Esto implica realizar inspecciones aleatorias o focalizadas en prestadores para auditar cuentas (especialmente en aquellos con altos índices de reclamos financieros) e imponer sanciones efectivas que desincentiven las malas prácticas. Mantener actualizados los compendios de normas y circulares según se identifiquen nuevos resquicios – por ejemplo, regulando con mayor detalle la prohibición de cobrar insumos de confort o estableciendo listados vinculantes de prestaciones incluidas en cada tipo de paquete clínico. La difusión pública de los </w:t>
      </w:r>
      <w:r>
        <w:rPr>
          <w:i/>
          <w:iCs/>
        </w:rPr>
        <w:t>Boletines de Reclamos</w:t>
      </w:r>
      <w:r>
        <w:t xml:space="preserve"> y rankings de reclamos por clínica/prestador es útil para generar presión reputacional; la autoridad podría amplificar esa información para incentivar mejoras. En su rol quasi-judicial, la Superintendencia debe seguir protegiendo al afiliado ante reclamos: su jurisprudencia administrativa ha sido fundamental para consagrar doctrinas pro-consumidor (evento único, interpretación restrictiva de exclusiones, etc.), y se valora la consistencia en aplicarlas a casos futuros. Adicionalmente, coordinar con SERNAC (Servicio Nacional del Consumidor) cuando corresponda, ya que ciertos abusos podrían involucrar infracciones a la Ley del Consumidor (publicidad engañosa sobre coberturas, cláusulas abusivas, etc.), logrando así una tutela integral.</w:t>
      </w:r>
    </w:p>
    <w:p w14:paraId="1DE94B58" w14:textId="77777777" w:rsidR="00E01851" w:rsidRDefault="00000000">
      <w:pPr>
        <w:numPr>
          <w:ilvl w:val="0"/>
          <w:numId w:val="5"/>
        </w:numPr>
      </w:pPr>
      <w:r>
        <w:rPr>
          <w:b/>
          <w:bCs/>
        </w:rPr>
        <w:t>Para Afiliados y Pacientes:</w:t>
      </w:r>
      <w:r>
        <w:t xml:space="preserve"> Ejercer de manera informada y proactiva sus </w:t>
      </w:r>
      <w:r>
        <w:rPr>
          <w:b/>
          <w:bCs/>
        </w:rPr>
        <w:t>derechos</w:t>
      </w:r>
      <w:r>
        <w:t xml:space="preserve">. En la medida de lo posible, los pacientes (o sus familiares) deben </w:t>
      </w:r>
      <w:r>
        <w:rPr>
          <w:b/>
          <w:bCs/>
        </w:rPr>
        <w:t>revisar detalladamente</w:t>
      </w:r>
      <w:r>
        <w:t xml:space="preserve"> las cuentas hospitalarias y compararlas con la </w:t>
      </w:r>
      <w:r>
        <w:rPr>
          <w:i/>
          <w:iCs/>
        </w:rPr>
        <w:t>liquidación de la isapre (PAM)</w:t>
      </w:r>
      <w:hyperlink r:id="rId195" w:anchor=":~:text=la%20%20cuenta%20%20final,cobraron%20m%C3%A1s%20all%C3%A1%20sin%20cubrir">
        <w:r w:rsidR="00E01851">
          <w:rPr>
            <w:rStyle w:val="Hipervnculo"/>
          </w:rPr>
          <w:t>[97]</w:t>
        </w:r>
      </w:hyperlink>
      <w:hyperlink r:id="rId196" w:anchor=":~:text=liquidaci%C3%B3n%20,cobraron%20m%C3%A1s%20all%C3%A1%20sin%20cubrir">
        <w:r w:rsidR="00E01851">
          <w:rPr>
            <w:rStyle w:val="Hipervnculo"/>
          </w:rPr>
          <w:t>[98]</w:t>
        </w:r>
      </w:hyperlink>
      <w:r>
        <w:t xml:space="preserve">. Ante cualquier ítem dudoso –especialmente códigos genéricos, materiales que parecen básicos, medicamentos que le causen sorpresa, copagos donde no debiera haberlos–, </w:t>
      </w:r>
      <w:r>
        <w:rPr>
          <w:b/>
          <w:bCs/>
        </w:rPr>
        <w:t>consultar y reclamar por escrito</w:t>
      </w:r>
      <w:r>
        <w:t xml:space="preserve"> tanto al prestador como a la isapre. La ley ampara al paciente en el derecho a explicaciones y a ser cobrado solo por lo usado, por lo que no debe haber temor en preguntar y exigir correcciones. Si la </w:t>
      </w:r>
      <w:r>
        <w:lastRenderedPageBreak/>
        <w:t xml:space="preserve">respuesta de la clínica o la isapre no es satisfactoria, el afiliado debe </w:t>
      </w:r>
      <w:r>
        <w:rPr>
          <w:b/>
          <w:bCs/>
        </w:rPr>
        <w:t>acudir a la Superintendencia de Salud</w:t>
      </w:r>
      <w:r>
        <w:t xml:space="preserve"> e interponer un reclamo formal; este trámite es gratuito y ha demostrado ser eficaz en la gran mayoría de los casos (la tasa de resolución favorable de reclamos supera el 95%</w:t>
      </w:r>
      <w:hyperlink r:id="rId197" w:anchor=":~:text=%EF%82%A7%20Del%20total%20de%20reclamos,de%20la%20Atenci%C3%B3n%20en%20Salud">
        <w:r w:rsidR="00E01851">
          <w:rPr>
            <w:rStyle w:val="Hipervnculo"/>
          </w:rPr>
          <w:t>[1]</w:t>
        </w:r>
      </w:hyperlink>
      <w:hyperlink r:id="rId198" w:anchor=":~:text=%EF%82%A7%20Desde%20la%20entrada%20en,a%C3%B1o%202020%20con%20un%2089">
        <w:r w:rsidR="00E01851">
          <w:rPr>
            <w:rStyle w:val="Hipervnculo"/>
          </w:rPr>
          <w:t>[2]</w:t>
        </w:r>
      </w:hyperlink>
      <w:r>
        <w:t>). Organizaciones de pacientes y la propia Superintendencia han emitido guías para detectar cobros irregulares – es aconsejable informarse mediante esas fuentes. En casos complejos, asesorarse con abogados especializados puede marcar la diferencia, sobre todo si hay montos elevados en disputa o eventuales daños a resarcir.</w:t>
      </w:r>
    </w:p>
    <w:p w14:paraId="19FC442A" w14:textId="77777777" w:rsidR="00E01851" w:rsidRDefault="00000000">
      <w:pPr>
        <w:pStyle w:val="FirstParagraph"/>
      </w:pPr>
      <w:r>
        <w:t xml:space="preserve">En conclusión, eliminar las malas prácticas en cuentas médicas requiere un </w:t>
      </w:r>
      <w:r>
        <w:rPr>
          <w:b/>
          <w:bCs/>
        </w:rPr>
        <w:t>esfuerzo conjunto</w:t>
      </w:r>
      <w:r>
        <w:t xml:space="preserve">. Las clínicas deben privilegiar la ética y el cumplimiento sobre ganancias cortoplacistas; las isapres, velar por el interés de sus afiliados más allá del rol pagador, evitando convalidar abusos de sus prestadores; la autoridad, persistir en su rol regulador vigilante; y los afiliados, empoderarse con información y hacer valer sus derechos. Solo así se recuperará la confianza en el sistema de salud privado, garantizando que los contratos de salud previsional se cumplan a cabalidad y que ningún paciente pague de más o quede desprotegido injustamente. Este informe técnico-jurídico pretende servir de base para afianzar políticas de </w:t>
      </w:r>
      <w:r>
        <w:rPr>
          <w:b/>
          <w:bCs/>
        </w:rPr>
        <w:t>compliance</w:t>
      </w:r>
      <w:r>
        <w:t xml:space="preserve"> en las instituciones de salud, orientar la fiscalización pública y privada, y sustentar la defensa informada de los derechos de los usuarios frente a eventuales arbitrariedades en la atención de salud.</w:t>
      </w:r>
    </w:p>
    <w:p w14:paraId="7DCFC6E3" w14:textId="77777777" w:rsidR="00E01851" w:rsidRDefault="00000000">
      <w:pPr>
        <w:pStyle w:val="Textoindependiente"/>
      </w:pPr>
      <w:r>
        <w:rPr>
          <w:b/>
          <w:bCs/>
        </w:rPr>
        <w:t>Fuentes:</w:t>
      </w:r>
      <w:r>
        <w:t xml:space="preserve"> Se han utilizado como referencia compendios normativos, circulares e instructivos de la Superintendencia de Salud, jurisprudencia arbitral de dicha entidad, boletines oficiales de reclamos, y documentos técnicos proporcionados, entre ellos el </w:t>
      </w:r>
      <w:r>
        <w:rPr>
          <w:i/>
          <w:iCs/>
        </w:rPr>
        <w:t>Informe sobre Prácticas Irregulares en Cuentas Hospitalarias y Clínicas</w:t>
      </w:r>
      <w:hyperlink r:id="rId199" w:anchor=":~:text=Legalmente%2C%20%20no%20existe%20justificaci%C3%B3n,la%20%20aseguradora%2C%20%20potencialmente">
        <w:r w:rsidR="00E01851">
          <w:rPr>
            <w:rStyle w:val="Hipervnculo"/>
          </w:rPr>
          <w:t>[25]</w:t>
        </w:r>
      </w:hyperlink>
      <w:hyperlink r:id="rId200" w:anchor=":~:text=%29,no%20vienen%20acompa%C3%B1ados%20de%20detalle">
        <w:r w:rsidR="00E01851">
          <w:rPr>
            <w:rStyle w:val="Hipervnculo"/>
          </w:rPr>
          <w:t>[76]</w:t>
        </w:r>
      </w:hyperlink>
      <w:r>
        <w:t xml:space="preserve">, el </w:t>
      </w:r>
      <w:r>
        <w:rPr>
          <w:i/>
          <w:iCs/>
        </w:rPr>
        <w:t>Compendio de Beneficios</w:t>
      </w:r>
      <w:r>
        <w:t xml:space="preserve"> vigente</w:t>
      </w:r>
      <w:hyperlink r:id="rId201" w:anchor=":~:text=1,y%20la%20Superintendencia%20de%20Salud">
        <w:r w:rsidR="00E01851">
          <w:rPr>
            <w:rStyle w:val="Hipervnculo"/>
          </w:rPr>
          <w:t>[142]</w:t>
        </w:r>
      </w:hyperlink>
      <w:hyperlink r:id="rId202" w:anchor=":~:text=En%20el%20caso%20de%20los,del%20Sistema%20de%20Protecci%C3%B3n%20Financiera">
        <w:r w:rsidR="00E01851">
          <w:rPr>
            <w:rStyle w:val="Hipervnculo"/>
          </w:rPr>
          <w:t>[146]</w:t>
        </w:r>
      </w:hyperlink>
      <w:r>
        <w:t>, y normativa sanitaria relevante (DFL 1/2005</w:t>
      </w:r>
      <w:hyperlink r:id="rId203" w:anchor=":~:text=Sin%20perjuicio%20de%20lo%20anterior%2C,que%20el%20paciente%20se%20encuentre">
        <w:r w:rsidR="00E01851">
          <w:rPr>
            <w:rStyle w:val="Hipervnculo"/>
          </w:rPr>
          <w:t>[123]</w:t>
        </w:r>
      </w:hyperlink>
      <w:hyperlink r:id="rId204" w:anchor=":~:text=aplicaci%C3%B3n%20de%20este%20art%C3%ADculo%20se,el%20valor%20de%20las%20atenciones">
        <w:r w:rsidR="00E01851">
          <w:rPr>
            <w:rStyle w:val="Hipervnculo"/>
          </w:rPr>
          <w:t>[127]</w:t>
        </w:r>
      </w:hyperlink>
      <w:r>
        <w:t>, Ley 20.584, Ley 19.650, Ley 20.850, entre otras). Todas las afirmaciones y casos expuestos cuentan con respaldo en estos documentos oficiales. Se recomienda a los profesionales revisar las citas específicas para un mayor detalle de cada punto tratado.</w:t>
      </w:r>
    </w:p>
    <w:bookmarkEnd w:id="1"/>
    <w:bookmarkEnd w:id="2"/>
    <w:bookmarkEnd w:id="17"/>
    <w:p w14:paraId="270DE52F" w14:textId="77777777" w:rsidR="00E01851" w:rsidRDefault="00000000">
      <w:r>
        <w:pict w14:anchorId="5F762751">
          <v:rect id="_x0000_i1025" style="width:0;height:1.5pt" o:hralign="center" o:hrstd="t" o:hr="t"/>
        </w:pict>
      </w:r>
    </w:p>
    <w:p w14:paraId="46CBE014" w14:textId="77777777" w:rsidR="00F63A65" w:rsidRDefault="00F63A65">
      <w:pPr>
        <w:pStyle w:val="Textoindependiente"/>
      </w:pPr>
    </w:p>
    <w:p w14:paraId="7E30225B" w14:textId="77777777" w:rsidR="00F63A65" w:rsidRPr="00F63A65" w:rsidRDefault="00F63A65" w:rsidP="00F63A65">
      <w:pPr>
        <w:pStyle w:val="Textoindependiente"/>
        <w:rPr>
          <w:b/>
          <w:bCs/>
          <w:lang w:val="es-CL"/>
        </w:rPr>
      </w:pPr>
      <w:r w:rsidRPr="00F63A65">
        <w:rPr>
          <w:b/>
          <w:bCs/>
          <w:lang w:val="es-CL"/>
        </w:rPr>
        <w:t>Doctrinas Clave de la Jurisprudencia SIS para RevisatuCuenta</w:t>
      </w:r>
    </w:p>
    <w:p w14:paraId="17A3019C" w14:textId="77777777" w:rsidR="00F63A65" w:rsidRPr="00F63A65" w:rsidRDefault="00F63A65" w:rsidP="00F63A65">
      <w:pPr>
        <w:pStyle w:val="Textoindependiente"/>
        <w:numPr>
          <w:ilvl w:val="0"/>
          <w:numId w:val="6"/>
        </w:numPr>
        <w:rPr>
          <w:lang w:val="es-CL"/>
        </w:rPr>
      </w:pPr>
      <w:r w:rsidRPr="00F63A65">
        <w:rPr>
          <w:b/>
          <w:bCs/>
          <w:lang w:val="es-CL"/>
        </w:rPr>
        <w:t>Urgencia como hecho clínico objetivo</w:t>
      </w:r>
      <w:r w:rsidRPr="00F63A65">
        <w:rPr>
          <w:lang w:val="es-CL"/>
        </w:rPr>
        <w:t> – La Superintendencia de Salud ha reiterado que la condición de </w:t>
      </w:r>
      <w:r w:rsidRPr="00F63A65">
        <w:rPr>
          <w:i/>
          <w:iCs/>
          <w:lang w:val="es-CL"/>
        </w:rPr>
        <w:t>urgencia o emergencia vital</w:t>
      </w:r>
      <w:r w:rsidRPr="00F63A65">
        <w:rPr>
          <w:lang w:val="es-CL"/>
        </w:rPr>
        <w:t> es un hecho objetivo, determinado por el estado clínico del paciente (riesgo vital o de secuela grave) y no por formalidades administrativas. En consecuencia, la ausencia de certificados o el incumplimiento del procedimiento de certificación de la urgencia </w:t>
      </w:r>
      <w:r w:rsidRPr="00F63A65">
        <w:rPr>
          <w:b/>
          <w:bCs/>
          <w:lang w:val="es-CL"/>
        </w:rPr>
        <w:t>no puede perjudicar al paciente</w:t>
      </w:r>
      <w:r w:rsidRPr="00F63A65">
        <w:rPr>
          <w:lang w:val="es-CL"/>
        </w:rPr>
        <w:t xml:space="preserve">, dado que ni éste ni su familia están en situación de gestionar trámites en medio de una </w:t>
      </w:r>
      <w:r w:rsidRPr="00F63A65">
        <w:rPr>
          <w:lang w:val="es-CL"/>
        </w:rPr>
        <w:lastRenderedPageBreak/>
        <w:t>urgencia. SIS ha sostenido uniformemente este criterio: si los antecedentes médicos demuestran que al ingreso había riesgo vital, procede la cobertura de la “Ley de Urgencia” hasta la estabilización clínica, aunque el prestador no haya tramitado correctamente la urgencia. </w:t>
      </w:r>
      <w:r w:rsidRPr="00F63A65">
        <w:rPr>
          <w:b/>
          <w:bCs/>
          <w:lang w:val="es-CL"/>
        </w:rPr>
        <w:t>Ejemplo:</w:t>
      </w:r>
      <w:r w:rsidRPr="00F63A65">
        <w:rPr>
          <w:lang w:val="es-CL"/>
        </w:rPr>
        <w:t> En un caso, el Fondo Nacional de Salud (Fonasa) debió cubrir íntegramente las atenciones de una paciente desde su ingreso de urgencia (22 de febrero) hasta su estabilización real el 11 de marzo, rechazando la tesis de estabilización anticipada que habría limitado el financiamiento. </w:t>
      </w:r>
      <w:r w:rsidRPr="00F63A65">
        <w:rPr>
          <w:b/>
          <w:bCs/>
          <w:lang w:val="es-CL"/>
        </w:rPr>
        <w:t>Implicancia:</w:t>
      </w:r>
      <w:r w:rsidRPr="00F63A65">
        <w:rPr>
          <w:lang w:val="es-CL"/>
        </w:rPr>
        <w:t> La app debe alertar cobros al paciente por atenciones de urgencia vital hasta antes de la estabilización médica, especialmente si la negativa de cobertura se basó solo en falta de certificación o trámites. Según SIS, toda urgencia objetivamente acreditada debe ser cubierta en esos casos, sin trasladar al usuario la carga económica de un procedimiento administrativo omitido.</w:t>
      </w:r>
    </w:p>
    <w:p w14:paraId="63817D95" w14:textId="77777777" w:rsidR="00F63A65" w:rsidRPr="00F63A65" w:rsidRDefault="00F63A65" w:rsidP="00F63A65">
      <w:pPr>
        <w:pStyle w:val="Textoindependiente"/>
        <w:numPr>
          <w:ilvl w:val="0"/>
          <w:numId w:val="6"/>
        </w:numPr>
        <w:rPr>
          <w:lang w:val="es-CL"/>
        </w:rPr>
      </w:pPr>
      <w:r w:rsidRPr="00F63A65">
        <w:rPr>
          <w:b/>
          <w:bCs/>
          <w:lang w:val="es-CL"/>
        </w:rPr>
        <w:t>Interpretación restrictiva de exclusiones de cobertura</w:t>
      </w:r>
      <w:r w:rsidRPr="00F63A65">
        <w:rPr>
          <w:lang w:val="es-CL"/>
        </w:rPr>
        <w:t> – Las cláusulas de exclusión en los contratos de salud </w:t>
      </w:r>
      <w:r w:rsidRPr="00F63A65">
        <w:rPr>
          <w:i/>
          <w:iCs/>
          <w:lang w:val="es-CL"/>
        </w:rPr>
        <w:t>se aplican de manera limitada y pro-asegurado</w:t>
      </w:r>
      <w:r w:rsidRPr="00F63A65">
        <w:rPr>
          <w:lang w:val="es-CL"/>
        </w:rPr>
        <w:t>. Legalmente, una isapre </w:t>
      </w:r>
      <w:r w:rsidRPr="00F63A65">
        <w:rPr>
          <w:b/>
          <w:bCs/>
          <w:lang w:val="es-CL"/>
        </w:rPr>
        <w:t>no puede excluir coberturas</w:t>
      </w:r>
      <w:r w:rsidRPr="00F63A65">
        <w:rPr>
          <w:lang w:val="es-CL"/>
        </w:rPr>
        <w:t> salvo por prestaciones </w:t>
      </w:r>
      <w:r w:rsidRPr="00F63A65">
        <w:rPr>
          <w:i/>
          <w:iCs/>
          <w:lang w:val="es-CL"/>
        </w:rPr>
        <w:t>fuera del arancel oficial</w:t>
      </w:r>
      <w:r w:rsidRPr="00F63A65">
        <w:rPr>
          <w:lang w:val="es-CL"/>
        </w:rPr>
        <w:t> (o medicamentos ambulatorios no arancelados). Por ello, cuando un asegurador niega cobertura invocando una exclusión, debe probar claramente que el caso calza en una causal válida y explícita. Criterio recurrente es que las exclusiones deben interpretarse </w:t>
      </w:r>
      <w:r w:rsidRPr="00F63A65">
        <w:rPr>
          <w:b/>
          <w:bCs/>
          <w:lang w:val="es-CL"/>
        </w:rPr>
        <w:t>restrictivamente</w:t>
      </w:r>
      <w:r w:rsidRPr="00F63A65">
        <w:rPr>
          <w:lang w:val="es-CL"/>
        </w:rPr>
        <w:t>, resolviendo cualquier ambigüedad a favor del afiliado. </w:t>
      </w:r>
      <w:r w:rsidRPr="00F63A65">
        <w:rPr>
          <w:b/>
          <w:bCs/>
          <w:lang w:val="es-CL"/>
        </w:rPr>
        <w:t>Ejemplo:</w:t>
      </w:r>
      <w:r w:rsidRPr="00F63A65">
        <w:rPr>
          <w:lang w:val="es-CL"/>
        </w:rPr>
        <w:t> En un caso sobre recambio de prótesis mamaria, la isapre alegó que era un procedimiento estético excluido; el tribunal constató que no había pruebas suficientes del carácter meramente estético y ordenó otorgar cobertura conforme al plan, puesto que las exclusiones de cobertura no pueden aplicarse en forma amplia sin base objetiva. Asimismo, SIS ha reconocido que los contratos deben adaptarse a los avances médicos: por ejemplo, obligó a cubrir un medicamento oncológico de administración intramuscular (Fulvestrant) pese a que el plan solo mencionaba cobertura para quimioterapia endovenosa, ya que interpretar literalmente esa limitación hubiera negado al paciente un tratamiento moderno y eficaz. </w:t>
      </w:r>
      <w:r w:rsidRPr="00F63A65">
        <w:rPr>
          <w:b/>
          <w:bCs/>
          <w:lang w:val="es-CL"/>
        </w:rPr>
        <w:t>Implicancia:</w:t>
      </w:r>
      <w:r w:rsidRPr="00F63A65">
        <w:rPr>
          <w:lang w:val="es-CL"/>
        </w:rPr>
        <w:t> La app debe marcar cobros al usuario o rechazos de cobertura basados en exclusiones contractuales dudosas (tratamientos que podrían considerarse incluidos o necesarios). Según la doctrina SIS, si la exclusión no es inequívoca o se funda en interpretaciones extensivas (p. ej. calificar un tratamiento necesario como “estético” sin evidencia contundente), el cobro es cuestionable y posiblemente improcedente.</w:t>
      </w:r>
    </w:p>
    <w:p w14:paraId="79BBBB01" w14:textId="77777777" w:rsidR="00F63A65" w:rsidRPr="00F63A65" w:rsidRDefault="00F63A65" w:rsidP="00F63A65">
      <w:pPr>
        <w:pStyle w:val="Textoindependiente"/>
        <w:numPr>
          <w:ilvl w:val="0"/>
          <w:numId w:val="6"/>
        </w:numPr>
        <w:rPr>
          <w:lang w:val="es-CL"/>
        </w:rPr>
      </w:pPr>
      <w:r w:rsidRPr="00F63A65">
        <w:rPr>
          <w:b/>
          <w:bCs/>
          <w:lang w:val="es-CL"/>
        </w:rPr>
        <w:t>Preexistencias no declaradas: carga de la prueba para negar cobertura</w:t>
      </w:r>
      <w:r w:rsidRPr="00F63A65">
        <w:rPr>
          <w:lang w:val="es-CL"/>
        </w:rPr>
        <w:t> – En materia de enfermedades preexistentes, la SIS exige estricto apego a la normativa: la </w:t>
      </w:r>
      <w:r w:rsidRPr="00F63A65">
        <w:rPr>
          <w:i/>
          <w:iCs/>
          <w:lang w:val="es-CL"/>
        </w:rPr>
        <w:t>Declaración de Salud</w:t>
      </w:r>
      <w:r w:rsidRPr="00F63A65">
        <w:rPr>
          <w:lang w:val="es-CL"/>
        </w:rPr>
        <w:t> es personal y debe llenarse de buena fe, consignando las patologías </w:t>
      </w:r>
      <w:r w:rsidRPr="00F63A65">
        <w:rPr>
          <w:b/>
          <w:bCs/>
          <w:lang w:val="es-CL"/>
        </w:rPr>
        <w:t>conocidas y diagnosticadas antes del contrato</w:t>
      </w:r>
      <w:r w:rsidRPr="00F63A65">
        <w:rPr>
          <w:lang w:val="es-CL"/>
        </w:rPr>
        <w:t>. Una isapre solo puede negar cobertura por una supuesta preexistencia omitida si </w:t>
      </w:r>
      <w:r w:rsidRPr="00F63A65">
        <w:rPr>
          <w:b/>
          <w:bCs/>
          <w:lang w:val="es-CL"/>
        </w:rPr>
        <w:t>prueba fehacientemente</w:t>
      </w:r>
      <w:r w:rsidRPr="00F63A65">
        <w:rPr>
          <w:lang w:val="es-CL"/>
        </w:rPr>
        <w:t xml:space="preserve"> que la condición existía antes de </w:t>
      </w:r>
      <w:r w:rsidRPr="00F63A65">
        <w:rPr>
          <w:lang w:val="es-CL"/>
        </w:rPr>
        <w:lastRenderedPageBreak/>
        <w:t>afiliarse </w:t>
      </w:r>
      <w:r w:rsidRPr="00F63A65">
        <w:rPr>
          <w:i/>
          <w:iCs/>
          <w:lang w:val="es-CL"/>
        </w:rPr>
        <w:t>y</w:t>
      </w:r>
      <w:r w:rsidRPr="00F63A65">
        <w:rPr>
          <w:lang w:val="es-CL"/>
        </w:rPr>
        <w:t> que el afiliado la conocía (diagnóstico médico previo), sin una causa justificada de error u olvido en declararla. La jurisprudencia ha reiterado que la carga de la prueba recae en la isapre, y ante la falta de certeza (duda razonable) sobre el carácter preexistente, prevalece el derecho del usuario a la cobertura. </w:t>
      </w:r>
      <w:r w:rsidRPr="00F63A65">
        <w:rPr>
          <w:b/>
          <w:bCs/>
          <w:lang w:val="es-CL"/>
        </w:rPr>
        <w:t>Ejemplo:</w:t>
      </w:r>
      <w:r w:rsidRPr="00F63A65">
        <w:rPr>
          <w:lang w:val="es-CL"/>
        </w:rPr>
        <w:t> En el Rol 19.583-2013, una isapre negó cobertura a una menor por úlcera gastroduodenal supuestamente preexistente. SIS concluyó que, si bien había antecedentes clínicos anteriores, </w:t>
      </w:r>
      <w:r w:rsidRPr="00F63A65">
        <w:rPr>
          <w:b/>
          <w:bCs/>
          <w:lang w:val="es-CL"/>
        </w:rPr>
        <w:t>no quedó acreditado fuera de toda duda</w:t>
      </w:r>
      <w:r w:rsidRPr="00F63A65">
        <w:rPr>
          <w:lang w:val="es-CL"/>
        </w:rPr>
        <w:t> que la enfermedad estuviera diagnosticada antes de la afiliación. La isapre no aportó documentos clínicos decisivos (como controles anteriores a la afiliación) y solo reiteró sus argumentos, incumpliendo su carga probatoria. El fallo acogió la demanda y ordenó cubrir las prestaciones, enfatizando que indicios o sospechas no bastan para configurar una preexistencia no declarada. Por el contrario, en otro caso (Rol 1.051.300-2013) se validó la negativa de cobertura porque sí se comprobó que un tumor ovárico había sido diagnosticado antes del ingreso y la afiliada omitió declararlo sin explicar alguna </w:t>
      </w:r>
      <w:r w:rsidRPr="00F63A65">
        <w:rPr>
          <w:i/>
          <w:iCs/>
          <w:lang w:val="es-CL"/>
        </w:rPr>
        <w:t>justa causa de error</w:t>
      </w:r>
      <w:r w:rsidRPr="00F63A65">
        <w:rPr>
          <w:lang w:val="es-CL"/>
        </w:rPr>
        <w:t>. </w:t>
      </w:r>
      <w:r w:rsidRPr="00F63A65">
        <w:rPr>
          <w:b/>
          <w:bCs/>
          <w:lang w:val="es-CL"/>
        </w:rPr>
        <w:t>Implicancia:</w:t>
      </w:r>
      <w:r w:rsidRPr="00F63A65">
        <w:rPr>
          <w:lang w:val="es-CL"/>
        </w:rPr>
        <w:t> La app debe vigilar rechazos de cobertura por “preexistencia” cuando el diagnóstico inicial es dudoso o posterior a la afiliación. Si el usuario enfrenta cobros porque la isapre no cubrió por alegar una enfermedad preexistente sin prueba concluyente (fecha de diagnóstico anterior, exámenes previos, etc.), eso debe señalarse como potencial cobro indebido. La regla programable es: </w:t>
      </w:r>
      <w:r w:rsidRPr="00F63A65">
        <w:rPr>
          <w:i/>
          <w:iCs/>
          <w:lang w:val="es-CL"/>
        </w:rPr>
        <w:t>si no hay evidencia sólida de preexistencia (o si el afiliado podía ignorarla), la denegación de cobertura es cuestionable</w:t>
      </w:r>
      <w:r w:rsidRPr="00F63A65">
        <w:rPr>
          <w:lang w:val="es-CL"/>
        </w:rPr>
        <w:t> según la doctrina SIS.</w:t>
      </w:r>
    </w:p>
    <w:p w14:paraId="32021B90" w14:textId="77777777" w:rsidR="00F63A65" w:rsidRPr="00F63A65" w:rsidRDefault="00F63A65" w:rsidP="00F63A65">
      <w:pPr>
        <w:pStyle w:val="Textoindependiente"/>
        <w:numPr>
          <w:ilvl w:val="0"/>
          <w:numId w:val="6"/>
        </w:numPr>
        <w:rPr>
          <w:lang w:val="es-CL"/>
        </w:rPr>
      </w:pPr>
      <w:r w:rsidRPr="00F63A65">
        <w:rPr>
          <w:b/>
          <w:bCs/>
          <w:lang w:val="es-CL"/>
        </w:rPr>
        <w:t>Cobros indebidos y desglose de prestaciones (</w:t>
      </w:r>
      <w:r w:rsidRPr="00F63A65">
        <w:rPr>
          <w:b/>
          <w:bCs/>
          <w:i/>
          <w:iCs/>
          <w:lang w:val="es-CL"/>
        </w:rPr>
        <w:t>integridad del acto médico</w:t>
      </w:r>
      <w:r w:rsidRPr="00F63A65">
        <w:rPr>
          <w:b/>
          <w:bCs/>
          <w:lang w:val="es-CL"/>
        </w:rPr>
        <w:t>)</w:t>
      </w:r>
      <w:r w:rsidRPr="00F63A65">
        <w:rPr>
          <w:lang w:val="es-CL"/>
        </w:rPr>
        <w:t> – La SIS procura evitar que se carguen costos duplicados o indebidos en las cuentas médicas. Un principio reiterado es la </w:t>
      </w:r>
      <w:r w:rsidRPr="00F63A65">
        <w:rPr>
          <w:i/>
          <w:iCs/>
          <w:lang w:val="es-CL"/>
        </w:rPr>
        <w:t>integridad del acto quirúrgico</w:t>
      </w:r>
      <w:r w:rsidRPr="00F63A65">
        <w:rPr>
          <w:lang w:val="es-CL"/>
        </w:rPr>
        <w:t>: </w:t>
      </w:r>
      <w:r w:rsidRPr="00F63A65">
        <w:rPr>
          <w:b/>
          <w:bCs/>
          <w:lang w:val="es-CL"/>
        </w:rPr>
        <w:t>no se deben cobrar por separado</w:t>
      </w:r>
      <w:r w:rsidRPr="00F63A65">
        <w:rPr>
          <w:lang w:val="es-CL"/>
        </w:rPr>
        <w:t> procedimientos o maniobras que forman parte integral de una prestación mayor, especialmente si no tienen código arancelario independiente. Cualquier intervención necesaria que esté implícita en otra de mayor complejidad </w:t>
      </w:r>
      <w:r w:rsidRPr="00F63A65">
        <w:rPr>
          <w:b/>
          <w:bCs/>
          <w:lang w:val="es-CL"/>
        </w:rPr>
        <w:t>debe incluirse en ésta</w:t>
      </w:r>
      <w:r w:rsidRPr="00F63A65">
        <w:rPr>
          <w:lang w:val="es-CL"/>
        </w:rPr>
        <w:t> y bonificarse conjuntamente, para impedir desagregar la atención en múltiples cobros. </w:t>
      </w:r>
      <w:r w:rsidRPr="00F63A65">
        <w:rPr>
          <w:b/>
          <w:bCs/>
          <w:lang w:val="es-CL"/>
        </w:rPr>
        <w:t>Ejemplo:</w:t>
      </w:r>
      <w:r w:rsidRPr="00F63A65">
        <w:rPr>
          <w:lang w:val="es-CL"/>
        </w:rPr>
        <w:t> En el caso Rol 1.037.885-2013, un prestador facturó aparte la “toma de injerto” en una cirugía de rodilla. La Intendencia instruyó y el tribunal confirmó que eso era improcedente: al no existir código propio, el injerto era parte de la cirugía principal, y cobrarlo separadamente violaba la integridad del acto quirúrgico. La isapre tuvo que sumar ese cobro al código principal y aplicar la cobertura del plan sobre el total, evitando un cargo extra al paciente. Adicionalmente, la SIS ha ordenado </w:t>
      </w:r>
      <w:r w:rsidRPr="00F63A65">
        <w:rPr>
          <w:b/>
          <w:bCs/>
          <w:lang w:val="es-CL"/>
        </w:rPr>
        <w:t>devoluciones de pagos</w:t>
      </w:r>
      <w:r w:rsidRPr="00F63A65">
        <w:rPr>
          <w:lang w:val="es-CL"/>
        </w:rPr>
        <w:t> cuando el afiliado canceló de su bolsillo prestaciones que debieron ser cubiertas. Por ejemplo, si el usuario pagó por error algo ya bonificado o cubierto, el prestador debe restituir ese monto; si no es posible, la isapre debe compensarlo al paciente en la liquidación de cuentas. </w:t>
      </w:r>
      <w:r w:rsidRPr="00F63A65">
        <w:rPr>
          <w:b/>
          <w:bCs/>
          <w:lang w:val="es-CL"/>
        </w:rPr>
        <w:t>Implicancia:</w:t>
      </w:r>
      <w:r w:rsidRPr="00F63A65">
        <w:rPr>
          <w:lang w:val="es-CL"/>
        </w:rPr>
        <w:t xml:space="preserve"> La app RevisatuCuenta debe detectar ítems cobrados por duplicado o por conceptos </w:t>
      </w:r>
      <w:r w:rsidRPr="00F63A65">
        <w:rPr>
          <w:lang w:val="es-CL"/>
        </w:rPr>
        <w:lastRenderedPageBreak/>
        <w:t>anómalos. Reglas a implementar incluyen: alertar si en una factura aparecen cargos separados por procedimientos que usualmente van incluidos en uno solo (p.ej. materiales o pasos quirúrgicos sin código propio). También debe avisar si el paciente pagó atenciones que luego fueron cubiertas por el seguro, para gestionar su reembolso. Estos cobros se considerarían irregulares según la jurisprudencia SIS, que busca prevenir la “desagregación mañosa” de prestaciones y asegurar que el afiliado no pague de más.</w:t>
      </w:r>
    </w:p>
    <w:p w14:paraId="15E82314" w14:textId="77777777" w:rsidR="00F63A65" w:rsidRPr="00F63A65" w:rsidRDefault="00F63A65" w:rsidP="00F63A65">
      <w:pPr>
        <w:pStyle w:val="Textoindependiente"/>
        <w:numPr>
          <w:ilvl w:val="0"/>
          <w:numId w:val="6"/>
        </w:numPr>
        <w:rPr>
          <w:lang w:val="es-CL"/>
        </w:rPr>
      </w:pPr>
      <w:r w:rsidRPr="00F63A65">
        <w:rPr>
          <w:b/>
          <w:bCs/>
          <w:lang w:val="es-CL"/>
        </w:rPr>
        <w:t>Cobertura CAEC ante insuficiencia de red (evento catastrófico)</w:t>
      </w:r>
      <w:r w:rsidRPr="00F63A65">
        <w:rPr>
          <w:lang w:val="es-CL"/>
        </w:rPr>
        <w:t> – La Cobertura Adicional para Enfermedades Catastróficas (CAEC) debe ser garantizada efectivamente por la isapre, </w:t>
      </w:r>
      <w:r w:rsidRPr="00F63A65">
        <w:rPr>
          <w:b/>
          <w:bCs/>
          <w:lang w:val="es-CL"/>
        </w:rPr>
        <w:t>incluso si su red de prestadores presenta deficiencias</w:t>
      </w:r>
      <w:r w:rsidRPr="00F63A65">
        <w:rPr>
          <w:lang w:val="es-CL"/>
        </w:rPr>
        <w:t>. La doctrina SIS establece que, si un afiliado sufre un evento de salud grave y </w:t>
      </w:r>
      <w:r w:rsidRPr="00F63A65">
        <w:rPr>
          <w:i/>
          <w:iCs/>
          <w:lang w:val="es-CL"/>
        </w:rPr>
        <w:t>no existe prestador CAEC disponible en la región</w:t>
      </w:r>
      <w:r w:rsidRPr="00F63A65">
        <w:rPr>
          <w:lang w:val="es-CL"/>
        </w:rPr>
        <w:t> donde ocurre la urgencia, la isapre está obligada a otorgar el beneficio catastrófico en el lugar donde el paciente fue atendido. En otras palabras, </w:t>
      </w:r>
      <w:r w:rsidRPr="00F63A65">
        <w:rPr>
          <w:b/>
          <w:bCs/>
          <w:lang w:val="es-CL"/>
        </w:rPr>
        <w:t>las falencias de la red no pueden perjudicar al afiliado</w:t>
      </w:r>
      <w:r w:rsidRPr="00F63A65">
        <w:rPr>
          <w:lang w:val="es-CL"/>
        </w:rPr>
        <w:t>: si la isapre no tiene convenio CAEC en cierta zona, debe igualmente costear la atención catastrófica fuera de su red. SIS recalca que tratándose de redes conformadas por la aseguradora, pesa sobre ésta el deber de responder cuando, por una urgencia vital no disputada, el beneficiario manifiesta su voluntad de acogerse a CAEC pero no puede hacerlo por una carencia en la red ofrecida. </w:t>
      </w:r>
      <w:r w:rsidRPr="00F63A65">
        <w:rPr>
          <w:b/>
          <w:bCs/>
          <w:lang w:val="es-CL"/>
        </w:rPr>
        <w:t>Ejemplo:</w:t>
      </w:r>
      <w:r w:rsidRPr="00F63A65">
        <w:rPr>
          <w:lang w:val="es-CL"/>
        </w:rPr>
        <w:t> En un fallo de 2014 contra Isapre Banmédica, un afiliado en la VIII Región ingresó de urgencia grave a una clínica local que no era prestador CAEC. Al solicitar la CAEC, se descubrió que </w:t>
      </w:r>
      <w:r w:rsidRPr="00F63A65">
        <w:rPr>
          <w:i/>
          <w:iCs/>
          <w:lang w:val="es-CL"/>
        </w:rPr>
        <w:t>no había ningún hospital CAEC en esa región</w:t>
      </w:r>
      <w:r w:rsidRPr="00F63A65">
        <w:rPr>
          <w:lang w:val="es-CL"/>
        </w:rPr>
        <w:t>. La SIS determinó que era injusto exigir traslado a otra región para usar el beneficio, por lo que ordenó a la isapre financiar los gastos bajo CAEC en la clínica donde estuvo internado. La isapre alegó que la familia luego rehusó trasladarlo cuando estuvo más estable, pero el tribunal enfatizó que la </w:t>
      </w:r>
      <w:r w:rsidRPr="00F63A65">
        <w:rPr>
          <w:b/>
          <w:bCs/>
          <w:lang w:val="es-CL"/>
        </w:rPr>
        <w:t>falta inicial de un prestador en la región</w:t>
      </w:r>
      <w:r w:rsidRPr="00F63A65">
        <w:rPr>
          <w:lang w:val="es-CL"/>
        </w:rPr>
        <w:t> ya configuraba una infracción: el afiliado no tuvo opción real de usar la red por defecto de la isapre. </w:t>
      </w:r>
      <w:r w:rsidRPr="00F63A65">
        <w:rPr>
          <w:b/>
          <w:bCs/>
          <w:lang w:val="es-CL"/>
        </w:rPr>
        <w:t>Implicancia:</w:t>
      </w:r>
      <w:r w:rsidRPr="00F63A65">
        <w:rPr>
          <w:lang w:val="es-CL"/>
        </w:rPr>
        <w:t> La aplicación debe revisar situaciones en que un paciente con costos muy altos (catástrofe) </w:t>
      </w:r>
      <w:r w:rsidRPr="00F63A65">
        <w:rPr>
          <w:b/>
          <w:bCs/>
          <w:lang w:val="es-CL"/>
        </w:rPr>
        <w:t>no pudo usar un prestador preferente</w:t>
      </w:r>
      <w:r w:rsidRPr="00F63A65">
        <w:rPr>
          <w:lang w:val="es-CL"/>
        </w:rPr>
        <w:t> porque no existía en su zona o no había disponibilidad. Si la isapre negó la CAEC o dejó fuera de cobertura parte de la hospitalización por haberse realizado “fuera de la red”, debe alertarse como potencial injusticia. Conforme a la jurisprudencia, ante una urgencia o condición crítica, el afiliado tiene derecho a la cobertura catastrófica aunque la atención ocurra fuera de la red contratada, cuando la responsabilidad es la </w:t>
      </w:r>
      <w:r w:rsidRPr="00F63A65">
        <w:rPr>
          <w:i/>
          <w:iCs/>
          <w:lang w:val="es-CL"/>
        </w:rPr>
        <w:t>insuficiencia de la red</w:t>
      </w:r>
      <w:r w:rsidRPr="00F63A65">
        <w:rPr>
          <w:lang w:val="es-CL"/>
        </w:rPr>
        <w:t> ofrecida por la isapre.</w:t>
      </w:r>
    </w:p>
    <w:p w14:paraId="05967FD9" w14:textId="77777777" w:rsidR="00F63A65" w:rsidRPr="00F63A65" w:rsidRDefault="00F63A65" w:rsidP="00F63A65">
      <w:pPr>
        <w:pStyle w:val="Textoindependiente"/>
        <w:numPr>
          <w:ilvl w:val="0"/>
          <w:numId w:val="6"/>
        </w:numPr>
        <w:rPr>
          <w:lang w:val="es-CL"/>
        </w:rPr>
      </w:pPr>
      <w:r w:rsidRPr="00F63A65">
        <w:rPr>
          <w:b/>
          <w:bCs/>
          <w:lang w:val="es-CL"/>
        </w:rPr>
        <w:t>Insuficiencia de red preferente y derivaciones</w:t>
      </w:r>
      <w:r w:rsidRPr="00F63A65">
        <w:rPr>
          <w:lang w:val="es-CL"/>
        </w:rPr>
        <w:t> – De manera relacionada, la SIS ha abordado casos donde </w:t>
      </w:r>
      <w:r w:rsidRPr="00F63A65">
        <w:rPr>
          <w:b/>
          <w:bCs/>
          <w:lang w:val="es-CL"/>
        </w:rPr>
        <w:t>el prestador preferente designado no puede otorgar la atención necesaria</w:t>
      </w:r>
      <w:r w:rsidRPr="00F63A65">
        <w:rPr>
          <w:lang w:val="es-CL"/>
        </w:rPr>
        <w:t> (por falta de especialistas, cupo o recursos técnicos). El principio tutelar es que la isapre debe asegurar la continuidad de la cobertura en condiciones similares, </w:t>
      </w:r>
      <w:r w:rsidRPr="00F63A65">
        <w:rPr>
          <w:i/>
          <w:iCs/>
          <w:lang w:val="es-CL"/>
        </w:rPr>
        <w:t xml:space="preserve">derivando al paciente a otro prestador </w:t>
      </w:r>
      <w:r w:rsidRPr="00F63A65">
        <w:rPr>
          <w:i/>
          <w:iCs/>
          <w:lang w:val="es-CL"/>
        </w:rPr>
        <w:lastRenderedPageBreak/>
        <w:t>adecuado sin disminución de beneficios</w:t>
      </w:r>
      <w:r w:rsidRPr="00F63A65">
        <w:rPr>
          <w:lang w:val="es-CL"/>
        </w:rPr>
        <w:t>. Si el usuario acude a un prestador fuera de la red porque el “preferente” no tenía la capacidad de tratarlo, </w:t>
      </w:r>
      <w:r w:rsidRPr="00F63A65">
        <w:rPr>
          <w:i/>
          <w:iCs/>
          <w:lang w:val="es-CL"/>
        </w:rPr>
        <w:t>no corresponde</w:t>
      </w:r>
      <w:r w:rsidRPr="00F63A65">
        <w:rPr>
          <w:lang w:val="es-CL"/>
        </w:rPr>
        <w:t> que la isapre niegue la cobertura mejorada que le hubiera dado su red. </w:t>
      </w:r>
      <w:r w:rsidRPr="00F63A65">
        <w:rPr>
          <w:b/>
          <w:bCs/>
          <w:lang w:val="es-CL"/>
        </w:rPr>
        <w:t>Ejemplo:</w:t>
      </w:r>
      <w:r w:rsidRPr="00F63A65">
        <w:rPr>
          <w:lang w:val="es-CL"/>
        </w:rPr>
        <w:t> En el Rol 100118-2013 (Isapre Masvida), la hija de la reclamante sufrió una enfermedad gravísima (meningitis criptocócica con complicaciones) en Calama. La familia la trasladó a la Clínica Antofagasta por indicación médica, ya que el hospital preferente local carecía de especialistas. Al activar CAEC, la isapre asignó como prestador a Clínica La Portada (de su red cerrada), pero este centro </w:t>
      </w:r>
      <w:r w:rsidRPr="00F63A65">
        <w:rPr>
          <w:b/>
          <w:bCs/>
          <w:lang w:val="es-CL"/>
        </w:rPr>
        <w:t>no contaba con neurología ni infectología</w:t>
      </w:r>
      <w:r w:rsidRPr="00F63A65">
        <w:rPr>
          <w:lang w:val="es-CL"/>
        </w:rPr>
        <w:t>, por lo que la madre rechazó la derivación por insuficiencia técnica, dejándolo explícito por escrito. La Superintendencia corroboró que efectivamente Clínica La Portada no tenía medios para tratar esa patología y que la isapre </w:t>
      </w:r>
      <w:r w:rsidRPr="00F63A65">
        <w:rPr>
          <w:b/>
          <w:bCs/>
          <w:lang w:val="es-CL"/>
        </w:rPr>
        <w:t>no ofreció una alternativa idónea</w:t>
      </w:r>
      <w:r w:rsidRPr="00F63A65">
        <w:rPr>
          <w:lang w:val="es-CL"/>
        </w:rPr>
        <w:t> (no designó otro prestador con capacidad). En consecuencia, ordenó otorgar la cobertura CAEC sobre las atenciones en Clínica Antofagasta, pese a ser ajena a la red, dado que la negativa de la afiliada estuvo justificada por una falla real de la red preferente de la isapre. </w:t>
      </w:r>
      <w:r w:rsidRPr="00F63A65">
        <w:rPr>
          <w:b/>
          <w:bCs/>
          <w:lang w:val="es-CL"/>
        </w:rPr>
        <w:t>Implicancia:</w:t>
      </w:r>
      <w:r w:rsidRPr="00F63A65">
        <w:rPr>
          <w:lang w:val="es-CL"/>
        </w:rPr>
        <w:t> Para RevisatuCuenta, esto significa que se deben señalar casos donde el paciente fue derivado fuera de la red (o decidió atenderse fuera) debido a </w:t>
      </w:r>
      <w:r w:rsidRPr="00F63A65">
        <w:rPr>
          <w:b/>
          <w:bCs/>
          <w:lang w:val="es-CL"/>
        </w:rPr>
        <w:t>falta de disponibilidad o capacidad del prestador en convenio</w:t>
      </w:r>
      <w:r w:rsidRPr="00F63A65">
        <w:rPr>
          <w:lang w:val="es-CL"/>
        </w:rPr>
        <w:t>. Si luego la aseguradora aplicó menor cobertura (copagos más altos por ser “fuera de red” o negó algún beneficio), podría tratarse de un cobro irregular. La lógica a implementar: cuando el prestador preferente no pudo brindar la atención (documentado por falta de cupo, especialidad u otro), el afiliado </w:t>
      </w:r>
      <w:r w:rsidRPr="00F63A65">
        <w:rPr>
          <w:i/>
          <w:iCs/>
          <w:lang w:val="es-CL"/>
        </w:rPr>
        <w:t>debe</w:t>
      </w:r>
      <w:r w:rsidRPr="00F63A65">
        <w:rPr>
          <w:lang w:val="es-CL"/>
        </w:rPr>
        <w:t> conservar sus coberturas originales en el nuevo prestador – cualquier cobro extra por esa situación es objetable según los criterios SIS.</w:t>
      </w:r>
    </w:p>
    <w:p w14:paraId="79B3698A" w14:textId="77777777" w:rsidR="00F63A65" w:rsidRPr="00F63A65" w:rsidRDefault="00F63A65" w:rsidP="00F63A65">
      <w:pPr>
        <w:pStyle w:val="Textoindependiente"/>
        <w:numPr>
          <w:ilvl w:val="0"/>
          <w:numId w:val="6"/>
        </w:numPr>
        <w:rPr>
          <w:lang w:val="es-CL"/>
        </w:rPr>
      </w:pPr>
      <w:r w:rsidRPr="00F63A65">
        <w:rPr>
          <w:b/>
          <w:bCs/>
          <w:lang w:val="es-CL"/>
        </w:rPr>
        <w:t>“Evento único” y acumulación de deducibles</w:t>
      </w:r>
      <w:r w:rsidRPr="00F63A65">
        <w:rPr>
          <w:lang w:val="es-CL"/>
        </w:rPr>
        <w:t> – En conflictos sobre topes de cobertura o deducibles anuales, la Superintendencia aplica el concepto de </w:t>
      </w:r>
      <w:r w:rsidRPr="00F63A65">
        <w:rPr>
          <w:i/>
          <w:iCs/>
          <w:lang w:val="es-CL"/>
        </w:rPr>
        <w:t>evento único de salud</w:t>
      </w:r>
      <w:r w:rsidRPr="00F63A65">
        <w:rPr>
          <w:lang w:val="es-CL"/>
        </w:rPr>
        <w:t>. Si un mismo problema de salud se manifiesta en episodios o complicaciones sucesivas, éstos se consideran </w:t>
      </w:r>
      <w:r w:rsidRPr="00F63A65">
        <w:rPr>
          <w:b/>
          <w:bCs/>
          <w:lang w:val="es-CL"/>
        </w:rPr>
        <w:t>un solo evento a efectos de cobertura financiera</w:t>
      </w:r>
      <w:r w:rsidRPr="00F63A65">
        <w:rPr>
          <w:lang w:val="es-CL"/>
        </w:rPr>
        <w:t>. En particular, tratándose de la CAEC (y combinaciones con Garantías Explícitas en Salud, GES), </w:t>
      </w:r>
      <w:r w:rsidRPr="00F63A65">
        <w:rPr>
          <w:b/>
          <w:bCs/>
          <w:lang w:val="es-CL"/>
        </w:rPr>
        <w:t>solo procede cobrar un deducible</w:t>
      </w:r>
      <w:r w:rsidRPr="00F63A65">
        <w:rPr>
          <w:lang w:val="es-CL"/>
        </w:rPr>
        <w:t> cuando las hospitalizaciones están clínicamente conectadas. </w:t>
      </w:r>
      <w:r w:rsidRPr="00F63A65">
        <w:rPr>
          <w:b/>
          <w:bCs/>
          <w:lang w:val="es-CL"/>
        </w:rPr>
        <w:t>Ejemplo:</w:t>
      </w:r>
      <w:r w:rsidRPr="00F63A65">
        <w:rPr>
          <w:lang w:val="es-CL"/>
        </w:rPr>
        <w:t> Un afiliado con Insuficiencia Renal crónica (patología GES) requirió internación por una complicación endocrina derivada de su enfermedad base. La isapre pretendía tratarla como un caso aparte (no GES) y aplicar un deducible catastrófico independiente. Sin embargo, la SIS resolvió que, al ser </w:t>
      </w:r>
      <w:r w:rsidRPr="00F63A65">
        <w:rPr>
          <w:i/>
          <w:iCs/>
          <w:lang w:val="es-CL"/>
        </w:rPr>
        <w:t>consecuencia directa</w:t>
      </w:r>
      <w:r w:rsidRPr="00F63A65">
        <w:rPr>
          <w:lang w:val="es-CL"/>
        </w:rPr>
        <w:t> de la insuficiencia renal, la complicación formaba parte del mismo evento catastrófico; por tanto, los copagos de esa segunda hospitalización debían acumularse al deducible GES/CAEC ya en curso, </w:t>
      </w:r>
      <w:r w:rsidRPr="00F63A65">
        <w:rPr>
          <w:b/>
          <w:bCs/>
          <w:lang w:val="es-CL"/>
        </w:rPr>
        <w:t>sin iniciar uno nuevo</w:t>
      </w:r>
      <w:r w:rsidRPr="00F63A65">
        <w:rPr>
          <w:lang w:val="es-CL"/>
        </w:rPr>
        <w:t xml:space="preserve">. Este criterio se basa en normativa CAEC que establece la acumulación anual de gastos, computando solo uno cuando un evento deriva en otro (incluso si el secundario entra al régimen </w:t>
      </w:r>
      <w:r w:rsidRPr="00F63A65">
        <w:rPr>
          <w:lang w:val="es-CL"/>
        </w:rPr>
        <w:lastRenderedPageBreak/>
        <w:t>GES). </w:t>
      </w:r>
      <w:r w:rsidRPr="00F63A65">
        <w:rPr>
          <w:b/>
          <w:bCs/>
          <w:lang w:val="es-CL"/>
        </w:rPr>
        <w:t>Implicancia:</w:t>
      </w:r>
      <w:r w:rsidRPr="00F63A65">
        <w:rPr>
          <w:lang w:val="es-CL"/>
        </w:rPr>
        <w:t> La app debe integrar una lógica de </w:t>
      </w:r>
      <w:r w:rsidRPr="00F63A65">
        <w:rPr>
          <w:i/>
          <w:iCs/>
          <w:lang w:val="es-CL"/>
        </w:rPr>
        <w:t>detección de eventos relacionados</w:t>
      </w:r>
      <w:r w:rsidRPr="00F63A65">
        <w:rPr>
          <w:lang w:val="es-CL"/>
        </w:rPr>
        <w:t>. Si un usuario tuvo varias atenciones sucesivas por diagnósticos vinculados (ej. complicaciones de una cirugía o recaídas de la misma enfermedad) y la isapre le cobró más de un deducible catastrófico o aplicó límites como si fueran eventos separados, corresponde señalarlo. Conforme a la jurisprudencia SIS, esas situaciones deben unificarse como un solo evento a efectos de cálculo de beneficios, evitando que el afiliado asuma costos duplicados por lo que esencialmente es el mismo proceso patológico.</w:t>
      </w:r>
    </w:p>
    <w:p w14:paraId="0453544C" w14:textId="77777777" w:rsidR="00F63A65" w:rsidRDefault="00F63A65">
      <w:pPr>
        <w:pStyle w:val="Textoindependiente"/>
      </w:pPr>
    </w:p>
    <w:sectPr w:rsidR="00F63A6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1061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4079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932488A"/>
    <w:multiLevelType w:val="multilevel"/>
    <w:tmpl w:val="304E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851230">
    <w:abstractNumId w:val="0"/>
  </w:num>
  <w:num w:numId="2" w16cid:durableId="1016156227">
    <w:abstractNumId w:val="1"/>
  </w:num>
  <w:num w:numId="3" w16cid:durableId="213854619">
    <w:abstractNumId w:val="1"/>
  </w:num>
  <w:num w:numId="4" w16cid:durableId="105001437">
    <w:abstractNumId w:val="1"/>
  </w:num>
  <w:num w:numId="5" w16cid:durableId="717776646">
    <w:abstractNumId w:val="1"/>
  </w:num>
  <w:num w:numId="6" w16cid:durableId="1070228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51"/>
    <w:rsid w:val="004906BC"/>
    <w:rsid w:val="0064619A"/>
    <w:rsid w:val="00BE6527"/>
    <w:rsid w:val="00E01851"/>
    <w:rsid w:val="00F63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57AF1"/>
  <w15:docId w15:val="{93ADC413-EDCF-4272-8977-DCC8DD57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CALr7TJCnsgU3MBHoDMywD" TargetMode="External"/><Relationship Id="rId21" Type="http://schemas.openxmlformats.org/officeDocument/2006/relationships/hyperlink" Target="file://file-CALr7TJCnsgU3MBHoDMywD" TargetMode="External"/><Relationship Id="rId42" Type="http://schemas.openxmlformats.org/officeDocument/2006/relationships/hyperlink" Target="file://file-CALr7TJCnsgU3MBHoDMywD" TargetMode="External"/><Relationship Id="rId63" Type="http://schemas.openxmlformats.org/officeDocument/2006/relationships/hyperlink" Target="file://file-CALr7TJCnsgU3MBHoDMywD" TargetMode="External"/><Relationship Id="rId84" Type="http://schemas.openxmlformats.org/officeDocument/2006/relationships/hyperlink" Target="file://file-CALr7TJCnsgU3MBHoDMywD" TargetMode="External"/><Relationship Id="rId138" Type="http://schemas.openxmlformats.org/officeDocument/2006/relationships/hyperlink" Target="file://file-DiC1XyCpxRPbnEpkb3eJpt" TargetMode="External"/><Relationship Id="rId159" Type="http://schemas.openxmlformats.org/officeDocument/2006/relationships/hyperlink" Target="file://file-WNky93L3vexb4fv75DUPyg" TargetMode="External"/><Relationship Id="rId170" Type="http://schemas.openxmlformats.org/officeDocument/2006/relationships/hyperlink" Target="file://file-RKAaEtBtKU1j39DP6Haznv" TargetMode="External"/><Relationship Id="rId191" Type="http://schemas.openxmlformats.org/officeDocument/2006/relationships/hyperlink" Target="file://file-QaTYkD8raWkV9o4EcLQDoX" TargetMode="External"/><Relationship Id="rId205" Type="http://schemas.openxmlformats.org/officeDocument/2006/relationships/fontTable" Target="fontTable.xml"/><Relationship Id="rId107" Type="http://schemas.openxmlformats.org/officeDocument/2006/relationships/hyperlink" Target="file://file-CALr7TJCnsgU3MBHoDMywD" TargetMode="External"/><Relationship Id="rId11" Type="http://schemas.openxmlformats.org/officeDocument/2006/relationships/hyperlink" Target="file://file-CALr7TJCnsgU3MBHoDMywD" TargetMode="External"/><Relationship Id="rId32" Type="http://schemas.openxmlformats.org/officeDocument/2006/relationships/hyperlink" Target="file://file-CALr7TJCnsgU3MBHoDMywD" TargetMode="External"/><Relationship Id="rId53" Type="http://schemas.openxmlformats.org/officeDocument/2006/relationships/hyperlink" Target="file://file-CALr7TJCnsgU3MBHoDMywD" TargetMode="External"/><Relationship Id="rId74" Type="http://schemas.openxmlformats.org/officeDocument/2006/relationships/hyperlink" Target="file://file-CALr7TJCnsgU3MBHoDMywD" TargetMode="External"/><Relationship Id="rId128" Type="http://schemas.openxmlformats.org/officeDocument/2006/relationships/hyperlink" Target="file://file-RFX1gC7UWnTwKPukxYd6TP" TargetMode="External"/><Relationship Id="rId149" Type="http://schemas.openxmlformats.org/officeDocument/2006/relationships/hyperlink" Target="file://file-DiC1XyCpxRPbnEpkb3eJpt" TargetMode="External"/><Relationship Id="rId5" Type="http://schemas.openxmlformats.org/officeDocument/2006/relationships/hyperlink" Target="file://file-1hqs7SQFoNAgHecesTbTWr" TargetMode="External"/><Relationship Id="rId95" Type="http://schemas.openxmlformats.org/officeDocument/2006/relationships/hyperlink" Target="file://file-CALr7TJCnsgU3MBHoDMywD" TargetMode="External"/><Relationship Id="rId160" Type="http://schemas.openxmlformats.org/officeDocument/2006/relationships/hyperlink" Target="file://file-WNky93L3vexb4fv75DUPyg" TargetMode="External"/><Relationship Id="rId181" Type="http://schemas.openxmlformats.org/officeDocument/2006/relationships/hyperlink" Target="file://file-37tQjLxTxLBEKav2pFG2fG" TargetMode="External"/><Relationship Id="rId22" Type="http://schemas.openxmlformats.org/officeDocument/2006/relationships/hyperlink" Target="file://file-CALr7TJCnsgU3MBHoDMywD" TargetMode="External"/><Relationship Id="rId43" Type="http://schemas.openxmlformats.org/officeDocument/2006/relationships/hyperlink" Target="file://file-CALr7TJCnsgU3MBHoDMywD" TargetMode="External"/><Relationship Id="rId64" Type="http://schemas.openxmlformats.org/officeDocument/2006/relationships/hyperlink" Target="file://file-CALr7TJCnsgU3MBHoDMywD" TargetMode="External"/><Relationship Id="rId118" Type="http://schemas.openxmlformats.org/officeDocument/2006/relationships/hyperlink" Target="file://file-CALr7TJCnsgU3MBHoDMywD" TargetMode="External"/><Relationship Id="rId139" Type="http://schemas.openxmlformats.org/officeDocument/2006/relationships/hyperlink" Target="file://file-DiC1XyCpxRPbnEpkb3eJpt" TargetMode="External"/><Relationship Id="rId85" Type="http://schemas.openxmlformats.org/officeDocument/2006/relationships/hyperlink" Target="file://file-CALr7TJCnsgU3MBHoDMywD" TargetMode="External"/><Relationship Id="rId150" Type="http://schemas.openxmlformats.org/officeDocument/2006/relationships/hyperlink" Target="file://file-WNky93L3vexb4fv75DUPyg" TargetMode="External"/><Relationship Id="rId171" Type="http://schemas.openxmlformats.org/officeDocument/2006/relationships/hyperlink" Target="file://file-RKAaEtBtKU1j39DP6Haznv" TargetMode="External"/><Relationship Id="rId192" Type="http://schemas.openxmlformats.org/officeDocument/2006/relationships/hyperlink" Target="file://file-QaTYkD8raWkV9o4EcLQDoX" TargetMode="External"/><Relationship Id="rId206" Type="http://schemas.openxmlformats.org/officeDocument/2006/relationships/theme" Target="theme/theme1.xml"/><Relationship Id="rId12" Type="http://schemas.openxmlformats.org/officeDocument/2006/relationships/hyperlink" Target="file://file-CALr7TJCnsgU3MBHoDMywD" TargetMode="External"/><Relationship Id="rId33" Type="http://schemas.openxmlformats.org/officeDocument/2006/relationships/hyperlink" Target="file://file-CALr7TJCnsgU3MBHoDMywD" TargetMode="External"/><Relationship Id="rId108" Type="http://schemas.openxmlformats.org/officeDocument/2006/relationships/hyperlink" Target="file://file-CALr7TJCnsgU3MBHoDMywD" TargetMode="External"/><Relationship Id="rId129" Type="http://schemas.openxmlformats.org/officeDocument/2006/relationships/hyperlink" Target="file://file-RFX1gC7UWnTwKPukxYd6TP" TargetMode="External"/><Relationship Id="rId54" Type="http://schemas.openxmlformats.org/officeDocument/2006/relationships/hyperlink" Target="file://file-CALr7TJCnsgU3MBHoDMywD" TargetMode="External"/><Relationship Id="rId75" Type="http://schemas.openxmlformats.org/officeDocument/2006/relationships/hyperlink" Target="file://file-CALr7TJCnsgU3MBHoDMywD" TargetMode="External"/><Relationship Id="rId96" Type="http://schemas.openxmlformats.org/officeDocument/2006/relationships/hyperlink" Target="file://file-CALr7TJCnsgU3MBHoDMywD" TargetMode="External"/><Relationship Id="rId140" Type="http://schemas.openxmlformats.org/officeDocument/2006/relationships/hyperlink" Target="file://file-DiC1XyCpxRPbnEpkb3eJpt" TargetMode="External"/><Relationship Id="rId161" Type="http://schemas.openxmlformats.org/officeDocument/2006/relationships/hyperlink" Target="file://file-WNky93L3vexb4fv75DUPyg" TargetMode="External"/><Relationship Id="rId182" Type="http://schemas.openxmlformats.org/officeDocument/2006/relationships/hyperlink" Target="file://file-37tQjLxTxLBEKav2pFG2fG" TargetMode="External"/><Relationship Id="rId6" Type="http://schemas.openxmlformats.org/officeDocument/2006/relationships/hyperlink" Target="file://file-1hqs7SQFoNAgHecesTbTWr" TargetMode="External"/><Relationship Id="rId23" Type="http://schemas.openxmlformats.org/officeDocument/2006/relationships/hyperlink" Target="file://file-CALr7TJCnsgU3MBHoDMywD" TargetMode="External"/><Relationship Id="rId119" Type="http://schemas.openxmlformats.org/officeDocument/2006/relationships/hyperlink" Target="file://file-37tQjLxTxLBEKav2pFG2fG" TargetMode="External"/><Relationship Id="rId44" Type="http://schemas.openxmlformats.org/officeDocument/2006/relationships/hyperlink" Target="file://file-CALr7TJCnsgU3MBHoDMywD" TargetMode="External"/><Relationship Id="rId65" Type="http://schemas.openxmlformats.org/officeDocument/2006/relationships/hyperlink" Target="file://file-PxoudN1LLLiQUUEbY7djRP" TargetMode="External"/><Relationship Id="rId86" Type="http://schemas.openxmlformats.org/officeDocument/2006/relationships/hyperlink" Target="file://file-CALr7TJCnsgU3MBHoDMywD" TargetMode="External"/><Relationship Id="rId130" Type="http://schemas.openxmlformats.org/officeDocument/2006/relationships/hyperlink" Target="file://file-37tQjLxTxLBEKav2pFG2fG" TargetMode="External"/><Relationship Id="rId151" Type="http://schemas.openxmlformats.org/officeDocument/2006/relationships/hyperlink" Target="file://file-WNky93L3vexb4fv75DUPyg" TargetMode="External"/><Relationship Id="rId172" Type="http://schemas.openxmlformats.org/officeDocument/2006/relationships/hyperlink" Target="file://file-RKAaEtBtKU1j39DP6Haznv" TargetMode="External"/><Relationship Id="rId193" Type="http://schemas.openxmlformats.org/officeDocument/2006/relationships/hyperlink" Target="file://file-RKAaEtBtKU1j39DP6Haznv" TargetMode="External"/><Relationship Id="rId13" Type="http://schemas.openxmlformats.org/officeDocument/2006/relationships/hyperlink" Target="file://file-CALr7TJCnsgU3MBHoDMywD" TargetMode="External"/><Relationship Id="rId109" Type="http://schemas.openxmlformats.org/officeDocument/2006/relationships/hyperlink" Target="file://file-CALr7TJCnsgU3MBHoDMywD" TargetMode="External"/><Relationship Id="rId34" Type="http://schemas.openxmlformats.org/officeDocument/2006/relationships/hyperlink" Target="file://file-CALr7TJCnsgU3MBHoDMywD" TargetMode="External"/><Relationship Id="rId55" Type="http://schemas.openxmlformats.org/officeDocument/2006/relationships/hyperlink" Target="file://file-CALr7TJCnsgU3MBHoDMywD" TargetMode="External"/><Relationship Id="rId76" Type="http://schemas.openxmlformats.org/officeDocument/2006/relationships/hyperlink" Target="file://file-CALr7TJCnsgU3MBHoDMywD" TargetMode="External"/><Relationship Id="rId97" Type="http://schemas.openxmlformats.org/officeDocument/2006/relationships/hyperlink" Target="file://file-CALr7TJCnsgU3MBHoDMywD" TargetMode="External"/><Relationship Id="rId120" Type="http://schemas.openxmlformats.org/officeDocument/2006/relationships/hyperlink" Target="file://file-37tQjLxTxLBEKav2pFG2fG" TargetMode="External"/><Relationship Id="rId141" Type="http://schemas.openxmlformats.org/officeDocument/2006/relationships/hyperlink" Target="file://file-DiC1XyCpxRPbnEpkb3eJpt" TargetMode="External"/><Relationship Id="rId7" Type="http://schemas.openxmlformats.org/officeDocument/2006/relationships/hyperlink" Target="file://file-1hqs7SQFoNAgHecesTbTWr" TargetMode="External"/><Relationship Id="rId162" Type="http://schemas.openxmlformats.org/officeDocument/2006/relationships/hyperlink" Target="file://file-WNky93L3vexb4fv75DUPyg" TargetMode="External"/><Relationship Id="rId183" Type="http://schemas.openxmlformats.org/officeDocument/2006/relationships/hyperlink" Target="file://file-37tQjLxTxLBEKav2pFG2fG" TargetMode="External"/><Relationship Id="rId24" Type="http://schemas.openxmlformats.org/officeDocument/2006/relationships/hyperlink" Target="file://file-CALr7TJCnsgU3MBHoDMywD" TargetMode="External"/><Relationship Id="rId40" Type="http://schemas.openxmlformats.org/officeDocument/2006/relationships/hyperlink" Target="file://file-CALr7TJCnsgU3MBHoDMywD" TargetMode="External"/><Relationship Id="rId45" Type="http://schemas.openxmlformats.org/officeDocument/2006/relationships/hyperlink" Target="file://file-CALr7TJCnsgU3MBHoDMywD" TargetMode="External"/><Relationship Id="rId66" Type="http://schemas.openxmlformats.org/officeDocument/2006/relationships/hyperlink" Target="file://file-CALr7TJCnsgU3MBHoDMywD" TargetMode="External"/><Relationship Id="rId87" Type="http://schemas.openxmlformats.org/officeDocument/2006/relationships/hyperlink" Target="file://file-CALr7TJCnsgU3MBHoDMywD" TargetMode="External"/><Relationship Id="rId110" Type="http://schemas.openxmlformats.org/officeDocument/2006/relationships/hyperlink" Target="file://file-CALr7TJCnsgU3MBHoDMywD" TargetMode="External"/><Relationship Id="rId115" Type="http://schemas.openxmlformats.org/officeDocument/2006/relationships/hyperlink" Target="file://file-CALr7TJCnsgU3MBHoDMywD" TargetMode="External"/><Relationship Id="rId131" Type="http://schemas.openxmlformats.org/officeDocument/2006/relationships/hyperlink" Target="file://file-QaTYkD8raWkV9o4EcLQDoX" TargetMode="External"/><Relationship Id="rId136" Type="http://schemas.openxmlformats.org/officeDocument/2006/relationships/hyperlink" Target="file://file-5Rpd5q4pUucjLbUWqkyubG" TargetMode="External"/><Relationship Id="rId157" Type="http://schemas.openxmlformats.org/officeDocument/2006/relationships/hyperlink" Target="file://file-37tQjLxTxLBEKav2pFG2fG" TargetMode="External"/><Relationship Id="rId178" Type="http://schemas.openxmlformats.org/officeDocument/2006/relationships/hyperlink" Target="file://file-5Rpd5q4pUucjLbUWqkyubG" TargetMode="External"/><Relationship Id="rId61" Type="http://schemas.openxmlformats.org/officeDocument/2006/relationships/hyperlink" Target="file://file-CALr7TJCnsgU3MBHoDMywD" TargetMode="External"/><Relationship Id="rId82" Type="http://schemas.openxmlformats.org/officeDocument/2006/relationships/hyperlink" Target="file://file-CALr7TJCnsgU3MBHoDMywD" TargetMode="External"/><Relationship Id="rId152" Type="http://schemas.openxmlformats.org/officeDocument/2006/relationships/hyperlink" Target="file://file-WNky93L3vexb4fv75DUPyg" TargetMode="External"/><Relationship Id="rId173" Type="http://schemas.openxmlformats.org/officeDocument/2006/relationships/hyperlink" Target="file://file-RKAaEtBtKU1j39DP6Haznv" TargetMode="External"/><Relationship Id="rId194" Type="http://schemas.openxmlformats.org/officeDocument/2006/relationships/hyperlink" Target="file://file-RKAaEtBtKU1j39DP6Haznv" TargetMode="External"/><Relationship Id="rId199" Type="http://schemas.openxmlformats.org/officeDocument/2006/relationships/hyperlink" Target="file://file-CALr7TJCnsgU3MBHoDMywD" TargetMode="External"/><Relationship Id="rId203" Type="http://schemas.openxmlformats.org/officeDocument/2006/relationships/hyperlink" Target="file://file-DiC1XyCpxRPbnEpkb3eJpt" TargetMode="External"/><Relationship Id="rId19" Type="http://schemas.openxmlformats.org/officeDocument/2006/relationships/hyperlink" Target="file://file-CALr7TJCnsgU3MBHoDMywD" TargetMode="External"/><Relationship Id="rId14" Type="http://schemas.openxmlformats.org/officeDocument/2006/relationships/hyperlink" Target="file://file-CALr7TJCnsgU3MBHoDMywD" TargetMode="External"/><Relationship Id="rId30" Type="http://schemas.openxmlformats.org/officeDocument/2006/relationships/hyperlink" Target="file://file-CALr7TJCnsgU3MBHoDMywD" TargetMode="External"/><Relationship Id="rId35" Type="http://schemas.openxmlformats.org/officeDocument/2006/relationships/hyperlink" Target="file://file-CALr7TJCnsgU3MBHoDMywD" TargetMode="External"/><Relationship Id="rId56" Type="http://schemas.openxmlformats.org/officeDocument/2006/relationships/hyperlink" Target="file://file-PxoudN1LLLiQUUEbY7djRP" TargetMode="External"/><Relationship Id="rId77" Type="http://schemas.openxmlformats.org/officeDocument/2006/relationships/hyperlink" Target="file://file-CALr7TJCnsgU3MBHoDMywD" TargetMode="External"/><Relationship Id="rId100" Type="http://schemas.openxmlformats.org/officeDocument/2006/relationships/hyperlink" Target="file://file-CALr7TJCnsgU3MBHoDMywD" TargetMode="External"/><Relationship Id="rId105" Type="http://schemas.openxmlformats.org/officeDocument/2006/relationships/hyperlink" Target="file://file-CALr7TJCnsgU3MBHoDMywD" TargetMode="External"/><Relationship Id="rId126" Type="http://schemas.openxmlformats.org/officeDocument/2006/relationships/hyperlink" Target="file://file-RFX1gC7UWnTwKPukxYd6TP" TargetMode="External"/><Relationship Id="rId147" Type="http://schemas.openxmlformats.org/officeDocument/2006/relationships/hyperlink" Target="file://file-DiC1XyCpxRPbnEpkb3eJpt" TargetMode="External"/><Relationship Id="rId168" Type="http://schemas.openxmlformats.org/officeDocument/2006/relationships/hyperlink" Target="file://file-RKAaEtBtKU1j39DP6Haznv" TargetMode="External"/><Relationship Id="rId8" Type="http://schemas.openxmlformats.org/officeDocument/2006/relationships/hyperlink" Target="file://file-1hqs7SQFoNAgHecesTbTWr" TargetMode="External"/><Relationship Id="rId51" Type="http://schemas.openxmlformats.org/officeDocument/2006/relationships/hyperlink" Target="file://file-CALr7TJCnsgU3MBHoDMywD" TargetMode="External"/><Relationship Id="rId72" Type="http://schemas.openxmlformats.org/officeDocument/2006/relationships/hyperlink" Target="file://file-CALr7TJCnsgU3MBHoDMywD" TargetMode="External"/><Relationship Id="rId93" Type="http://schemas.openxmlformats.org/officeDocument/2006/relationships/hyperlink" Target="file://file-CALr7TJCnsgU3MBHoDMywD" TargetMode="External"/><Relationship Id="rId98" Type="http://schemas.openxmlformats.org/officeDocument/2006/relationships/hyperlink" Target="file://file-CALr7TJCnsgU3MBHoDMywD" TargetMode="External"/><Relationship Id="rId121" Type="http://schemas.openxmlformats.org/officeDocument/2006/relationships/hyperlink" Target="file://file-CALr7TJCnsgU3MBHoDMywD" TargetMode="External"/><Relationship Id="rId142" Type="http://schemas.openxmlformats.org/officeDocument/2006/relationships/hyperlink" Target="file://file-WNky93L3vexb4fv75DUPyg" TargetMode="External"/><Relationship Id="rId163" Type="http://schemas.openxmlformats.org/officeDocument/2006/relationships/hyperlink" Target="file://file-RKAaEtBtKU1j39DP6Haznv" TargetMode="External"/><Relationship Id="rId184" Type="http://schemas.openxmlformats.org/officeDocument/2006/relationships/hyperlink" Target="file://file-37tQjLxTxLBEKav2pFG2fG" TargetMode="External"/><Relationship Id="rId189" Type="http://schemas.openxmlformats.org/officeDocument/2006/relationships/hyperlink" Target="file://file-CALr7TJCnsgU3MBHoDMywD" TargetMode="External"/><Relationship Id="rId3" Type="http://schemas.openxmlformats.org/officeDocument/2006/relationships/settings" Target="settings.xml"/><Relationship Id="rId25" Type="http://schemas.openxmlformats.org/officeDocument/2006/relationships/hyperlink" Target="file://file-CALr7TJCnsgU3MBHoDMywD" TargetMode="External"/><Relationship Id="rId46" Type="http://schemas.openxmlformats.org/officeDocument/2006/relationships/hyperlink" Target="file://file-CALr7TJCnsgU3MBHoDMywD" TargetMode="External"/><Relationship Id="rId67" Type="http://schemas.openxmlformats.org/officeDocument/2006/relationships/hyperlink" Target="file://file-CALr7TJCnsgU3MBHoDMywD" TargetMode="External"/><Relationship Id="rId116" Type="http://schemas.openxmlformats.org/officeDocument/2006/relationships/hyperlink" Target="file://file-CALr7TJCnsgU3MBHoDMywD" TargetMode="External"/><Relationship Id="rId137" Type="http://schemas.openxmlformats.org/officeDocument/2006/relationships/hyperlink" Target="file://file-5Rpd5q4pUucjLbUWqkyubG" TargetMode="External"/><Relationship Id="rId158" Type="http://schemas.openxmlformats.org/officeDocument/2006/relationships/hyperlink" Target="file://file-37tQjLxTxLBEKav2pFG2fG" TargetMode="External"/><Relationship Id="rId20" Type="http://schemas.openxmlformats.org/officeDocument/2006/relationships/hyperlink" Target="file://file-CALr7TJCnsgU3MBHoDMywD" TargetMode="External"/><Relationship Id="rId41" Type="http://schemas.openxmlformats.org/officeDocument/2006/relationships/hyperlink" Target="file://file-CALr7TJCnsgU3MBHoDMywD" TargetMode="External"/><Relationship Id="rId62" Type="http://schemas.openxmlformats.org/officeDocument/2006/relationships/hyperlink" Target="file://file-CALr7TJCnsgU3MBHoDMywD" TargetMode="External"/><Relationship Id="rId83" Type="http://schemas.openxmlformats.org/officeDocument/2006/relationships/hyperlink" Target="file://file-CALr7TJCnsgU3MBHoDMywD" TargetMode="External"/><Relationship Id="rId88" Type="http://schemas.openxmlformats.org/officeDocument/2006/relationships/hyperlink" Target="file://file-CALr7TJCnsgU3MBHoDMywD" TargetMode="External"/><Relationship Id="rId111" Type="http://schemas.openxmlformats.org/officeDocument/2006/relationships/hyperlink" Target="file://file-CALr7TJCnsgU3MBHoDMywD" TargetMode="External"/><Relationship Id="rId132" Type="http://schemas.openxmlformats.org/officeDocument/2006/relationships/hyperlink" Target="file://file-QaTYkD8raWkV9o4EcLQDoX" TargetMode="External"/><Relationship Id="rId153" Type="http://schemas.openxmlformats.org/officeDocument/2006/relationships/hyperlink" Target="file://file-WNky93L3vexb4fv75DUPyg" TargetMode="External"/><Relationship Id="rId174" Type="http://schemas.openxmlformats.org/officeDocument/2006/relationships/hyperlink" Target="file://file-RKAaEtBtKU1j39DP6Haznv" TargetMode="External"/><Relationship Id="rId179" Type="http://schemas.openxmlformats.org/officeDocument/2006/relationships/hyperlink" Target="file://file-5Rpd5q4pUucjLbUWqkyubG" TargetMode="External"/><Relationship Id="rId195" Type="http://schemas.openxmlformats.org/officeDocument/2006/relationships/hyperlink" Target="file://file-CALr7TJCnsgU3MBHoDMywD" TargetMode="External"/><Relationship Id="rId190" Type="http://schemas.openxmlformats.org/officeDocument/2006/relationships/hyperlink" Target="file://file-CALr7TJCnsgU3MBHoDMywD" TargetMode="External"/><Relationship Id="rId204" Type="http://schemas.openxmlformats.org/officeDocument/2006/relationships/hyperlink" Target="file://file-DiC1XyCpxRPbnEpkb3eJpt" TargetMode="External"/><Relationship Id="rId15" Type="http://schemas.openxmlformats.org/officeDocument/2006/relationships/hyperlink" Target="file://file-CALr7TJCnsgU3MBHoDMywD" TargetMode="External"/><Relationship Id="rId36" Type="http://schemas.openxmlformats.org/officeDocument/2006/relationships/hyperlink" Target="file://file-CALr7TJCnsgU3MBHoDMywD" TargetMode="External"/><Relationship Id="rId57" Type="http://schemas.openxmlformats.org/officeDocument/2006/relationships/hyperlink" Target="file://file-CALr7TJCnsgU3MBHoDMywD" TargetMode="External"/><Relationship Id="rId106" Type="http://schemas.openxmlformats.org/officeDocument/2006/relationships/hyperlink" Target="file://file-CALr7TJCnsgU3MBHoDMywD" TargetMode="External"/><Relationship Id="rId127" Type="http://schemas.openxmlformats.org/officeDocument/2006/relationships/hyperlink" Target="file://file-RFX1gC7UWnTwKPukxYd6TP" TargetMode="External"/><Relationship Id="rId10" Type="http://schemas.openxmlformats.org/officeDocument/2006/relationships/hyperlink" Target="file://file-CALr7TJCnsgU3MBHoDMywD" TargetMode="External"/><Relationship Id="rId31" Type="http://schemas.openxmlformats.org/officeDocument/2006/relationships/hyperlink" Target="file://file-CALr7TJCnsgU3MBHoDMywD" TargetMode="External"/><Relationship Id="rId52" Type="http://schemas.openxmlformats.org/officeDocument/2006/relationships/hyperlink" Target="file://file-CALr7TJCnsgU3MBHoDMywD" TargetMode="External"/><Relationship Id="rId73" Type="http://schemas.openxmlformats.org/officeDocument/2006/relationships/hyperlink" Target="file://file-CALr7TJCnsgU3MBHoDMywD" TargetMode="External"/><Relationship Id="rId78" Type="http://schemas.openxmlformats.org/officeDocument/2006/relationships/hyperlink" Target="file://file-CALr7TJCnsgU3MBHoDMywD" TargetMode="External"/><Relationship Id="rId94" Type="http://schemas.openxmlformats.org/officeDocument/2006/relationships/hyperlink" Target="file://file-CALr7TJCnsgU3MBHoDMywD" TargetMode="External"/><Relationship Id="rId99" Type="http://schemas.openxmlformats.org/officeDocument/2006/relationships/hyperlink" Target="file://file-CALr7TJCnsgU3MBHoDMywD" TargetMode="External"/><Relationship Id="rId101" Type="http://schemas.openxmlformats.org/officeDocument/2006/relationships/hyperlink" Target="file://file-CALr7TJCnsgU3MBHoDMywD" TargetMode="External"/><Relationship Id="rId122" Type="http://schemas.openxmlformats.org/officeDocument/2006/relationships/hyperlink" Target="file://file-CALr7TJCnsgU3MBHoDMywD" TargetMode="External"/><Relationship Id="rId143" Type="http://schemas.openxmlformats.org/officeDocument/2006/relationships/hyperlink" Target="file://file-DiC1XyCpxRPbnEpkb3eJpt" TargetMode="External"/><Relationship Id="rId148" Type="http://schemas.openxmlformats.org/officeDocument/2006/relationships/hyperlink" Target="file://file-DiC1XyCpxRPbnEpkb3eJpt" TargetMode="External"/><Relationship Id="rId164" Type="http://schemas.openxmlformats.org/officeDocument/2006/relationships/hyperlink" Target="file://file-RKAaEtBtKU1j39DP6Haznv" TargetMode="External"/><Relationship Id="rId169" Type="http://schemas.openxmlformats.org/officeDocument/2006/relationships/hyperlink" Target="file://file-RKAaEtBtKU1j39DP6Haznv" TargetMode="External"/><Relationship Id="rId185" Type="http://schemas.openxmlformats.org/officeDocument/2006/relationships/hyperlink" Target="file://file-DiC1XyCpxRPbnEpkb3eJpt" TargetMode="External"/><Relationship Id="rId4" Type="http://schemas.openxmlformats.org/officeDocument/2006/relationships/webSettings" Target="webSettings.xml"/><Relationship Id="rId9" Type="http://schemas.openxmlformats.org/officeDocument/2006/relationships/hyperlink" Target="file://file-CALr7TJCnsgU3MBHoDMywD" TargetMode="External"/><Relationship Id="rId180" Type="http://schemas.openxmlformats.org/officeDocument/2006/relationships/hyperlink" Target="file://file-37tQjLxTxLBEKav2pFG2fG" TargetMode="External"/><Relationship Id="rId26" Type="http://schemas.openxmlformats.org/officeDocument/2006/relationships/hyperlink" Target="file://file-CALr7TJCnsgU3MBHoDMywD" TargetMode="External"/><Relationship Id="rId47" Type="http://schemas.openxmlformats.org/officeDocument/2006/relationships/hyperlink" Target="file://file-CALr7TJCnsgU3MBHoDMywD" TargetMode="External"/><Relationship Id="rId68" Type="http://schemas.openxmlformats.org/officeDocument/2006/relationships/hyperlink" Target="file://file-CALr7TJCnsgU3MBHoDMywD" TargetMode="External"/><Relationship Id="rId89" Type="http://schemas.openxmlformats.org/officeDocument/2006/relationships/hyperlink" Target="file://file-CALr7TJCnsgU3MBHoDMywD" TargetMode="External"/><Relationship Id="rId112" Type="http://schemas.openxmlformats.org/officeDocument/2006/relationships/hyperlink" Target="file://file-CALr7TJCnsgU3MBHoDMywD" TargetMode="External"/><Relationship Id="rId133" Type="http://schemas.openxmlformats.org/officeDocument/2006/relationships/hyperlink" Target="file://file-QaTYkD8raWkV9o4EcLQDoX" TargetMode="External"/><Relationship Id="rId154" Type="http://schemas.openxmlformats.org/officeDocument/2006/relationships/hyperlink" Target="file://file-WNky93L3vexb4fv75DUPyg" TargetMode="External"/><Relationship Id="rId175" Type="http://schemas.openxmlformats.org/officeDocument/2006/relationships/hyperlink" Target="file://file-WNky93L3vexb4fv75DUPyg" TargetMode="External"/><Relationship Id="rId196" Type="http://schemas.openxmlformats.org/officeDocument/2006/relationships/hyperlink" Target="file://file-CALr7TJCnsgU3MBHoDMywD" TargetMode="External"/><Relationship Id="rId200" Type="http://schemas.openxmlformats.org/officeDocument/2006/relationships/hyperlink" Target="file://file-CALr7TJCnsgU3MBHoDMywD" TargetMode="External"/><Relationship Id="rId16" Type="http://schemas.openxmlformats.org/officeDocument/2006/relationships/hyperlink" Target="file://file-CALr7TJCnsgU3MBHoDMywD" TargetMode="External"/><Relationship Id="rId37" Type="http://schemas.openxmlformats.org/officeDocument/2006/relationships/hyperlink" Target="file://file-CALr7TJCnsgU3MBHoDMywD" TargetMode="External"/><Relationship Id="rId58" Type="http://schemas.openxmlformats.org/officeDocument/2006/relationships/hyperlink" Target="file://file-CALr7TJCnsgU3MBHoDMywD" TargetMode="External"/><Relationship Id="rId79" Type="http://schemas.openxmlformats.org/officeDocument/2006/relationships/hyperlink" Target="file://file-CALr7TJCnsgU3MBHoDMywD" TargetMode="External"/><Relationship Id="rId102" Type="http://schemas.openxmlformats.org/officeDocument/2006/relationships/hyperlink" Target="file://file-CALr7TJCnsgU3MBHoDMywD" TargetMode="External"/><Relationship Id="rId123" Type="http://schemas.openxmlformats.org/officeDocument/2006/relationships/hyperlink" Target="file://file-CALr7TJCnsgU3MBHoDMywD" TargetMode="External"/><Relationship Id="rId144" Type="http://schemas.openxmlformats.org/officeDocument/2006/relationships/hyperlink" Target="file://file-DiC1XyCpxRPbnEpkb3eJpt" TargetMode="External"/><Relationship Id="rId90" Type="http://schemas.openxmlformats.org/officeDocument/2006/relationships/hyperlink" Target="file://file-CALr7TJCnsgU3MBHoDMywD" TargetMode="External"/><Relationship Id="rId165" Type="http://schemas.openxmlformats.org/officeDocument/2006/relationships/hyperlink" Target="file://file-RKAaEtBtKU1j39DP6Haznv" TargetMode="External"/><Relationship Id="rId186" Type="http://schemas.openxmlformats.org/officeDocument/2006/relationships/hyperlink" Target="file://file-DiC1XyCpxRPbnEpkb3eJpt" TargetMode="External"/><Relationship Id="rId27" Type="http://schemas.openxmlformats.org/officeDocument/2006/relationships/hyperlink" Target="file://file-CALr7TJCnsgU3MBHoDMywD" TargetMode="External"/><Relationship Id="rId48" Type="http://schemas.openxmlformats.org/officeDocument/2006/relationships/hyperlink" Target="file://file-CALr7TJCnsgU3MBHoDMywD" TargetMode="External"/><Relationship Id="rId69" Type="http://schemas.openxmlformats.org/officeDocument/2006/relationships/hyperlink" Target="file://file-CALr7TJCnsgU3MBHoDMywD" TargetMode="External"/><Relationship Id="rId113" Type="http://schemas.openxmlformats.org/officeDocument/2006/relationships/hyperlink" Target="file://file-CALr7TJCnsgU3MBHoDMywD" TargetMode="External"/><Relationship Id="rId134" Type="http://schemas.openxmlformats.org/officeDocument/2006/relationships/hyperlink" Target="file://file-QaTYkD8raWkV9o4EcLQDoX" TargetMode="External"/><Relationship Id="rId80" Type="http://schemas.openxmlformats.org/officeDocument/2006/relationships/hyperlink" Target="file://file-CALr7TJCnsgU3MBHoDMywD" TargetMode="External"/><Relationship Id="rId155" Type="http://schemas.openxmlformats.org/officeDocument/2006/relationships/hyperlink" Target="file://file-WNky93L3vexb4fv75DUPyg" TargetMode="External"/><Relationship Id="rId176" Type="http://schemas.openxmlformats.org/officeDocument/2006/relationships/hyperlink" Target="file://file-WNky93L3vexb4fv75DUPyg" TargetMode="External"/><Relationship Id="rId197" Type="http://schemas.openxmlformats.org/officeDocument/2006/relationships/hyperlink" Target="file://file-1hqs7SQFoNAgHecesTbTWr" TargetMode="External"/><Relationship Id="rId201" Type="http://schemas.openxmlformats.org/officeDocument/2006/relationships/hyperlink" Target="file://file-RKAaEtBtKU1j39DP6Haznv" TargetMode="External"/><Relationship Id="rId17" Type="http://schemas.openxmlformats.org/officeDocument/2006/relationships/hyperlink" Target="file://file-CALr7TJCnsgU3MBHoDMywD" TargetMode="External"/><Relationship Id="rId38" Type="http://schemas.openxmlformats.org/officeDocument/2006/relationships/hyperlink" Target="file://file-CALr7TJCnsgU3MBHoDMywD" TargetMode="External"/><Relationship Id="rId59" Type="http://schemas.openxmlformats.org/officeDocument/2006/relationships/hyperlink" Target="file://file-CALr7TJCnsgU3MBHoDMywD" TargetMode="External"/><Relationship Id="rId103" Type="http://schemas.openxmlformats.org/officeDocument/2006/relationships/hyperlink" Target="file://file-CALr7TJCnsgU3MBHoDMywD" TargetMode="External"/><Relationship Id="rId124" Type="http://schemas.openxmlformats.org/officeDocument/2006/relationships/hyperlink" Target="file://file-DiC1XyCpxRPbnEpkb3eJpt" TargetMode="External"/><Relationship Id="rId70" Type="http://schemas.openxmlformats.org/officeDocument/2006/relationships/hyperlink" Target="file://file-CALr7TJCnsgU3MBHoDMywD" TargetMode="External"/><Relationship Id="rId91" Type="http://schemas.openxmlformats.org/officeDocument/2006/relationships/hyperlink" Target="file://file-CALr7TJCnsgU3MBHoDMywD" TargetMode="External"/><Relationship Id="rId145" Type="http://schemas.openxmlformats.org/officeDocument/2006/relationships/hyperlink" Target="file://file-DiC1XyCpxRPbnEpkb3eJpt" TargetMode="External"/><Relationship Id="rId166" Type="http://schemas.openxmlformats.org/officeDocument/2006/relationships/hyperlink" Target="file://file-RKAaEtBtKU1j39DP6Haznv" TargetMode="External"/><Relationship Id="rId187" Type="http://schemas.openxmlformats.org/officeDocument/2006/relationships/hyperlink" Target="file://file-QaTYkD8raWkV9o4EcLQDoX" TargetMode="External"/><Relationship Id="rId1" Type="http://schemas.openxmlformats.org/officeDocument/2006/relationships/numbering" Target="numbering.xml"/><Relationship Id="rId28" Type="http://schemas.openxmlformats.org/officeDocument/2006/relationships/hyperlink" Target="file://file-CALr7TJCnsgU3MBHoDMywD" TargetMode="External"/><Relationship Id="rId49" Type="http://schemas.openxmlformats.org/officeDocument/2006/relationships/hyperlink" Target="file://file-CALr7TJCnsgU3MBHoDMywD" TargetMode="External"/><Relationship Id="rId114" Type="http://schemas.openxmlformats.org/officeDocument/2006/relationships/hyperlink" Target="file://file-CALr7TJCnsgU3MBHoDMywD" TargetMode="External"/><Relationship Id="rId60" Type="http://schemas.openxmlformats.org/officeDocument/2006/relationships/hyperlink" Target="file://file-CALr7TJCnsgU3MBHoDMywD" TargetMode="External"/><Relationship Id="rId81" Type="http://schemas.openxmlformats.org/officeDocument/2006/relationships/hyperlink" Target="file://file-CALr7TJCnsgU3MBHoDMywD" TargetMode="External"/><Relationship Id="rId135" Type="http://schemas.openxmlformats.org/officeDocument/2006/relationships/hyperlink" Target="file://file-5Rpd5q4pUucjLbUWqkyubG" TargetMode="External"/><Relationship Id="rId156" Type="http://schemas.openxmlformats.org/officeDocument/2006/relationships/hyperlink" Target="file://file-WNky93L3vexb4fv75DUPyg" TargetMode="External"/><Relationship Id="rId177" Type="http://schemas.openxmlformats.org/officeDocument/2006/relationships/hyperlink" Target="file://file-WNky93L3vexb4fv75DUPyg" TargetMode="External"/><Relationship Id="rId198" Type="http://schemas.openxmlformats.org/officeDocument/2006/relationships/hyperlink" Target="file://file-1hqs7SQFoNAgHecesTbTWr" TargetMode="External"/><Relationship Id="rId202" Type="http://schemas.openxmlformats.org/officeDocument/2006/relationships/hyperlink" Target="file://file-RKAaEtBtKU1j39DP6Haznv" TargetMode="External"/><Relationship Id="rId18" Type="http://schemas.openxmlformats.org/officeDocument/2006/relationships/hyperlink" Target="file://file-CALr7TJCnsgU3MBHoDMywD" TargetMode="External"/><Relationship Id="rId39" Type="http://schemas.openxmlformats.org/officeDocument/2006/relationships/hyperlink" Target="file://file-CALr7TJCnsgU3MBHoDMywD" TargetMode="External"/><Relationship Id="rId50" Type="http://schemas.openxmlformats.org/officeDocument/2006/relationships/hyperlink" Target="file://file-CALr7TJCnsgU3MBHoDMywD" TargetMode="External"/><Relationship Id="rId104" Type="http://schemas.openxmlformats.org/officeDocument/2006/relationships/hyperlink" Target="file://file-CALr7TJCnsgU3MBHoDMywD" TargetMode="External"/><Relationship Id="rId125" Type="http://schemas.openxmlformats.org/officeDocument/2006/relationships/hyperlink" Target="file://file-DiC1XyCpxRPbnEpkb3eJpt" TargetMode="External"/><Relationship Id="rId146" Type="http://schemas.openxmlformats.org/officeDocument/2006/relationships/hyperlink" Target="file://file-DiC1XyCpxRPbnEpkb3eJpt" TargetMode="External"/><Relationship Id="rId167" Type="http://schemas.openxmlformats.org/officeDocument/2006/relationships/hyperlink" Target="file://file-RKAaEtBtKU1j39DP6Haznv" TargetMode="External"/><Relationship Id="rId188" Type="http://schemas.openxmlformats.org/officeDocument/2006/relationships/hyperlink" Target="file://file-QaTYkD8raWkV9o4EcLQDoX" TargetMode="External"/><Relationship Id="rId71" Type="http://schemas.openxmlformats.org/officeDocument/2006/relationships/hyperlink" Target="file://file-CALr7TJCnsgU3MBHoDMywD" TargetMode="External"/><Relationship Id="rId92" Type="http://schemas.openxmlformats.org/officeDocument/2006/relationships/hyperlink" Target="file://file-CALr7TJCnsgU3MBHoDMywD" TargetMode="External"/><Relationship Id="rId2" Type="http://schemas.openxmlformats.org/officeDocument/2006/relationships/styles" Target="styles.xml"/><Relationship Id="rId29" Type="http://schemas.openxmlformats.org/officeDocument/2006/relationships/hyperlink" Target="file://file-CALr7TJCnsgU3MBHoDMy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16475</Words>
  <Characters>90613</Characters>
  <Application>Microsoft Office Word</Application>
  <DocSecurity>0</DocSecurity>
  <Lines>755</Lines>
  <Paragraphs>213</Paragraphs>
  <ScaleCrop>false</ScaleCrop>
  <Company/>
  <LinksUpToDate>false</LinksUpToDate>
  <CharactersWithSpaces>106875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Luis Paul Rodríguez</dc:creator>
  <cp:keywords/>
  <cp:lastModifiedBy>Dr. Luis Paul Rodríguez</cp:lastModifiedBy>
  <cp:revision>3</cp:revision>
  <dcterms:created xsi:type="dcterms:W3CDTF">2026-01-03T22:37:00Z</dcterms:created>
  <dcterms:modified xsi:type="dcterms:W3CDTF">2026-01-04T19:12:00Z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