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sz w:val="32"/>
          <w:szCs w:val="32"/>
        </w:rPr>
        <w:t>Over-representation of Genes With Respect to Function is a Very Weak Sign of Synergy</w:t>
      </w:r>
    </w:p>
    <w:p>
      <w:pPr>
        <w:pStyle w:val="style0"/>
        <w:spacing w:after="0" w:before="86"/>
        <w:contextualSpacing w:val="false"/>
      </w:pPr>
      <w:r>
        <w:rPr/>
      </w:r>
    </w:p>
    <w:p>
      <w:pPr>
        <w:pStyle w:val="style0"/>
        <w:spacing w:after="0" w:before="86"/>
        <w:contextualSpacing w:val="false"/>
        <w:jc w:val="center"/>
      </w:pPr>
      <w:r>
        <w:rPr>
          <w:i/>
          <w:iCs/>
          <w:sz w:val="20"/>
          <w:szCs w:val="20"/>
        </w:rPr>
        <w:t>Luis Pedro Coelho</w:t>
      </w:r>
    </w:p>
    <w:p>
      <w:pPr>
        <w:pStyle w:val="style0"/>
        <w:spacing w:after="0" w:before="86"/>
        <w:contextualSpacing w:val="false"/>
        <w:jc w:val="center"/>
      </w:pPr>
      <w:bookmarkStart w:id="0" w:name="__DdeLink__128_1247536446"/>
      <w:r>
        <w:rPr>
          <w:i/>
          <w:iCs/>
          <w:sz w:val="20"/>
          <w:szCs w:val="20"/>
        </w:rPr>
        <w:t>Instituto de Medicina Molecular, Faculdade de Medicina da</w:t>
      </w:r>
      <w:bookmarkEnd w:id="0"/>
      <w:r>
        <w:rPr>
          <w:i/>
          <w:iCs/>
          <w:sz w:val="20"/>
          <w:szCs w:val="20"/>
        </w:rPr>
        <w:t xml:space="preserve"> Universidade de Lisboa, Lisboa, Portugal</w:t>
      </w:r>
    </w:p>
    <w:p>
      <w:pPr>
        <w:pStyle w:val="style0"/>
        <w:spacing w:after="0" w:before="86"/>
        <w:contextualSpacing w:val="false"/>
        <w:jc w:val="center"/>
      </w:pPr>
      <w:r>
        <w:rPr/>
      </w:r>
    </w:p>
    <w:p>
      <w:pPr>
        <w:pStyle w:val="style0"/>
        <w:spacing w:after="0" w:before="86"/>
        <w:contextualSpacing w:val="false"/>
        <w:jc w:val="center"/>
      </w:pPr>
      <w:r>
        <w:rPr/>
      </w:r>
    </w:p>
    <w:p>
      <w:pPr>
        <w:pStyle w:val="style0"/>
        <w:spacing w:after="0" w:before="86"/>
        <w:contextualSpacing w:val="false"/>
      </w:pPr>
      <w:r>
        <w:rPr>
          <w:b/>
        </w:rPr>
        <w:t>Summary Sentence</w:t>
      </w:r>
      <w:r>
        <w:rPr/>
        <w:t xml:space="preserve">: </w:t>
      </w:r>
      <w:r>
        <w:rPr>
          <w:rFonts w:cs="DejaVu Sans Condensed"/>
        </w:rPr>
        <w:t xml:space="preserve">The </w:t>
      </w:r>
      <w:r>
        <w:rPr>
          <w:rFonts w:cs="DejaVu Sans Condensed"/>
        </w:rPr>
        <w:t xml:space="preserve">starting </w:t>
      </w:r>
      <w:r>
        <w:rPr>
          <w:rFonts w:cs="DejaVu Sans Condensed"/>
        </w:rPr>
        <w:t xml:space="preserve">assumption </w:t>
      </w:r>
      <w:r>
        <w:rPr>
          <w:rFonts w:cs="DejaVu Sans Condensed"/>
        </w:rPr>
        <w:t>wa</w:t>
      </w:r>
      <w:r>
        <w:rPr>
          <w:rFonts w:cs="DejaVu Sans Condensed"/>
        </w:rPr>
        <w:t>s that two drugs will act in a synergistic fashion if they disturb different genes with similar functionality</w:t>
      </w:r>
      <w:r>
        <w:rPr>
          <w:rFonts w:cs="DejaVu Sans Condensed"/>
        </w:rPr>
        <w:t>.</w:t>
      </w:r>
    </w:p>
    <w:p>
      <w:pPr>
        <w:pStyle w:val="style0"/>
        <w:spacing w:after="0" w:before="86"/>
        <w:contextualSpacing w:val="false"/>
      </w:pPr>
      <w:r>
        <w:rPr/>
      </w:r>
    </w:p>
    <w:p>
      <w:pPr>
        <w:pStyle w:val="style0"/>
        <w:spacing w:after="0" w:before="86"/>
        <w:contextualSpacing w:val="false"/>
      </w:pPr>
      <w:r>
        <w:rPr>
          <w:b/>
        </w:rPr>
        <w:t>Background/Introduction</w:t>
      </w:r>
    </w:p>
    <w:p>
      <w:pPr>
        <w:pStyle w:val="style0"/>
        <w:spacing w:after="0" w:before="86"/>
        <w:contextualSpacing w:val="false"/>
      </w:pPr>
      <w:r>
        <w:rPr/>
        <w:t xml:space="preserve">We assumed that synergy would come from multiple drugs affecting different genes with similar </w:t>
      </w:r>
      <w:r>
        <w:rPr/>
        <w:t>function as these would then complement each other rather than be independent perturbations</w:t>
      </w:r>
      <w:r>
        <w:rPr/>
        <w:t xml:space="preserve"> (Léhar et al., 2007; Yeh et al., 2009).</w:t>
      </w:r>
    </w:p>
    <w:p>
      <w:pPr>
        <w:pStyle w:val="style0"/>
        <w:spacing w:after="0" w:before="86"/>
        <w:contextualSpacing w:val="false"/>
      </w:pPr>
      <w:r>
        <w:rPr/>
        <w:t>In order to detect this class of situations, we first detected a set of perturbed genes. We then mapped these to GO terms to obtain a set of perturbed GO terms. For any pair of drugs, we can measure the similarity between their perturbed GO term sets and predict the similarity in genes sets. If the actual similarity in genes is lower than predicted, then this pair is assumed to be synergistic.</w:t>
      </w:r>
    </w:p>
    <w:p>
      <w:pPr>
        <w:pStyle w:val="style0"/>
        <w:spacing w:after="0" w:before="86"/>
        <w:contextualSpacing w:val="false"/>
      </w:pPr>
      <w:r>
        <w:rPr>
          <w:b/>
        </w:rPr>
        <w:t>Methods</w:t>
      </w:r>
    </w:p>
    <w:p>
      <w:pPr>
        <w:pStyle w:val="style0"/>
        <w:spacing w:after="0" w:before="86"/>
        <w:contextualSpacing w:val="false"/>
      </w:pPr>
      <w:r>
        <w:rPr>
          <w:rFonts w:cs="DejaVu Sans Condensed"/>
        </w:rPr>
        <w:t>As a f</w:t>
      </w:r>
      <w:r>
        <w:rPr>
          <w:rFonts w:cs="DejaVu Sans Condensed"/>
        </w:rPr>
        <w:t xml:space="preserve">irst </w:t>
      </w:r>
      <w:r>
        <w:rPr>
          <w:rFonts w:cs="DejaVu Sans Condensed"/>
        </w:rPr>
        <w:t>step</w:t>
      </w:r>
      <w:r>
        <w:rPr>
          <w:rFonts w:cs="DejaVu Sans Condensed"/>
        </w:rPr>
        <w:t>, the media and DMSO data was used to determine a baseline variation and genes were considered disturbed if they moved more than 1.5 standard deviations away from the mean at any time point. This is a noisy measurement, but it will only be used very indirectly. We had tried stricter measures (e.g., 1.5 std. deviations on multiple time-points) but those led to a very small number of perturbed genes on some drugs (including no perturbation).</w:t>
      </w:r>
    </w:p>
    <w:p>
      <w:pPr>
        <w:pStyle w:val="style0"/>
        <w:spacing w:after="0" w:before="86"/>
        <w:contextualSpacing w:val="false"/>
      </w:pPr>
      <w:r>
        <w:rPr>
          <w:rFonts w:cs="DejaVu Sans Condensed"/>
        </w:rPr>
        <w:t>We applied the same procedure after grouping genes by GO terms. This grouping was performed by assigning to each GO term and condition the sum of all the expression value of all genes that are associated with this term. After filtering as above, we obtained a set of GO terms. Only the molecular function vocabulary was used for submission.</w:t>
      </w:r>
    </w:p>
    <w:p>
      <w:pPr>
        <w:pStyle w:val="style0"/>
        <w:spacing w:after="0" w:before="86"/>
        <w:contextualSpacing w:val="false"/>
      </w:pPr>
      <w:r>
        <w:rPr>
          <w:rFonts w:cs="DejaVu Sans Condensed"/>
        </w:rPr>
        <w:t>Each drug was thus characterized by two signatures:</w:t>
      </w:r>
    </w:p>
    <w:p>
      <w:pPr>
        <w:pStyle w:val="style0"/>
        <w:numPr>
          <w:ilvl w:val="0"/>
          <w:numId w:val="1"/>
        </w:numPr>
        <w:spacing w:after="0" w:before="86"/>
        <w:contextualSpacing w:val="false"/>
      </w:pPr>
      <w:r>
        <w:rPr>
          <w:rFonts w:cs="DejaVu Sans Condensed"/>
        </w:rPr>
        <w:t>A set of disturbed genes, represented as a binary vector,</w:t>
      </w:r>
      <w:r>
        <w:rPr/>
      </w:r>
      <m:oMath xmlns:m="http://schemas.openxmlformats.org/officeDocument/2006/math">
        <m:acc>
          <m:accPr>
            <m:chr m:val="⃗"/>
          </m:accPr>
          <m:e>
            <m:sSub>
              <m:e>
                <m:r>
                  <w:rPr>
                    <w:rFonts w:ascii="Cambria Math" w:hAnsi="Cambria Math"/>
                  </w:rPr>
                  <m:t xml:space="preserve">g</m:t>
                </m:r>
              </m:e>
              <m:sub>
                <m:r>
                  <w:rPr>
                    <w:rFonts w:ascii="Cambria Math" w:hAnsi="Cambria Math"/>
                  </w:rPr>
                  <m:t xml:space="preserve">i</m:t>
                </m:r>
              </m:sub>
            </m:sSub>
          </m:e>
        </m:acc>
      </m:oMath>
      <w:r>
        <w:rPr>
          <w:rFonts w:cs="DejaVu Sans Condensed"/>
        </w:rPr>
        <w:t>.</w:t>
      </w:r>
    </w:p>
    <w:p>
      <w:pPr>
        <w:pStyle w:val="style0"/>
        <w:numPr>
          <w:ilvl w:val="0"/>
          <w:numId w:val="1"/>
        </w:numPr>
        <w:spacing w:after="0" w:before="86"/>
        <w:contextualSpacing w:val="false"/>
      </w:pPr>
      <w:r>
        <w:rPr>
          <w:rFonts w:cs="DejaVu Sans Condensed"/>
        </w:rPr>
        <w:t xml:space="preserve">A set of disturbed molecular function GO terms, equally represented as a binary vector,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i</m:t>
                </m:r>
              </m:sub>
            </m:sSub>
          </m:e>
        </m:acc>
      </m:oMath>
      <w:r>
        <w:rPr>
          <w:rFonts w:cs="DejaVu Sans Condensed"/>
        </w:rPr>
        <w:t>.</w:t>
      </w:r>
    </w:p>
    <w:p>
      <w:pPr>
        <w:pStyle w:val="style0"/>
        <w:spacing w:after="0" w:before="86"/>
        <w:contextualSpacing w:val="false"/>
      </w:pPr>
      <w:r>
        <w:rPr/>
      </w:r>
    </w:p>
    <w:p>
      <w:pPr>
        <w:pStyle w:val="style0"/>
        <w:spacing w:after="0" w:before="86"/>
        <w:contextualSpacing w:val="false"/>
      </w:pPr>
      <w:r>
        <w:rPr>
          <w:rFonts w:cs="DejaVu Sans Condensed"/>
        </w:rPr>
        <w:t xml:space="preserve">For each pair of drugs, we computed the Pearson correlation of the gene perturbation vectors,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oMath>
      <w:r>
        <w:rPr>
          <w:rFonts w:cs="DejaVu Sans Condensed"/>
        </w:rPr>
        <w:t xml:space="preserve">, and its GO terms perturbation vector,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rFonts w:cs="DejaVu Sans Condensed"/>
        </w:rPr>
        <w:t xml:space="preserve">. There is a roughly linear correlation between these two values,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α</m:t>
        </m:r>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β</m:t>
        </m:r>
      </m:oMath>
      <w:r>
        <w:rPr/>
        <w:t>,as can be seen in Figure 1.</w:t>
      </w:r>
    </w:p>
    <w:p>
      <w:pPr>
        <w:pStyle w:val="style0"/>
        <w:spacing w:after="0" w:before="86"/>
        <w:contextualSpacing w:val="false"/>
      </w:pPr>
      <w:r>
        <w:rPr/>
        <w:drawing>
          <wp:anchor allowOverlap="1" behindDoc="0" distB="0" distL="0" distR="0" distT="0" layoutInCell="1" locked="0" relativeHeight="0" simplePos="0">
            <wp:simplePos x="0" y="0"/>
            <wp:positionH relativeFrom="character">
              <wp:posOffset>1463040</wp:posOffset>
            </wp:positionH>
            <wp:positionV relativeFrom="line">
              <wp:posOffset>-305435</wp:posOffset>
            </wp:positionV>
            <wp:extent cx="2560320" cy="19202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60320" cy="1920240"/>
                    </a:xfrm>
                    <a:prstGeom prst="rect">
                      <a:avLst/>
                    </a:prstGeom>
                    <a:noFill/>
                    <a:ln w="9525">
                      <a:noFill/>
                      <a:miter lim="800000"/>
                      <a:headEnd/>
                      <a:tailEnd/>
                    </a:ln>
                  </pic:spPr>
                </pic:pic>
              </a:graphicData>
            </a:graphic>
          </wp:anchor>
        </w:drawing>
      </w:r>
    </w:p>
    <w:p>
      <w:pPr>
        <w:pStyle w:val="style0"/>
        <w:spacing w:after="0" w:before="86"/>
        <w:contextualSpacing w:val="false"/>
      </w:pPr>
      <w:r>
        <w:rPr/>
      </w:r>
    </w:p>
    <w:p>
      <w:pPr>
        <w:pStyle w:val="style0"/>
        <w:spacing w:after="0" w:before="86"/>
        <w:contextualSpacing w:val="false"/>
      </w:pPr>
      <w:r>
        <w:rPr>
          <w:i/>
          <w:iCs/>
          <w:sz w:val="20"/>
          <w:szCs w:val="20"/>
        </w:rPr>
        <w:t>Figure 1: Gene correlations as a function of GO term correlations. Each circle represents a drug pair, the straight line is the best least-squares fit.</w:t>
      </w:r>
    </w:p>
    <w:p>
      <w:pPr>
        <w:pStyle w:val="style0"/>
        <w:spacing w:after="0" w:before="86"/>
        <w:contextualSpacing w:val="false"/>
      </w:pPr>
      <w:r>
        <w:rPr/>
      </w:r>
    </w:p>
    <w:p>
      <w:pPr>
        <w:pStyle w:val="style0"/>
        <w:spacing w:after="0" w:before="86"/>
        <w:contextualSpacing w:val="false"/>
      </w:pPr>
      <w:r>
        <w:rPr>
          <w:rFonts w:cs="DejaVu Sans Condensed"/>
        </w:rPr>
        <w:t>However, the  is not perfect. the distance to the regression line is our measure of synergy. Drugs pairs for which the genes are less correlated than predicted by the correlation at the GO term were predicted to be synergistic.</w:t>
      </w:r>
    </w:p>
    <w:p>
      <w:pPr>
        <w:pStyle w:val="style0"/>
        <w:spacing w:after="0" w:before="86"/>
        <w:contextualSpacing w:val="false"/>
      </w:pPr>
      <w:r>
        <w:rPr/>
      </w:r>
    </w:p>
    <w:p>
      <w:pPr>
        <w:pStyle w:val="style0"/>
        <w:spacing w:after="0" w:before="86"/>
        <w:contextualSpacing w:val="false"/>
      </w:pPr>
      <w:r>
        <w:rPr>
          <w:b/>
        </w:rPr>
        <w:t>Conclusion/Discussion</w:t>
      </w:r>
    </w:p>
    <w:p>
      <w:pPr>
        <w:pStyle w:val="style0"/>
        <w:spacing w:after="0" w:before="86"/>
        <w:contextualSpacing w:val="false"/>
      </w:pPr>
      <w:r>
        <w:rPr>
          <w:rFonts w:cs="DejaVu Sans Condensed"/>
          <w:b w:val="false"/>
          <w:bCs w:val="false"/>
        </w:rPr>
        <w:t>This method was very simple and it obtained only mediocre results. 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In retrospect, this may have been a better embodiment of the idea that was underlying this method, but the result is still of limited value, as the resulting p-value is 21%.</w:t>
      </w:r>
    </w:p>
    <w:p>
      <w:pPr>
        <w:pStyle w:val="style0"/>
        <w:spacing w:after="0" w:before="86"/>
        <w:contextualSpacing w:val="false"/>
      </w:pPr>
      <w:r>
        <w:rPr>
          <w:rFonts w:cs="DejaVu Sans Condensed"/>
          <w:b w:val="false"/>
          <w:bCs w:val="false"/>
        </w:rPr>
        <w:t>Another variation results from reversing the prediction and predict GO term correlation based on gene correlation, with synergy being again measured as the deviation from prediction. The best results are obtained with the molecular function, or the biological process vocabularies, or both combined. These three combinations all result in p-values of 16% or 17%.</w:t>
      </w:r>
    </w:p>
    <w:p>
      <w:pPr>
        <w:pStyle w:val="style0"/>
        <w:spacing w:after="0" w:before="86"/>
        <w:contextualSpacing w:val="false"/>
      </w:pPr>
      <w:r>
        <w:rPr/>
        <w:t xml:space="preserve">We thus conclude that </w:t>
      </w:r>
      <w:r>
        <w:rPr/>
        <w:t xml:space="preserve">fundamentally, this model was of limited value </w:t>
      </w:r>
      <w:r>
        <w:rPr/>
        <w:t>a</w:t>
      </w:r>
      <w:r>
        <w:rPr/>
        <w:t>nd a</w:t>
      </w:r>
      <w:r>
        <w:rPr/>
        <w:t xml:space="preserve"> richer model </w:t>
      </w:r>
      <w:r>
        <w:rPr/>
        <w:t xml:space="preserve">would </w:t>
      </w:r>
      <w:r>
        <w:rPr/>
        <w:t>have been necessary for adequate prediction.</w:t>
      </w:r>
    </w:p>
    <w:p>
      <w:pPr>
        <w:pStyle w:val="style0"/>
        <w:spacing w:after="0" w:before="86"/>
        <w:contextualSpacing w:val="false"/>
      </w:pPr>
      <w:r>
        <w:rPr/>
      </w:r>
    </w:p>
    <w:p>
      <w:pPr>
        <w:pStyle w:val="style0"/>
        <w:spacing w:after="0" w:before="86"/>
        <w:contextualSpacing w:val="false"/>
      </w:pPr>
      <w:r>
        <w:rPr>
          <w:b/>
        </w:rPr>
        <w:t>References</w:t>
      </w:r>
    </w:p>
    <w:p>
      <w:pPr>
        <w:pStyle w:val="style0"/>
        <w:spacing w:after="0" w:before="86"/>
        <w:contextualSpacing w:val="false"/>
      </w:pPr>
      <w:r>
        <w:rPr/>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after="0" w:before="86" w:line="240" w:lineRule="atLeast"/>
        <w:ind w:hanging="0" w:left="0" w:right="0"/>
        <w:contextualSpacing w:val="false"/>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Lehár, Joseph, et al. "Chemical combination effects predict connectivity in biological systems." </w:t>
      </w:r>
      <w:r>
        <w:rPr>
          <w:rFonts w:ascii="Arial;sans-serif" w:hAnsi="Arial;sans-serif"/>
          <w:b w:val="false"/>
          <w:i/>
          <w:caps w:val="false"/>
          <w:smallCaps w:val="false"/>
          <w:color w:val="222222"/>
          <w:spacing w:val="0"/>
          <w:sz w:val="20"/>
        </w:rPr>
        <w:t>Molecular systems biology</w:t>
      </w:r>
      <w:r>
        <w:rPr>
          <w:rFonts w:ascii="Verdana;arial;Helvetica;sans-serif" w:hAnsi="Verdana;arial;Helvetica;sans-serif"/>
          <w:b w:val="false"/>
          <w:i w:val="false"/>
          <w:caps w:val="false"/>
          <w:smallCaps w:val="false"/>
          <w:color w:val="222222"/>
          <w:spacing w:val="0"/>
          <w:sz w:val="20"/>
        </w:rPr>
        <w:t> </w:t>
      </w:r>
      <w:r>
        <w:rPr>
          <w:rFonts w:ascii="Arial;sans-serif" w:hAnsi="Arial;sans-serif"/>
          <w:b w:val="false"/>
          <w:i w:val="false"/>
          <w:caps w:val="false"/>
          <w:smallCaps w:val="false"/>
          <w:color w:val="222222"/>
          <w:spacing w:val="0"/>
          <w:sz w:val="20"/>
        </w:rPr>
        <w:t>3.1 (2007).</w:t>
      </w:r>
    </w:p>
    <w:p>
      <w:pPr>
        <w:pStyle w:val="style0"/>
        <w:widowControl/>
        <w:spacing w:after="0" w:before="86" w:line="240" w:lineRule="atLeast"/>
        <w:ind w:hanging="0" w:left="0" w:right="0"/>
        <w:contextualSpacing w:val="false"/>
      </w:pPr>
      <w:r>
        <w:rPr/>
      </w:r>
    </w:p>
    <w:p>
      <w:pPr>
        <w:pStyle w:val="style0"/>
        <w:spacing w:after="0" w:before="86"/>
        <w:contextualSpacing w:val="false"/>
      </w:pPr>
      <w:r>
        <w:rPr>
          <w:b/>
        </w:rPr>
        <w:t>Authors Statement</w:t>
      </w:r>
    </w:p>
    <w:p>
      <w:pPr>
        <w:pStyle w:val="style0"/>
        <w:spacing w:after="0" w:before="86"/>
        <w:contextualSpacing w:val="false"/>
      </w:pPr>
      <w:r>
        <w:rPr/>
      </w:r>
    </w:p>
    <w:p>
      <w:pPr>
        <w:pStyle w:val="style0"/>
        <w:spacing w:after="0" w:before="86"/>
        <w:contextualSpacing w:val="false"/>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