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ABDEF" w14:textId="77777777" w:rsidR="00373D00" w:rsidRDefault="00373D00" w:rsidP="00373D00">
      <w:r>
        <w:t>\chapter{Introduction}</w:t>
      </w:r>
    </w:p>
    <w:p w14:paraId="1FA587B9" w14:textId="636ECA18" w:rsidR="00AB38A5" w:rsidRPr="00AB38A5" w:rsidRDefault="00EE7F66" w:rsidP="00AB38A5">
      <w:r>
        <w:t>The formation of prices in m</w:t>
      </w:r>
      <w:r w:rsidR="00AB38A5" w:rsidRPr="00AB38A5">
        <w:t xml:space="preserve">odern electronic financial markets </w:t>
      </w:r>
      <w:r>
        <w:t>is</w:t>
      </w:r>
      <w:r w:rsidR="00AB38A5" w:rsidRPr="00AB38A5">
        <w:t xml:space="preserve"> predominantly </w:t>
      </w:r>
      <w:r>
        <w:t>based on</w:t>
      </w:r>
      <w:r w:rsidR="00AB38A5" w:rsidRPr="00AB38A5">
        <w:t xml:space="preserve"> the interaction of limit and market orders </w:t>
      </w:r>
      <w:r>
        <w:t>placed</w:t>
      </w:r>
      <w:r w:rsidR="00AB38A5">
        <w:t xml:space="preserve"> </w:t>
      </w:r>
      <w:r w:rsidR="00AB38A5" w:rsidRPr="00AB38A5">
        <w:t xml:space="preserve">by </w:t>
      </w:r>
      <w:r>
        <w:t xml:space="preserve">a large number of </w:t>
      </w:r>
      <w:r w:rsidR="00AB38A5" w:rsidRPr="00AB38A5">
        <w:t>heterogeneous market participants \</w:t>
      </w:r>
      <w:proofErr w:type="spellStart"/>
      <w:r w:rsidR="00AB38A5" w:rsidRPr="00AB38A5">
        <w:t>citep</w:t>
      </w:r>
      <w:proofErr w:type="spellEnd"/>
      <w:r w:rsidR="00AB38A5" w:rsidRPr="00AB38A5">
        <w:t xml:space="preserve">{glosten1994is, bouchaud2018trades}. At the core of </w:t>
      </w:r>
      <w:r w:rsidR="001B3B35">
        <w:t>this mechanism</w:t>
      </w:r>
      <w:r w:rsidR="00AB38A5" w:rsidRPr="00AB38A5">
        <w:t xml:space="preserve"> lies the </w:t>
      </w:r>
      <w:r w:rsidR="00E02B66">
        <w:t xml:space="preserve">so-called </w:t>
      </w:r>
      <w:r w:rsidR="00AB38A5" w:rsidRPr="00AB38A5">
        <w:t>\</w:t>
      </w:r>
      <w:proofErr w:type="spellStart"/>
      <w:r w:rsidR="00AB38A5" w:rsidRPr="00AB38A5">
        <w:t>emph</w:t>
      </w:r>
      <w:proofErr w:type="spellEnd"/>
      <w:r w:rsidR="00AB38A5" w:rsidRPr="00AB38A5">
        <w:t>{Limit Order Book} (LOB), a dynamic data structure that</w:t>
      </w:r>
      <w:r w:rsidR="00AB38A5">
        <w:t xml:space="preserve"> </w:t>
      </w:r>
      <w:r w:rsidR="00AB38A5" w:rsidRPr="00AB38A5">
        <w:t xml:space="preserve">records </w:t>
      </w:r>
      <w:r w:rsidR="00F51C7E">
        <w:t>how many outstanding orders (limit orders that have not yet been filled by market orders) there are at different price levels at a given time, along with their respective volumes</w:t>
      </w:r>
      <w:r w:rsidR="00AB38A5" w:rsidRPr="00AB38A5">
        <w:t xml:space="preserve">. The </w:t>
      </w:r>
      <w:r w:rsidR="00330BD0">
        <w:t>development</w:t>
      </w:r>
      <w:r w:rsidR="00AB38A5" w:rsidRPr="00AB38A5">
        <w:t xml:space="preserve"> of the LOB reflects the real-time </w:t>
      </w:r>
      <w:r w:rsidR="00330BD0">
        <w:t>intersection</w:t>
      </w:r>
      <w:r w:rsidR="00AB38A5" w:rsidRPr="00AB38A5">
        <w:t xml:space="preserve"> of supply and demand</w:t>
      </w:r>
      <w:r w:rsidR="00330BD0">
        <w:t xml:space="preserve">, thereby </w:t>
      </w:r>
      <w:r w:rsidR="00AB38A5" w:rsidRPr="00AB38A5">
        <w:t>encapsulat</w:t>
      </w:r>
      <w:r w:rsidR="00330BD0">
        <w:t>ing</w:t>
      </w:r>
      <w:r w:rsidR="00AB38A5" w:rsidRPr="00AB38A5">
        <w:t xml:space="preserve"> rich information about short-term price formation</w:t>
      </w:r>
      <w:r w:rsidR="003320DB">
        <w:t xml:space="preserve"> as well as</w:t>
      </w:r>
      <w:r w:rsidR="00AB38A5" w:rsidRPr="00AB38A5">
        <w:t xml:space="preserve"> liquidity </w:t>
      </w:r>
      <w:r w:rsidR="00330BD0">
        <w:t>circumstances</w:t>
      </w:r>
      <w:r w:rsidR="00AB38A5" w:rsidRPr="00AB38A5">
        <w:t xml:space="preserve"> and trading pressure</w:t>
      </w:r>
      <w:r w:rsidR="003320DB">
        <w:t xml:space="preserve"> within the market</w:t>
      </w:r>
      <w:r w:rsidR="00AB38A5" w:rsidRPr="00AB38A5">
        <w:t>. </w:t>
      </w:r>
      <w:r w:rsidR="001B3353">
        <w:t>Consequently</w:t>
      </w:r>
      <w:r w:rsidR="00AB38A5" w:rsidRPr="00AB38A5">
        <w:t xml:space="preserve">, modeling and predicting </w:t>
      </w:r>
      <w:r w:rsidR="00452919">
        <w:t xml:space="preserve">these </w:t>
      </w:r>
      <w:r w:rsidR="00AB38A5" w:rsidRPr="00AB38A5">
        <w:t xml:space="preserve">LOB dynamics has become a central problem in market microstructure </w:t>
      </w:r>
      <w:r w:rsidR="005F5F00">
        <w:t>research in recent years</w:t>
      </w:r>
      <w:r w:rsidR="00AB38A5" w:rsidRPr="00AB38A5">
        <w:t>.</w:t>
      </w:r>
    </w:p>
    <w:p w14:paraId="5F4D93E0" w14:textId="084D727A" w:rsidR="00CB5A5C" w:rsidRDefault="00A769E1" w:rsidP="00CB5A5C">
      <w:r>
        <w:t>The</w:t>
      </w:r>
      <w:r w:rsidR="00AB38A5" w:rsidRPr="00AB38A5">
        <w:t xml:space="preserve"> particularly important quantity derived from the </w:t>
      </w:r>
      <w:r>
        <w:t xml:space="preserve">LOB, </w:t>
      </w:r>
      <w:r w:rsidR="00AB38A5" w:rsidRPr="00AB38A5">
        <w:t>is the \</w:t>
      </w:r>
      <w:proofErr w:type="spellStart"/>
      <w:r w:rsidR="00AB38A5" w:rsidRPr="00AB38A5">
        <w:t>emph</w:t>
      </w:r>
      <w:proofErr w:type="spellEnd"/>
      <w:r w:rsidR="00AB38A5" w:rsidRPr="00AB38A5">
        <w:t xml:space="preserve">{mid-price}, </w:t>
      </w:r>
      <w:r w:rsidRPr="00A769E1">
        <w:t>which is defined as the arithmetic mean of the best bid and ask prices</w:t>
      </w:r>
      <w:r w:rsidR="00AB38A5" w:rsidRPr="00AB38A5">
        <w:t>. </w:t>
      </w:r>
      <w:r w:rsidR="00CB5A5C" w:rsidRPr="00CB5A5C">
        <w:t>Although the mid-price itself cannot be traded, its determination is of great interest to regulatory authorities and speculators, but above all to market makers</w:t>
      </w:r>
      <w:r w:rsidR="00CB5A5C">
        <w:t xml:space="preserve"> </w:t>
      </w:r>
      <w:r w:rsidR="00AB38A5" w:rsidRPr="00AB38A5">
        <w:t>\</w:t>
      </w:r>
      <w:proofErr w:type="spellStart"/>
      <w:r w:rsidR="00AB38A5" w:rsidRPr="00AB38A5">
        <w:t>citep</w:t>
      </w:r>
      <w:proofErr w:type="spellEnd"/>
      <w:r w:rsidR="00AB38A5" w:rsidRPr="00AB38A5">
        <w:t>{cont2014price, stoikov2008market}. </w:t>
      </w:r>
      <w:r w:rsidR="00CB5A5C">
        <w:t>By quoting bid and ask prices</w:t>
      </w:r>
      <w:r w:rsidR="00CB5A5C">
        <w:t xml:space="preserve"> (with high frequency and large sums of money)</w:t>
      </w:r>
      <w:r w:rsidR="00CB5A5C">
        <w:t xml:space="preserve">, they provide liquidity to the market </w:t>
      </w:r>
      <w:r w:rsidR="0024665D">
        <w:t>while</w:t>
      </w:r>
      <w:r w:rsidR="00CB5A5C">
        <w:t xml:space="preserve"> earn</w:t>
      </w:r>
      <w:r w:rsidR="0024665D">
        <w:t>ing</w:t>
      </w:r>
      <w:r w:rsidR="00CB5A5C">
        <w:t xml:space="preserve"> on the spread</w:t>
      </w:r>
      <w:r w:rsidR="00EF44A8">
        <w:t xml:space="preserve"> (difference of best bid and ask price)</w:t>
      </w:r>
      <w:r w:rsidR="00CB5A5C">
        <w:t xml:space="preserve">. Market makers benefit from anticipating short-term changes in the mid-price, as this is a key factor for success in </w:t>
      </w:r>
      <w:r w:rsidR="00D521EC">
        <w:t>several</w:t>
      </w:r>
      <w:r w:rsidR="00CB5A5C">
        <w:t xml:space="preserve"> </w:t>
      </w:r>
      <w:r w:rsidR="00675703">
        <w:t xml:space="preserve">of their </w:t>
      </w:r>
      <w:r w:rsidR="00CB5A5C">
        <w:t>challenges:</w:t>
      </w:r>
    </w:p>
    <w:p w14:paraId="3E2ED98F" w14:textId="77777777" w:rsidR="00CB5A5C" w:rsidRDefault="00CB5A5C" w:rsidP="00CB5A5C">
      <w:r>
        <w:t>1) Inventory management (How much inventory should we have?)</w:t>
      </w:r>
    </w:p>
    <w:p w14:paraId="265D0CFB" w14:textId="77777777" w:rsidR="00CB5A5C" w:rsidRDefault="00CB5A5C" w:rsidP="00CB5A5C">
      <w:r>
        <w:t>2) Quantifying the risk of adverse selection (How high is the risk of asymmetric information?)</w:t>
      </w:r>
    </w:p>
    <w:p w14:paraId="5AC7BE57" w14:textId="77777777" w:rsidR="00CB5A5C" w:rsidRDefault="00CB5A5C" w:rsidP="00CB5A5C">
      <w:r>
        <w:t>Together with other factors, this leads to the main problem in market making:</w:t>
      </w:r>
    </w:p>
    <w:p w14:paraId="72853A8F" w14:textId="3546A3CD" w:rsidR="00373D00" w:rsidRDefault="00CB5A5C" w:rsidP="00CB5A5C">
      <w:r>
        <w:t>3) Placing optimal quotes (at what price and weight should we place bid/ask prices?)</w:t>
      </w:r>
      <w:r w:rsidR="002976FD">
        <w:br/>
      </w:r>
      <w:r w:rsidR="002976FD">
        <w:br/>
      </w:r>
      <w:r w:rsidR="00F81270">
        <w:t>S</w:t>
      </w:r>
      <w:r w:rsidR="00F81270" w:rsidRPr="00F81270">
        <w:t xml:space="preserve">hort-horizon mid-price movement prediction has therefore established itself as </w:t>
      </w:r>
      <w:r w:rsidR="00F81270">
        <w:t xml:space="preserve">a </w:t>
      </w:r>
      <w:r w:rsidR="0098512C">
        <w:t>central</w:t>
      </w:r>
      <w:r w:rsidR="00F81270">
        <w:t xml:space="preserve"> challenge</w:t>
      </w:r>
      <w:r w:rsidR="00F32FA4">
        <w:t>, giving rise to a</w:t>
      </w:r>
      <w:r w:rsidR="00F81270">
        <w:t xml:space="preserve"> wide variety of model</w:t>
      </w:r>
      <w:r w:rsidR="00ED034E">
        <w:t xml:space="preserve">ing </w:t>
      </w:r>
      <w:r w:rsidR="00F81270">
        <w:t xml:space="preserve">approaches over the past </w:t>
      </w:r>
      <w:r w:rsidR="002178A0">
        <w:t>years.</w:t>
      </w:r>
    </w:p>
    <w:p w14:paraId="3FE677A3" w14:textId="77777777" w:rsidR="00373D00" w:rsidRDefault="00373D00" w:rsidP="00373D00"/>
    <w:p w14:paraId="55D27B32" w14:textId="1396C2A2" w:rsidR="00FE1177" w:rsidRDefault="00FE1177" w:rsidP="00373D00">
      <w:r w:rsidRPr="00FE1177">
        <w:t xml:space="preserve">Early research </w:t>
      </w:r>
      <w:r w:rsidR="001823D2">
        <w:t xml:space="preserve">in this area was based primarily on stochastic models. The framework developed by </w:t>
      </w:r>
      <w:r w:rsidRPr="00FE1177">
        <w:t>\</w:t>
      </w:r>
      <w:proofErr w:type="spellStart"/>
      <w:r w:rsidRPr="00FE1177">
        <w:t>textcite</w:t>
      </w:r>
      <w:proofErr w:type="spellEnd"/>
      <w:r w:rsidRPr="00FE1177">
        <w:t>{avellaneda2008high}</w:t>
      </w:r>
      <w:r w:rsidR="001823D2">
        <w:t xml:space="preserve"> was pioneering in this respect, investigating a strategy for optimal pricing while taking inventory risk into account</w:t>
      </w:r>
      <w:r w:rsidRPr="00FE1177">
        <w:t>. Subsequent work introduced Markovian and queueing-based models</w:t>
      </w:r>
      <w:r w:rsidR="001823D2">
        <w:t>.</w:t>
      </w:r>
      <w:r w:rsidRPr="00FE1177">
        <w:t xml:space="preserve"> </w:t>
      </w:r>
      <w:r w:rsidR="001823D2">
        <w:t xml:space="preserve">This allowed the incorporation of other factors, including </w:t>
      </w:r>
      <w:r w:rsidRPr="00FE1177">
        <w:t>order arrivals</w:t>
      </w:r>
      <w:r w:rsidR="001823D2">
        <w:t xml:space="preserve"> and</w:t>
      </w:r>
      <w:r w:rsidRPr="00FE1177">
        <w:t xml:space="preserve"> cancellations, albeit </w:t>
      </w:r>
      <w:r w:rsidR="001823D2">
        <w:t xml:space="preserve">still </w:t>
      </w:r>
      <w:r w:rsidRPr="00FE1177">
        <w:t xml:space="preserve">under </w:t>
      </w:r>
      <w:r w:rsidR="001823D2">
        <w:t>strict</w:t>
      </w:r>
      <w:r w:rsidRPr="00FE1177">
        <w:t xml:space="preserve"> structural </w:t>
      </w:r>
      <w:r w:rsidRPr="00FE1177">
        <w:lastRenderedPageBreak/>
        <w:t>assumptions \</w:t>
      </w:r>
      <w:proofErr w:type="spellStart"/>
      <w:r w:rsidRPr="00FE1177">
        <w:t>parencite</w:t>
      </w:r>
      <w:proofErr w:type="spellEnd"/>
      <w:r w:rsidRPr="00FE1177">
        <w:t xml:space="preserve">{cont2010stochastic, cont2013price}. </w:t>
      </w:r>
      <w:r w:rsidR="005B5B1A">
        <w:t xml:space="preserve">Classical machine learning models such as support vector machines (SVM) gained </w:t>
      </w:r>
      <w:proofErr w:type="spellStart"/>
      <w:r w:rsidR="005B5B1A">
        <w:t>impotance</w:t>
      </w:r>
      <w:proofErr w:type="spellEnd"/>
      <w:r w:rsidR="005B5B1A">
        <w:t xml:space="preserve"> with the increasing availability of larger amounts of data. </w:t>
      </w:r>
      <w:proofErr w:type="spellStart"/>
      <w:r w:rsidR="005B5B1A">
        <w:t>Theese</w:t>
      </w:r>
      <w:proofErr w:type="spellEnd"/>
      <w:r w:rsidR="005B5B1A">
        <w:t xml:space="preserve"> original data-driven approaches leveraged LOB features, that were created manually</w:t>
      </w:r>
      <w:r w:rsidR="00790AC0">
        <w:t xml:space="preserve"> </w:t>
      </w:r>
      <w:r w:rsidRPr="00FE1177">
        <w:t>\</w:t>
      </w:r>
      <w:proofErr w:type="spellStart"/>
      <w:r w:rsidRPr="00FE1177">
        <w:t>parencite</w:t>
      </w:r>
      <w:proofErr w:type="spellEnd"/>
      <w:r w:rsidRPr="00FE1177">
        <w:t xml:space="preserve">{kercheval2015svm, tsantekidis2017forecasting}. </w:t>
      </w:r>
      <w:r w:rsidR="00790AC0">
        <w:t>Later, t</w:t>
      </w:r>
      <w:r w:rsidRPr="00FE1177">
        <w:t xml:space="preserve">he advent of deep learning, and in particular convolutional-recurrent architectures like </w:t>
      </w:r>
      <w:proofErr w:type="spellStart"/>
      <w:r w:rsidRPr="00FE1177">
        <w:t>DeepLOB</w:t>
      </w:r>
      <w:proofErr w:type="spellEnd"/>
      <w:r w:rsidRPr="00FE1177">
        <w:t>, marked a decisive shift toward end-to-end representation learning from raw LOB states \</w:t>
      </w:r>
      <w:proofErr w:type="spellStart"/>
      <w:r w:rsidRPr="00FE1177">
        <w:t>parencite</w:t>
      </w:r>
      <w:proofErr w:type="spellEnd"/>
      <w:r w:rsidRPr="00FE1177">
        <w:t xml:space="preserve">{zhang2019deeplob}. </w:t>
      </w:r>
      <w:r w:rsidR="003154C0" w:rsidRPr="003154C0">
        <w:t>Most recently, Transformer-based models, building on the self-attention mechanism introduced by \</w:t>
      </w:r>
      <w:proofErr w:type="spellStart"/>
      <w:r w:rsidR="003154C0" w:rsidRPr="003154C0">
        <w:t>textcite</w:t>
      </w:r>
      <w:proofErr w:type="spellEnd"/>
      <w:r w:rsidR="003154C0" w:rsidRPr="003154C0">
        <w:t>{vaswani2017attention}, have been explored for limit order book modeling</w:t>
      </w:r>
      <w:r w:rsidR="003154C0">
        <w:t xml:space="preserve">. Models like TLOB or </w:t>
      </w:r>
      <w:proofErr w:type="spellStart"/>
      <w:r w:rsidR="003154C0">
        <w:t>LiT</w:t>
      </w:r>
      <w:proofErr w:type="spellEnd"/>
      <w:r w:rsidR="003154C0" w:rsidRPr="003154C0">
        <w:t xml:space="preserve"> enable direct </w:t>
      </w:r>
      <w:r w:rsidR="00C22B42">
        <w:t>representation</w:t>
      </w:r>
      <w:r w:rsidR="003154C0" w:rsidRPr="003154C0">
        <w:t xml:space="preserve"> of global interactions across price levels and time without relying on convolutional or recurrent structures \</w:t>
      </w:r>
      <w:proofErr w:type="spellStart"/>
      <w:r w:rsidR="003154C0" w:rsidRPr="003154C0">
        <w:t>parencite</w:t>
      </w:r>
      <w:proofErr w:type="spellEnd"/>
      <w:r w:rsidR="003154C0" w:rsidRPr="003154C0">
        <w:t>{berti2025tlob, xiao2025lit}.</w:t>
      </w:r>
    </w:p>
    <w:p w14:paraId="48817C22" w14:textId="77777777" w:rsidR="0067162C" w:rsidRDefault="0067162C" w:rsidP="00373D00"/>
    <w:p w14:paraId="229F07CA" w14:textId="77777777" w:rsidR="0067162C" w:rsidRDefault="0067162C" w:rsidP="00373D00"/>
    <w:p w14:paraId="2BAF9470" w14:textId="41E46BDD" w:rsidR="0067162C" w:rsidRDefault="0067162C" w:rsidP="00373D00">
      <w:r>
        <w:t>--------</w:t>
      </w:r>
    </w:p>
    <w:p w14:paraId="2DE8133B" w14:textId="77777777" w:rsidR="00373D00" w:rsidRDefault="00373D00" w:rsidP="00373D00"/>
    <w:p w14:paraId="3B367D60" w14:textId="77777777" w:rsidR="00373D00" w:rsidRDefault="00373D00" w:rsidP="00373D00">
      <w:r>
        <w:t>Despite this progress, several important questions remain open. First, it is not yet fully understood whether the representational advantages of Transformers translate robustly to high-frequency LOB prediction under standardized benchmark settings. Second, existing Transformer-based LOB models often introduce substantial architectural complexity, making it difficult to disentangle the contribution of attention mechanisms from other design choices. Third, most studies evaluate predictive performance solely through aggregate classification metrics, leaving open the question of how such predictions could be meaningfully interpreted or utilized in downstream trading contexts such as market making.</w:t>
      </w:r>
    </w:p>
    <w:p w14:paraId="34749588" w14:textId="77777777" w:rsidR="00373D00" w:rsidRDefault="00373D00" w:rsidP="00373D00"/>
    <w:p w14:paraId="77994B15" w14:textId="77777777" w:rsidR="00373D00" w:rsidRDefault="00373D00" w:rsidP="00373D00">
      <w:r>
        <w:t>This thesis addresses these gaps by investigating the following research question:</w:t>
      </w:r>
    </w:p>
    <w:p w14:paraId="4EE26C2C" w14:textId="77777777" w:rsidR="00373D00" w:rsidRDefault="00373D00" w:rsidP="00373D00"/>
    <w:p w14:paraId="5F5CC473" w14:textId="77777777" w:rsidR="00373D00" w:rsidRDefault="00373D00" w:rsidP="00373D00">
      <w:r>
        <w:t>\begin{quote}</w:t>
      </w:r>
    </w:p>
    <w:p w14:paraId="04E96246" w14:textId="58E62392" w:rsidR="00373D00" w:rsidRDefault="00373D00" w:rsidP="00373D00">
      <w:r>
        <w:t>\</w:t>
      </w:r>
      <w:proofErr w:type="spellStart"/>
      <w:r>
        <w:t>emph</w:t>
      </w:r>
      <w:proofErr w:type="spellEnd"/>
      <w:r>
        <w:t xml:space="preserve">{Can a Transformer-based architecture effectively model short-term limit order book dynamics, and what is the quantitative relevance of its predictions </w:t>
      </w:r>
      <w:r w:rsidR="00B313AF">
        <w:t xml:space="preserve"> </w:t>
      </w:r>
      <w:r>
        <w:t>for market making decisions?}</w:t>
      </w:r>
    </w:p>
    <w:p w14:paraId="086BB987" w14:textId="77777777" w:rsidR="00373D00" w:rsidRDefault="00373D00" w:rsidP="00373D00">
      <w:r>
        <w:t>\end{quote}</w:t>
      </w:r>
    </w:p>
    <w:p w14:paraId="27B915F5" w14:textId="77777777" w:rsidR="00373D00" w:rsidRDefault="00373D00" w:rsidP="00373D00"/>
    <w:p w14:paraId="028C2E66" w14:textId="77777777" w:rsidR="00373D00" w:rsidRDefault="00373D00" w:rsidP="00373D00">
      <w:r>
        <w:t>To answer this question, the thesis focuses on three closely related sub-hypotheses.</w:t>
      </w:r>
    </w:p>
    <w:p w14:paraId="56DCC317" w14:textId="77777777" w:rsidR="00373D00" w:rsidRDefault="00373D00" w:rsidP="00373D00"/>
    <w:p w14:paraId="6E35207F" w14:textId="77777777" w:rsidR="00373D00" w:rsidRDefault="00373D00" w:rsidP="00373D00">
      <w:r>
        <w:t>\paragraph{H1: Predictive Capability of Transformers.}</w:t>
      </w:r>
    </w:p>
    <w:p w14:paraId="072CA280" w14:textId="77777777" w:rsidR="00373D00" w:rsidRDefault="00373D00" w:rsidP="00373D00">
      <w:r>
        <w:t>The first hypothesis examines whether a \</w:t>
      </w:r>
      <w:proofErr w:type="spellStart"/>
      <w:r>
        <w:t>emph</w:t>
      </w:r>
      <w:proofErr w:type="spellEnd"/>
      <w:r>
        <w:t>{simplified Transformer architecture}, operating directly on normalized LOB snapshots, can learn informative representations of market microstructure and achieve competitive predictive performance on short-term mid-price movement prediction. This hypothesis is evaluated empirically using a widely adopted public benchmark dataset and standard classification metrics. Performance is compared against established baselines reported in the literature, providing a conservative assessment of the model’s predictive capability.</w:t>
      </w:r>
    </w:p>
    <w:p w14:paraId="5662AD70" w14:textId="77777777" w:rsidR="00373D00" w:rsidRDefault="00373D00" w:rsidP="00373D00"/>
    <w:p w14:paraId="22A49095" w14:textId="77777777" w:rsidR="00373D00" w:rsidRDefault="00373D00" w:rsidP="00373D00">
      <w:r>
        <w:t>\paragraph{H2: Architectural and Representational Choices.}</w:t>
      </w:r>
    </w:p>
    <w:p w14:paraId="1E4B7760" w14:textId="77777777" w:rsidR="00373D00" w:rsidRDefault="00373D00" w:rsidP="00373D00">
      <w:r>
        <w:t>The second hypothesis investigates the role of architectural design in Transformer-based LOB modeling. By deliberately restricting the model to a pure attention-based structure—without convolutional or recurrent components—this thesis isolates the contribution of self-attention as a modeling mechanism for LOB data. The analysis focuses on how the chosen input representation and attention structure affect learning stability and predictive performance. This provides insight into whether Transformers offer intrinsic advantages over earlier deep learning approaches in this setting.</w:t>
      </w:r>
    </w:p>
    <w:p w14:paraId="502F7025" w14:textId="77777777" w:rsidR="00373D00" w:rsidRDefault="00373D00" w:rsidP="00373D00"/>
    <w:p w14:paraId="46EE2637" w14:textId="77777777" w:rsidR="00373D00" w:rsidRDefault="00373D00" w:rsidP="00373D00">
      <w:r>
        <w:t>\paragraph{H3: Quantitative Relevance for Market Making.}</w:t>
      </w:r>
    </w:p>
    <w:p w14:paraId="393CDF9A" w14:textId="77777777" w:rsidR="00373D00" w:rsidRDefault="00373D00" w:rsidP="00373D00">
      <w:r>
        <w:t>The third hypothesis moves beyond aggregate accuracy and addresses the practical interpretation of model outputs. Specifically, it examines whether prediction confidence conveys economically meaningful information. Rather than implementing a full market making strategy, the thesis analyzes conditional performance metrics—such as accuracy and F1-score as a function of prediction confidence—to assess whether high-confidence predictions are systematically more informative. This analysis evaluates the extent to which Transformer-based predictions could serve as a reliable signal component within market making and execution frameworks.</w:t>
      </w:r>
    </w:p>
    <w:p w14:paraId="6F5AE5B1" w14:textId="77777777" w:rsidR="00373D00" w:rsidRDefault="00373D00" w:rsidP="00373D00"/>
    <w:p w14:paraId="44326180" w14:textId="4BA70D94" w:rsidR="00410189" w:rsidRDefault="00373D00" w:rsidP="00373D00">
      <w:r>
        <w:lastRenderedPageBreak/>
        <w:t>The empirical analysis is conducted using the FI-2010 benchmark dataset, which provides high-frequency limit order book data with standardized labeling and evaluation protocols. The use of this dataset ensures comparability with a broad range of prior studies and allows for a rigorous, reproducible assessment of the model</w:t>
      </w:r>
      <w:r w:rsidR="008A0CB4">
        <w:t xml:space="preserve"> designed and evaluated in this thesis</w:t>
      </w:r>
      <w:r>
        <w:t>. Details on the dataset, labeling scheme, and experimental setup are provided in chapter</w:t>
      </w:r>
      <w:r w:rsidR="00FA1203">
        <w:t xml:space="preserve"> four</w:t>
      </w:r>
      <w:r>
        <w:t>.</w:t>
      </w:r>
    </w:p>
    <w:p w14:paraId="13DFCCF0" w14:textId="53F24BB0" w:rsidR="00373D00" w:rsidRDefault="00373D00" w:rsidP="00373D00">
      <w:r>
        <w:t>The remainder of this thesis is structured as follows. Chapter</w:t>
      </w:r>
      <w:r w:rsidR="00623AC6">
        <w:t xml:space="preserve"> four</w:t>
      </w:r>
      <w:r>
        <w:t xml:space="preserve"> introduces the dataset and formal problem formulation. Chapter</w:t>
      </w:r>
      <w:r w:rsidR="00A91E2D">
        <w:t xml:space="preserve"> five</w:t>
      </w:r>
      <w:r>
        <w:t xml:space="preserve"> describes the proposed Transformer architecture in detail. Chapter</w:t>
      </w:r>
      <w:r w:rsidR="00A723F1">
        <w:t xml:space="preserve"> six</w:t>
      </w:r>
      <w:r>
        <w:t xml:space="preserve"> outlines the experimental setup and evaluation methodology. Chapter</w:t>
      </w:r>
      <w:r w:rsidR="00A723F1">
        <w:t xml:space="preserve"> seven </w:t>
      </w:r>
      <w:r>
        <w:t>presents and discusses the empirical results, including confidence-based analyses. Finally, Chapter</w:t>
      </w:r>
      <w:r w:rsidR="002A6F06">
        <w:t xml:space="preserve"> eight </w:t>
      </w:r>
      <w:r>
        <w:t>concludes with a summary of findings, limitations, and directions for future research.</w:t>
      </w:r>
    </w:p>
    <w:p w14:paraId="62C0CBC4" w14:textId="77777777" w:rsidR="003B0F38" w:rsidRDefault="003B0F38" w:rsidP="003B0F38">
      <w:pPr>
        <w:rPr>
          <w:b/>
          <w:bCs/>
        </w:rPr>
      </w:pPr>
      <w:r w:rsidRPr="00410189">
        <w:rPr>
          <w:b/>
          <w:bCs/>
        </w:rPr>
        <w:t>MAIN CONTRIBUTIONS (2-3 sentences)?</w:t>
      </w:r>
    </w:p>
    <w:p w14:paraId="0C552714" w14:textId="77777777" w:rsidR="008861A8" w:rsidRDefault="008861A8" w:rsidP="003B0F38">
      <w:pPr>
        <w:rPr>
          <w:b/>
          <w:bCs/>
        </w:rPr>
      </w:pPr>
    </w:p>
    <w:p w14:paraId="6B094705" w14:textId="77777777" w:rsidR="008861A8" w:rsidRDefault="008861A8" w:rsidP="003B0F38">
      <w:pPr>
        <w:rPr>
          <w:b/>
          <w:bCs/>
        </w:rPr>
      </w:pPr>
    </w:p>
    <w:p w14:paraId="5326B442" w14:textId="77777777" w:rsidR="008861A8" w:rsidRDefault="008861A8" w:rsidP="003B0F38">
      <w:pPr>
        <w:rPr>
          <w:b/>
          <w:bCs/>
        </w:rPr>
      </w:pPr>
    </w:p>
    <w:p w14:paraId="0209575F" w14:textId="77777777" w:rsidR="008861A8" w:rsidRPr="008861A8" w:rsidRDefault="008861A8" w:rsidP="008861A8">
      <w:r w:rsidRPr="008861A8">
        <w:t xml:space="preserve">The remainder of this thesis is organized as follows.  </w:t>
      </w:r>
    </w:p>
    <w:p w14:paraId="5212419F" w14:textId="27A3B346" w:rsidR="004213F9" w:rsidRDefault="008861A8" w:rsidP="008861A8">
      <w:r w:rsidRPr="008861A8">
        <w:t>Chapter~2 introduces the relevant concepts of market microstructure and LOBs. Chapter~3 reviews related work on stochastic, machine learning, and Transformer-based approaches for LOB modeling. Chapter~4 formalizes the prediction problem and describes the FI-2010 dataset. The proposed Transformer architecture is presented in Chapter~5, followed by the experimental setup in Chapter~6. Empirical results are reported and discussed in Chapter~7. Chapter~8 examines the practical relevance of the model outputs from a market making perspective, with a focus on confidence-based analysis. Chapter~9 concludes the thesis and outlines directions for future research.</w:t>
      </w:r>
    </w:p>
    <w:p w14:paraId="6DA3B758" w14:textId="77777777" w:rsidR="004213F9" w:rsidRDefault="004213F9" w:rsidP="008861A8"/>
    <w:p w14:paraId="5328FF99" w14:textId="350BFADD" w:rsidR="004213F9" w:rsidRPr="008861A8" w:rsidRDefault="004213F9" w:rsidP="008861A8">
      <w:r w:rsidRPr="004213F9">
        <w:t>However, despite these advances, several gaps remain. First, the efficacy of a pure Transformer architecture for LOB data – especially in a simplified form – is not yet fully understood, as prior works often relied on hybrids or very complex setups. Second, it is unclear which architectural choices (e.g., input encoding or attention across price levels and time) truly drive performance, since existing studies provide limited ablation analysis. Third, and importantly, prior research has focused on accuracy rather than practical usability – little attention has been paid to model confidence and how it might inform market making decisions. These gaps lead to the central question of this thesis:</w:t>
      </w:r>
    </w:p>
    <w:p w14:paraId="0BC5C505" w14:textId="77777777" w:rsidR="00373D00" w:rsidRDefault="00373D00" w:rsidP="00373D00"/>
    <w:p w14:paraId="75E59F72" w14:textId="3A305E39" w:rsidR="000924B5" w:rsidRDefault="000924B5" w:rsidP="00373D00"/>
    <w:sectPr w:rsidR="00092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D00"/>
    <w:rsid w:val="00024197"/>
    <w:rsid w:val="00026CD3"/>
    <w:rsid w:val="000924B5"/>
    <w:rsid w:val="001823D2"/>
    <w:rsid w:val="001B3353"/>
    <w:rsid w:val="001B3B35"/>
    <w:rsid w:val="002178A0"/>
    <w:rsid w:val="0024665D"/>
    <w:rsid w:val="002976FD"/>
    <w:rsid w:val="002A6F06"/>
    <w:rsid w:val="003154C0"/>
    <w:rsid w:val="00330BD0"/>
    <w:rsid w:val="003320DB"/>
    <w:rsid w:val="00373D00"/>
    <w:rsid w:val="00387CF2"/>
    <w:rsid w:val="003B0F38"/>
    <w:rsid w:val="00410189"/>
    <w:rsid w:val="004213F9"/>
    <w:rsid w:val="00452919"/>
    <w:rsid w:val="0046217E"/>
    <w:rsid w:val="00467276"/>
    <w:rsid w:val="004C40AA"/>
    <w:rsid w:val="004F760D"/>
    <w:rsid w:val="00532DD0"/>
    <w:rsid w:val="005B5B1A"/>
    <w:rsid w:val="005F5F00"/>
    <w:rsid w:val="005F60AD"/>
    <w:rsid w:val="00623AC6"/>
    <w:rsid w:val="0067162C"/>
    <w:rsid w:val="00675703"/>
    <w:rsid w:val="0070138E"/>
    <w:rsid w:val="00762CFE"/>
    <w:rsid w:val="00790AC0"/>
    <w:rsid w:val="0079276A"/>
    <w:rsid w:val="007A26F0"/>
    <w:rsid w:val="007A6D3F"/>
    <w:rsid w:val="007E58C0"/>
    <w:rsid w:val="00866332"/>
    <w:rsid w:val="008861A8"/>
    <w:rsid w:val="008A0CB4"/>
    <w:rsid w:val="008E1B8B"/>
    <w:rsid w:val="0098512C"/>
    <w:rsid w:val="009E7AA4"/>
    <w:rsid w:val="00A723F1"/>
    <w:rsid w:val="00A769E1"/>
    <w:rsid w:val="00A91E2D"/>
    <w:rsid w:val="00AA56A7"/>
    <w:rsid w:val="00AB38A5"/>
    <w:rsid w:val="00B00EFF"/>
    <w:rsid w:val="00B23229"/>
    <w:rsid w:val="00B24221"/>
    <w:rsid w:val="00B313AF"/>
    <w:rsid w:val="00B65C78"/>
    <w:rsid w:val="00B707B2"/>
    <w:rsid w:val="00C22B42"/>
    <w:rsid w:val="00C64AE6"/>
    <w:rsid w:val="00CA11FC"/>
    <w:rsid w:val="00CB5A5C"/>
    <w:rsid w:val="00D521EC"/>
    <w:rsid w:val="00D52C18"/>
    <w:rsid w:val="00DC27EE"/>
    <w:rsid w:val="00E02B66"/>
    <w:rsid w:val="00E36485"/>
    <w:rsid w:val="00ED034E"/>
    <w:rsid w:val="00EE7F66"/>
    <w:rsid w:val="00EF44A8"/>
    <w:rsid w:val="00F32FA4"/>
    <w:rsid w:val="00F51C7E"/>
    <w:rsid w:val="00F81270"/>
    <w:rsid w:val="00FA1203"/>
    <w:rsid w:val="00FE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43470A"/>
  <w15:chartTrackingRefBased/>
  <w15:docId w15:val="{8E311382-4A8B-584E-A279-78B453918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D00"/>
    <w:rPr>
      <w:rFonts w:eastAsiaTheme="majorEastAsia" w:cstheme="majorBidi"/>
      <w:color w:val="272727" w:themeColor="text1" w:themeTint="D8"/>
    </w:rPr>
  </w:style>
  <w:style w:type="paragraph" w:styleId="Title">
    <w:name w:val="Title"/>
    <w:basedOn w:val="Normal"/>
    <w:next w:val="Normal"/>
    <w:link w:val="TitleChar"/>
    <w:uiPriority w:val="10"/>
    <w:qFormat/>
    <w:rsid w:val="00373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D00"/>
    <w:pPr>
      <w:spacing w:before="160"/>
      <w:jc w:val="center"/>
    </w:pPr>
    <w:rPr>
      <w:i/>
      <w:iCs/>
      <w:color w:val="404040" w:themeColor="text1" w:themeTint="BF"/>
    </w:rPr>
  </w:style>
  <w:style w:type="character" w:customStyle="1" w:styleId="QuoteChar">
    <w:name w:val="Quote Char"/>
    <w:basedOn w:val="DefaultParagraphFont"/>
    <w:link w:val="Quote"/>
    <w:uiPriority w:val="29"/>
    <w:rsid w:val="00373D00"/>
    <w:rPr>
      <w:i/>
      <w:iCs/>
      <w:color w:val="404040" w:themeColor="text1" w:themeTint="BF"/>
    </w:rPr>
  </w:style>
  <w:style w:type="paragraph" w:styleId="ListParagraph">
    <w:name w:val="List Paragraph"/>
    <w:basedOn w:val="Normal"/>
    <w:uiPriority w:val="34"/>
    <w:qFormat/>
    <w:rsid w:val="00373D00"/>
    <w:pPr>
      <w:ind w:left="720"/>
      <w:contextualSpacing/>
    </w:pPr>
  </w:style>
  <w:style w:type="character" w:styleId="IntenseEmphasis">
    <w:name w:val="Intense Emphasis"/>
    <w:basedOn w:val="DefaultParagraphFont"/>
    <w:uiPriority w:val="21"/>
    <w:qFormat/>
    <w:rsid w:val="00373D00"/>
    <w:rPr>
      <w:i/>
      <w:iCs/>
      <w:color w:val="0F4761" w:themeColor="accent1" w:themeShade="BF"/>
    </w:rPr>
  </w:style>
  <w:style w:type="paragraph" w:styleId="IntenseQuote">
    <w:name w:val="Intense Quote"/>
    <w:basedOn w:val="Normal"/>
    <w:next w:val="Normal"/>
    <w:link w:val="IntenseQuoteChar"/>
    <w:uiPriority w:val="30"/>
    <w:qFormat/>
    <w:rsid w:val="00373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D00"/>
    <w:rPr>
      <w:i/>
      <w:iCs/>
      <w:color w:val="0F4761" w:themeColor="accent1" w:themeShade="BF"/>
    </w:rPr>
  </w:style>
  <w:style w:type="character" w:styleId="IntenseReference">
    <w:name w:val="Intense Reference"/>
    <w:basedOn w:val="DefaultParagraphFont"/>
    <w:uiPriority w:val="32"/>
    <w:qFormat/>
    <w:rsid w:val="00373D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5</Pages>
  <Words>1338</Words>
  <Characters>7631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Reindlmeier</dc:creator>
  <cp:keywords/>
  <dc:description/>
  <cp:lastModifiedBy>Luis Reindlmeier</cp:lastModifiedBy>
  <cp:revision>70</cp:revision>
  <dcterms:created xsi:type="dcterms:W3CDTF">2026-01-06T10:22:00Z</dcterms:created>
  <dcterms:modified xsi:type="dcterms:W3CDTF">2026-01-07T15:33:00Z</dcterms:modified>
</cp:coreProperties>
</file>