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595959"/>
          <w:sz w:val="22"/>
          <w:szCs w:val="22"/>
        </w:rPr>
        <w:t xml:space="preserve">REPÚBLICA DOMINICANA</w:t>
      </w:r>
    </w:p>
    <w:p>
      <w:pPr>
        <w:spacing w:before="300"/>
        <w:jc w:val="center"/>
      </w:pPr>
      <w:r>
        <w:rPr>
          <w:b/>
          <w:bCs/>
          <w:color w:val="1F3864"/>
          <w:sz w:val="44"/>
          <w:szCs w:val="44"/>
        </w:rPr>
        <w:t xml:space="preserve">LA DESIGUALDAD EN LA EDUCACIÓN FINANCIERA</w:t>
      </w:r>
    </w:p>
    <w:p>
      <w:pPr>
        <w:spacing w:after="400" w:before="150"/>
        <w:jc w:val="center"/>
      </w:pPr>
      <w:r>
        <w:rPr>
          <w:b/>
          <w:bCs/>
          <w:color w:val="B08D57"/>
          <w:sz w:val="26"/>
          <w:szCs w:val="26"/>
        </w:rPr>
        <w:t xml:space="preserve">Diagnóstico, estrategias de intervención y propuesta de programas educativos para el sistema educativo dominicano</w:t>
      </w:r>
    </w:p>
    <w:p>
      <w:pPr>
        <w:pBdr>
          <w:top w:val="single" w:color="B08D57" w:sz="6" w:space="10"/>
        </w:pBdr>
        <w:spacing w:before="200"/>
        <w:jc w:val="center"/>
      </w:pPr>
      <w:r>
        <w:rPr>
          <w:i/>
          <w:iCs/>
          <w:color w:val="595959"/>
          <w:sz w:val="22"/>
          <w:szCs w:val="22"/>
        </w:rPr>
        <w:t xml:space="preserve">Cuaderno técnico basado en fuentes verificables</w:t>
      </w:r>
    </w:p>
    <w:p>
      <w:pPr>
        <w:spacing w:before="1400"/>
        <w:jc w:val="center"/>
      </w:pPr>
      <w:r>
        <w:rPr>
          <w:color w:val="595959"/>
          <w:sz w:val="19"/>
          <w:szCs w:val="19"/>
        </w:rPr>
        <w:t xml:space="preserve">Elaborado con datos del Banco Central de la República Dominicana (BCRD), la Superintendencia de Bancos (SB), el Ministerio de Educación (MINERD), el Banco Interamericano de Desarrollo (BID), la OCDE y estudios académicos revisados por pares.</w:t>
      </w:r>
    </w:p>
    <w:p>
      <w:pPr>
        <w:spacing w:before="1600"/>
        <w:jc w:val="center"/>
      </w:pPr>
      <w:r>
        <w:rPr>
          <w:color w:val="595959"/>
          <w:sz w:val="20"/>
          <w:szCs w:val="20"/>
        </w:rPr>
        <w:t xml:space="preserve">Septiembre 2026</w:t>
      </w:r>
    </w:p>
    <w:p>
      <w:r>
        <w:br w:type="page"/>
      </w:r>
    </w:p>
    <w:p>
      <w:pPr>
        <w:pStyle w:val="Heading1"/>
      </w:pPr>
      <w:r>
        <w:rPr>
          <w:b/>
          <w:bCs/>
          <w:color w:val="1F3864"/>
          <w:sz w:val="30"/>
          <w:szCs w:val="30"/>
        </w:rP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440" w:right="1350" w:bottom="1440" w:left="1350" w:header="708" w:footer="708" w:gutter="0"/>
          <w:pgNumType/>
          <w:docGrid w:linePitch="360"/>
        </w:sectPr>
      </w:pPr>
    </w:p>
    <w:p>
      <w:pPr>
        <w:pStyle w:val="Heading1"/>
        <w:pBdr>
          <w:bottom w:val="single" w:color="B08D57" w:sz="6" w:space="4"/>
        </w:pBdr>
        <w:spacing w:after="200" w:before="400"/>
      </w:pPr>
      <w:r>
        <w:rPr>
          <w:b/>
          <w:bCs/>
          <w:color w:val="1F3864"/>
          <w:sz w:val="30"/>
          <w:szCs w:val="30"/>
        </w:rPr>
        <w:t xml:space="preserve">1. Introducción</w:t>
      </w:r>
    </w:p>
    <w:p>
      <w:pPr>
        <w:spacing w:after="160" w:line="300"/>
        <w:jc w:val="both"/>
      </w:pPr>
      <w:r>
        <w:rPr>
          <w:sz w:val="21"/>
          <w:szCs w:val="21"/>
        </w:rPr>
        <w:t xml:space="preserve">La educación financiera —definida por la Organización para la Cooperación y el Desarrollo Económicos (OCDE) como la combinación de conciencia, conocimientos, habilidades, actitudes y comportamientos necesarios para tomar decisiones financieras acertadas— es hoy reconocida como un determinante clave del bienestar económico individual y familiar. En República Dominicana, la brecha en esta competencia no se distribuye de manera uniforme entre la población: afecta con mayor intensidad a los hogares de menores ingresos, a las zonas rurales, a las mujeres en el sector informal y a los jóvenes que egresan del sistema educativo sin haber recibido formación económica y financiera estructurada.</w:t>
      </w:r>
    </w:p>
    <w:p>
      <w:pPr>
        <w:spacing w:after="160" w:line="300"/>
        <w:jc w:val="both"/>
      </w:pPr>
      <w:r>
        <w:rPr>
          <w:sz w:val="21"/>
          <w:szCs w:val="21"/>
        </w:rPr>
        <w:t xml:space="preserve">Este cuaderno reúne evidencia verificable proveniente de instituciones oficiales dominicanas (Banco Central, Superintendencia de Bancos, Ministerio de Educación) y de organismos internacionales (BID, OCDE, AFI) para: (1) diagnosticar la desigualdad existente; (2) proponer un marco de acción; (3) diseñar programas educativos aplicables al sistema educativo dominicano por nivel; (4) plantear una ruta de ejecución; y (5) proyectar el costo y la efectividad esperada, con base en evaluaciones de impacto rigurosas (ensayos controlados aleatorios) realizadas en la región.</w:t>
      </w:r>
    </w:p>
    <w:p>
      <w:pPr>
        <w:pStyle w:val="Heading1"/>
        <w:pBdr>
          <w:bottom w:val="single" w:color="B08D57" w:sz="6" w:space="4"/>
        </w:pBdr>
        <w:spacing w:after="200" w:before="400"/>
      </w:pPr>
      <w:r>
        <w:rPr>
          <w:b/>
          <w:bCs/>
          <w:color w:val="1F3864"/>
          <w:sz w:val="30"/>
          <w:szCs w:val="30"/>
        </w:rPr>
        <w:t xml:space="preserve">2. Diagnóstico: la desigualdad en educación financiera en RD</w:t>
      </w:r>
    </w:p>
    <w:p>
      <w:pPr>
        <w:pStyle w:val="Heading2"/>
        <w:spacing w:after="120" w:before="280"/>
      </w:pPr>
      <w:r>
        <w:rPr>
          <w:b/>
          <w:bCs/>
          <w:color w:val="1F3864"/>
          <w:sz w:val="24"/>
          <w:szCs w:val="24"/>
        </w:rPr>
        <w:t xml:space="preserve">2.1 Baja cobertura y bajo desempeño de partida</w:t>
      </w:r>
    </w:p>
    <w:p>
      <w:pPr>
        <w:spacing w:after="160" w:line="300"/>
        <w:jc w:val="both"/>
      </w:pPr>
      <w:r>
        <w:rPr>
          <w:sz w:val="21"/>
          <w:szCs w:val="21"/>
        </w:rPr>
        <w:t xml:space="preserve">La Primera Encuesta Nacional de Inclusión Financiera (ENIF, 2019) del Banco Central encontró que menos del 3% de los hogares dominicanos se había beneficiado de algún programa de educación financiera, mientras que 7 de cada 10 hogares declaró no lograr cubrir los gastos del mes con lo que gana.</w:t>
      </w:r>
    </w:p>
    <w:p>
      <w:pPr>
        <w:spacing w:after="200" w:before="60"/>
      </w:pPr>
      <w:r>
        <w:rPr>
          <w:i/>
          <w:iCs/>
          <w:color w:val="595959"/>
          <w:sz w:val="18"/>
          <w:szCs w:val="18"/>
        </w:rPr>
        <w:t xml:space="preserve">Fuente: Superintendencia de Bancos de la República Dominicana (sb.gob.do), con base en la ENIF 2019 del Banco Central.</w:t>
      </w:r>
    </w:p>
    <w:p>
      <w:pPr>
        <w:spacing w:after="160" w:line="300"/>
        <w:jc w:val="both"/>
      </w:pPr>
      <w:r>
        <w:rPr>
          <w:sz w:val="21"/>
          <w:szCs w:val="21"/>
        </w:rPr>
        <w:t xml:space="preserve">En la evaluación internacional de alfabetización financiera de adultos de la OCDE (2020), realizada en 26 países, la puntuación promedio global fue de 12.7 puntos sobre un máximo posible, y los países latinoamericanos participantes se ubicaron entre las calificaciones más bajas del grupo, evidenciando que el rezago dominicano se inserta en un patrón regional más amplio.</w:t>
      </w:r>
    </w:p>
    <w:p>
      <w:pPr>
        <w:spacing w:after="200" w:before="60"/>
      </w:pPr>
      <w:r>
        <w:rPr>
          <w:i/>
          <w:iCs/>
          <w:color w:val="595959"/>
          <w:sz w:val="18"/>
          <w:szCs w:val="18"/>
        </w:rPr>
        <w:t xml:space="preserve">Fuente: OCDE/INFE, Encuesta Internacional de Alfabetización Financiera de Adultos 2020, citada por sb.gob.do.</w:t>
      </w:r>
    </w:p>
    <w:p>
      <w:pPr>
        <w:pStyle w:val="Heading2"/>
        <w:spacing w:after="120" w:before="280"/>
      </w:pPr>
      <w:r>
        <w:rPr>
          <w:b/>
          <w:bCs/>
          <w:color w:val="1F3864"/>
          <w:sz w:val="24"/>
          <w:szCs w:val="24"/>
        </w:rPr>
        <w:t xml:space="preserve">2.2 Exclusión financiera todavía amplia, aunque en mejora</w:t>
      </w:r>
    </w:p>
    <w:p>
      <w:pPr>
        <w:spacing w:after="160" w:line="300"/>
        <w:jc w:val="both"/>
      </w:pPr>
      <w:r>
        <w:rPr>
          <w:sz w:val="21"/>
          <w:szCs w:val="21"/>
        </w:rPr>
        <w:t xml:space="preserve">Según la Encuesta Nacional de Inclusión y Educación Financiera (ENIEF) 2023 del Banco Central, el porcentaje de adultos con al menos un producto financiero (ahorro o crédito) subió de 51% en 2019 a 55% en 2023, lo que equivale a cerca de 500,000 dominicanos incorporados al sistema financiero formal en ese periodo. No obstante, esto implica que un 45% de la población adulta permanece total o parcialmente excluida del sistema financiero formal.</w:t>
      </w:r>
    </w:p>
    <w:p>
      <w:pPr>
        <w:spacing w:after="200" w:before="60"/>
      </w:pPr>
      <w:r>
        <w:rPr>
          <w:i/>
          <w:iCs/>
          <w:color w:val="595959"/>
          <w:sz w:val="18"/>
          <w:szCs w:val="18"/>
        </w:rPr>
        <w:t xml:space="preserve">Fuente: Banco Central de la República Dominicana, Resumen Ejecutivo ENIEF 2023 (marzo 2024).</w:t>
      </w:r>
    </w:p>
    <w:p>
      <w:pPr>
        <w:spacing w:after="160" w:line="300"/>
        <w:jc w:val="both"/>
      </w:pPr>
      <w:r>
        <w:rPr>
          <w:sz w:val="21"/>
          <w:szCs w:val="21"/>
        </w:rPr>
        <w:t xml:space="preserve">La misma encuesta reporta beneficios concretos entre quienes sí han participado en iniciativas de educación financiera: un 78.3% declaró haber aprendido a ahorrar de manera más efectiva y un 69.4% mejoró el control de sus ingresos, lo que confirma que el problema no es la falta de efectividad de la educación financiera, sino su insuficiente cobertura.</w:t>
      </w:r>
    </w:p>
    <w:p>
      <w:pPr>
        <w:spacing w:after="200" w:before="60"/>
      </w:pPr>
      <w:r>
        <w:rPr>
          <w:i/>
          <w:iCs/>
          <w:color w:val="595959"/>
          <w:sz w:val="18"/>
          <w:szCs w:val="18"/>
        </w:rPr>
        <w:t xml:space="preserve">Fuente: Banco Central de la República Dominicana, ENIEF 2023, citado en eldinero.com.do.</w:t>
      </w:r>
    </w:p>
    <w:p>
      <w:pPr>
        <w:pStyle w:val="Heading2"/>
        <w:spacing w:after="120" w:before="280"/>
      </w:pPr>
      <w:r>
        <w:rPr>
          <w:b/>
          <w:bCs/>
          <w:color w:val="1F3864"/>
          <w:sz w:val="24"/>
          <w:szCs w:val="24"/>
        </w:rPr>
        <w:t xml:space="preserve">2.3 Desigualdad de género en el acceso al crédito</w:t>
      </w:r>
    </w:p>
    <w:p>
      <w:pPr>
        <w:spacing w:after="160" w:line="300"/>
        <w:jc w:val="both"/>
      </w:pPr>
      <w:r>
        <w:rPr>
          <w:sz w:val="21"/>
          <w:szCs w:val="21"/>
        </w:rPr>
        <w:t xml:space="preserve">El informe “Hacia un sistema financiero inclusivo y sostenible 2025” de la Superintendencia de Bancos documenta que, aunque el 84% de las personas usuarias confía en su entidad financiera, el 26% de las mujeres afirma enfrentar requisitos adicionales al solicitar productos financieros, una señal de barreras de acceso todavía vigentes pese a que las mujeres muestran una morosidad más baja (1.4%) que los hombres (2%).</w:t>
      </w:r>
    </w:p>
    <w:p>
      <w:pPr>
        <w:spacing w:after="200" w:before="60"/>
      </w:pPr>
      <w:r>
        <w:rPr>
          <w:i/>
          <w:iCs/>
          <w:color w:val="595959"/>
          <w:sz w:val="18"/>
          <w:szCs w:val="18"/>
        </w:rPr>
        <w:t xml:space="preserve">Fuente: Superintendencia de Bancos, “Hacia un sistema financiero inclusivo y sostenible 2025”, y el informe OPD-FUNGLODE citado por Infobae (marzo 2026).</w:t>
      </w:r>
    </w:p>
    <w:p>
      <w:pPr>
        <w:pStyle w:val="Heading2"/>
        <w:spacing w:after="120" w:before="280"/>
      </w:pPr>
      <w:r>
        <w:rPr>
          <w:b/>
          <w:bCs/>
          <w:color w:val="1F3864"/>
          <w:sz w:val="24"/>
          <w:szCs w:val="24"/>
        </w:rPr>
        <w:t xml:space="preserve">2.4 Brecha territorial y socioeconómica en el sistema educativo</w:t>
      </w:r>
    </w:p>
    <w:p>
      <w:pPr>
        <w:spacing w:after="160" w:line="300"/>
        <w:jc w:val="both"/>
      </w:pPr>
      <w:r>
        <w:rPr>
          <w:sz w:val="21"/>
          <w:szCs w:val="21"/>
        </w:rPr>
        <w:t xml:space="preserve">Un estudio de la UNESCO sobre estatus socioeconómico y educación en República Dominicana señala que, si bien la desigualdad socioeconómica descendió entre 2000 y 2017, persisten inequidades en el acceso a los ingresos necesarios para cubrir un estándar mínimo de vida, y que la política educativa dominicana está diseñada predominantemente para el trato igualitario, no para el trato equitativo que reconozca las diferencias socioeconómicas de los estudiantes.</w:t>
      </w:r>
    </w:p>
    <w:p>
      <w:pPr>
        <w:spacing w:after="200" w:before="60"/>
      </w:pPr>
      <w:r>
        <w:rPr>
          <w:i/>
          <w:iCs/>
          <w:color w:val="595959"/>
          <w:sz w:val="18"/>
          <w:szCs w:val="18"/>
        </w:rPr>
        <w:t xml:space="preserve">Fuente: UNESCO, Estatus socioeconómico y educación en la República Dominicana (unesdoc.unesco.org).</w:t>
      </w:r>
    </w:p>
    <w:p>
      <w:pPr>
        <w:spacing w:after="160" w:line="300"/>
        <w:jc w:val="both"/>
      </w:pPr>
      <w:r>
        <w:rPr>
          <w:sz w:val="21"/>
          <w:szCs w:val="21"/>
        </w:rPr>
        <w:t xml:space="preserve">El crecimiento de la inclusión financiera reportado por el Banco Central para 2023 se concentró especialmente en las regiones Este y Sur del país, lo que sugiere que otras regiones —particularmente zonas rurales y fronterizas— continúan rezagadas.</w:t>
      </w:r>
    </w:p>
    <w:p>
      <w:pPr>
        <w:spacing w:after="200" w:before="60"/>
      </w:pPr>
      <w:r>
        <w:rPr>
          <w:i/>
          <w:iCs/>
          <w:color w:val="595959"/>
          <w:sz w:val="18"/>
          <w:szCs w:val="18"/>
        </w:rPr>
        <w:t xml:space="preserve">Fuente: Diario Financiero, con declaraciones del gobernador del Banco Central, Héctor Valdez Albizu (2024).</w:t>
      </w:r>
    </w:p>
    <w:p>
      <w:r>
        <w:br w:type="page"/>
      </w:r>
    </w:p>
    <w:p>
      <w:pPr>
        <w:pStyle w:val="Heading1"/>
        <w:pBdr>
          <w:bottom w:val="single" w:color="B08D57" w:sz="6" w:space="4"/>
        </w:pBdr>
        <w:spacing w:after="200" w:before="400"/>
      </w:pPr>
      <w:r>
        <w:rPr>
          <w:b/>
          <w:bCs/>
          <w:color w:val="1F3864"/>
          <w:sz w:val="30"/>
          <w:szCs w:val="30"/>
        </w:rPr>
        <w:t xml:space="preserve">3. Causas estructurales de la desigualdad</w:t>
      </w:r>
    </w:p>
    <w:p>
      <w:pPr>
        <w:pStyle w:val="ListParagraph"/>
        <w:numPr>
          <w:ilvl w:val="0"/>
          <w:numId w:val="2"/>
        </w:numPr>
        <w:spacing w:after="90" w:line="280"/>
      </w:pPr>
      <w:r>
        <w:rPr>
          <w:sz w:val="21"/>
          <w:szCs w:val="21"/>
        </w:rPr>
        <w:t xml:space="preserve">Ausencia histórica de una asignatura formal y evaluada de educación económica y financiera en el currículo dominicano, con avances puntuales dependientes de acuerdos interinstitucionales antes que de una política curricular permanente.</w:t>
      </w:r>
    </w:p>
    <w:p>
      <w:pPr>
        <w:pStyle w:val="ListParagraph"/>
        <w:numPr>
          <w:ilvl w:val="0"/>
          <w:numId w:val="2"/>
        </w:numPr>
        <w:spacing w:after="90" w:line="280"/>
      </w:pPr>
      <w:r>
        <w:rPr>
          <w:sz w:val="21"/>
          <w:szCs w:val="21"/>
        </w:rPr>
        <w:t xml:space="preserve">Baja capacitación docente sostenida: los talleres de formación (Banco Central–MINERD–INAFOCAM) han alcanzado a miles de docentes en episodios puntuales, pero sin continuidad garantizada ni evaluación de su impacto en el aula.</w:t>
      </w:r>
    </w:p>
    <w:p>
      <w:pPr>
        <w:pStyle w:val="ListParagraph"/>
        <w:numPr>
          <w:ilvl w:val="0"/>
          <w:numId w:val="2"/>
        </w:numPr>
        <w:spacing w:after="90" w:line="280"/>
      </w:pPr>
      <w:r>
        <w:rPr>
          <w:sz w:val="21"/>
          <w:szCs w:val="21"/>
        </w:rPr>
        <w:t xml:space="preserve">Concentración de los programas de educación financiera en la banca privada y de responsabilidad social empresarial (p. ej. AFP Crecer/CODESPA en 14 provincias), lo que limita el alcance nacional y la sostenibilidad frente a un programa público universal.</w:t>
      </w:r>
    </w:p>
    <w:p>
      <w:pPr>
        <w:pStyle w:val="ListParagraph"/>
        <w:numPr>
          <w:ilvl w:val="0"/>
          <w:numId w:val="2"/>
        </w:numPr>
        <w:spacing w:after="90" w:line="280"/>
      </w:pPr>
      <w:r>
        <w:rPr>
          <w:sz w:val="21"/>
          <w:szCs w:val="21"/>
        </w:rPr>
        <w:t xml:space="preserve">Brecha digital y territorial que dificulta llevar contenidos y plataformas (como República Digital) a las zonas rurales y fronterizas con menor cobertura de internet y de bancarización.</w:t>
      </w:r>
    </w:p>
    <w:p>
      <w:pPr>
        <w:pStyle w:val="ListParagraph"/>
        <w:numPr>
          <w:ilvl w:val="0"/>
          <w:numId w:val="2"/>
        </w:numPr>
        <w:spacing w:after="90" w:line="280"/>
      </w:pPr>
      <w:r>
        <w:rPr>
          <w:sz w:val="21"/>
          <w:szCs w:val="21"/>
        </w:rPr>
        <w:t xml:space="preserve">Informalidad laboral y baja bancarización familiar, que reduce la exposición práctica de los estudiantes a productos y hábitos financieros formales fuera de la escuela.</w:t>
      </w:r>
    </w:p>
    <w:p>
      <w:pPr>
        <w:pStyle w:val="ListParagraph"/>
        <w:numPr>
          <w:ilvl w:val="0"/>
          <w:numId w:val="2"/>
        </w:numPr>
        <w:spacing w:after="90" w:line="280"/>
      </w:pPr>
      <w:r>
        <w:rPr>
          <w:sz w:val="21"/>
          <w:szCs w:val="21"/>
        </w:rPr>
        <w:t xml:space="preserve">Desigualdad de género en el acceso a crédito y documentación formal, que perpetúa brechas de conocimiento financiero entre generaciones dentro del hogar.</w:t>
      </w:r>
    </w:p>
    <w:p>
      <w:pPr>
        <w:pStyle w:val="Heading1"/>
        <w:pBdr>
          <w:bottom w:val="single" w:color="B08D57" w:sz="6" w:space="4"/>
        </w:pBdr>
        <w:spacing w:after="200" w:before="400"/>
      </w:pPr>
      <w:r>
        <w:rPr>
          <w:b/>
          <w:bCs/>
          <w:color w:val="1F3864"/>
          <w:sz w:val="30"/>
          <w:szCs w:val="30"/>
        </w:rPr>
        <w:t xml:space="preserve">4. Cómo enfrentar el problema: marco estratégico</w:t>
      </w:r>
    </w:p>
    <w:p>
      <w:pPr>
        <w:spacing w:after="160" w:line="300"/>
        <w:jc w:val="both"/>
      </w:pPr>
      <w:r>
        <w:rPr>
          <w:sz w:val="21"/>
          <w:szCs w:val="21"/>
        </w:rPr>
        <w:t xml:space="preserve">La evidencia internacional revisada mediante ensayos controlados aleatorios (el estándar más riguroso de evaluación de impacto) es clara: un metaanálisis de 76 ensayos controlados aleatorios, que cubrió 33 países y más de 160,000 personas, encontró que la educación financiera mejora tanto el conocimiento como el comportamiento financiero de manera significativa, incluso ajustando por sesgo de publicación, y que estas mejoras se logran a costos relativamente bajos.</w:t>
      </w:r>
    </w:p>
    <w:p>
      <w:pPr>
        <w:spacing w:after="200" w:before="60"/>
      </w:pPr>
      <w:r>
        <w:rPr>
          <w:i/>
          <w:iCs/>
          <w:color w:val="595959"/>
          <w:sz w:val="18"/>
          <w:szCs w:val="18"/>
        </w:rPr>
        <w:t xml:space="preserve">Fuente: Kaiser, Lusardi, Menkhoff y Urban (2020), resumido en Stanford Graduate School of Business y CEPR/VoxEU, “Financial education is effective and efficient”.</w:t>
      </w:r>
    </w:p>
    <w:p>
      <w:pPr>
        <w:spacing w:after="160" w:line="300"/>
        <w:jc w:val="both"/>
      </w:pPr>
      <w:r>
        <w:rPr>
          <w:sz w:val="21"/>
          <w:szCs w:val="21"/>
        </w:rPr>
        <w:t xml:space="preserve">A partir de esta evidencia y del diagnóstico nacional, se propone un marco de cuatro ejes:</w:t>
      </w:r>
    </w:p>
    <w:p>
      <w:pPr>
        <w:pStyle w:val="ListParagraph"/>
        <w:numPr>
          <w:ilvl w:val="0"/>
          <w:numId w:val="3"/>
        </w:numPr>
        <w:spacing w:after="90" w:line="280"/>
      </w:pPr>
      <w:r>
        <w:rPr>
          <w:sz w:val="21"/>
          <w:szCs w:val="21"/>
        </w:rPr>
        <w:t xml:space="preserve">Eje 1 — Currícularización permanente: convertir la educación económica y financiera en un componente obligatorio y evaluado del currículo dominicano (no solo talleres extracurriculares), desde el nivel primario hasta el politécnico.</w:t>
      </w:r>
    </w:p>
    <w:p>
      <w:pPr>
        <w:pStyle w:val="ListParagraph"/>
        <w:numPr>
          <w:ilvl w:val="0"/>
          <w:numId w:val="3"/>
        </w:numPr>
        <w:spacing w:after="90" w:line="280"/>
      </w:pPr>
      <w:r>
        <w:rPr>
          <w:sz w:val="21"/>
          <w:szCs w:val="21"/>
        </w:rPr>
        <w:t xml:space="preserve">Eje 2 — Formación docente continua y certificada: institucionalizar la capacitación a través de INAFOCAM con certificación, actualización periódica y materiales estandarizados.</w:t>
      </w:r>
    </w:p>
    <w:p>
      <w:pPr>
        <w:pStyle w:val="ListParagraph"/>
        <w:numPr>
          <w:ilvl w:val="0"/>
          <w:numId w:val="3"/>
        </w:numPr>
        <w:spacing w:after="90" w:line="280"/>
      </w:pPr>
      <w:r>
        <w:rPr>
          <w:sz w:val="21"/>
          <w:szCs w:val="21"/>
        </w:rPr>
        <w:t xml:space="preserve">Eje 3 — Equidad territorial y de género: priorizar la implementación en las regiones y provincias con menor inclusión financiera y mayor ruralidad, y en la modalidad de adultos, con enfoque diferenciado para mujeres emprendedoras del sector informal.</w:t>
      </w:r>
    </w:p>
    <w:p>
      <w:pPr>
        <w:pStyle w:val="ListParagraph"/>
        <w:numPr>
          <w:ilvl w:val="0"/>
          <w:numId w:val="3"/>
        </w:numPr>
        <w:spacing w:after="90" w:line="280"/>
      </w:pPr>
      <w:r>
        <w:rPr>
          <w:sz w:val="21"/>
          <w:szCs w:val="21"/>
        </w:rPr>
        <w:t xml:space="preserve">Eje 4 — Evaluación de impacto y datos abiertos: medir resultados con instrumentos comparables a la ENIEF y a las pruebas PISA de competencia financiera, para ajustar el programa con evidencia, no solo con cobertura declarada.</w:t>
      </w:r>
    </w:p>
    <w:p>
      <w:r>
        <w:br w:type="page"/>
      </w:r>
    </w:p>
    <w:p>
      <w:pPr>
        <w:pStyle w:val="Heading1"/>
        <w:pBdr>
          <w:bottom w:val="single" w:color="B08D57" w:sz="6" w:space="4"/>
        </w:pBdr>
        <w:spacing w:after="200" w:before="400"/>
      </w:pPr>
      <w:r>
        <w:rPr>
          <w:b/>
          <w:bCs/>
          <w:color w:val="1F3864"/>
          <w:sz w:val="30"/>
          <w:szCs w:val="30"/>
        </w:rPr>
        <w:t xml:space="preserve">5. Programas educativos propuestos para el sistema educativo dominicano</w:t>
      </w:r>
    </w:p>
    <w:p>
      <w:pPr>
        <w:spacing w:after="160" w:line="300"/>
        <w:jc w:val="both"/>
      </w:pPr>
      <w:r>
        <w:rPr>
          <w:sz w:val="21"/>
          <w:szCs w:val="21"/>
        </w:rPr>
        <w:t xml:space="preserve">La propuesta se apoya y expande la Estrategia Nacional de Educación Económica y Financiera (ENEEF), resultado de la mesa de trabajo entre el MINERD y el Banco Central desde 2017, y el más reciente acuerdo MINERD–Banreservas (diciembre 2024) orientado a bancarización y finanzas personales para niños y adolescentes.</w:t>
      </w:r>
    </w:p>
    <w:p>
      <w:pPr>
        <w:spacing w:after="200" w:before="60"/>
      </w:pPr>
      <w:r>
        <w:rPr>
          <w:i/>
          <w:iCs/>
          <w:color w:val="595959"/>
          <w:sz w:val="18"/>
          <w:szCs w:val="18"/>
        </w:rPr>
        <w:t xml:space="preserve">Fuente: eneef.do; Ministerio de Educación de la República Dominicana (ministeriodeeducacion.gob.do).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3500"/>
        <w:gridCol w:w="1700"/>
      </w:tblGrid>
      <w:tr>
        <w:trPr>
          <w:tblHeader/>
        </w:trPr>
        <w:tc>
          <w:tcPr>
            <w:tcW w:type="dxa" w:w="1500"/>
            <w:shd w:fill="1F3864" w:val="clear"/>
            <w:tcMar>
              <w:top w:type="dxa" w:w="80"/>
              <w:left w:type="dxa" w:w="100"/>
              <w:bottom w:type="dxa" w:w="80"/>
              <w:right w:type="dxa" w:w="100"/>
            </w:tcMar>
            <w:vAlign w:val="center"/>
          </w:tcPr>
          <w:p>
            <w:pPr>
              <w:jc w:val="center"/>
            </w:pPr>
            <w:r>
              <w:rPr>
                <w:b/>
                <w:bCs/>
                <w:color w:val="FFFFFF"/>
                <w:sz w:val="19"/>
                <w:szCs w:val="19"/>
              </w:rPr>
              <w:t xml:space="preserve">Nivel</w:t>
            </w:r>
          </w:p>
        </w:tc>
        <w:tc>
          <w:tcPr>
            <w:tcW w:type="dxa" w:w="3300"/>
            <w:shd w:fill="1F3864" w:val="clear"/>
            <w:tcMar>
              <w:top w:type="dxa" w:w="80"/>
              <w:left w:type="dxa" w:w="100"/>
              <w:bottom w:type="dxa" w:w="80"/>
              <w:right w:type="dxa" w:w="100"/>
            </w:tcMar>
            <w:vAlign w:val="center"/>
          </w:tcPr>
          <w:p>
            <w:pPr>
              <w:jc w:val="center"/>
            </w:pPr>
            <w:r>
              <w:rPr>
                <w:b/>
                <w:bCs/>
                <w:color w:val="FFFFFF"/>
                <w:sz w:val="19"/>
                <w:szCs w:val="19"/>
              </w:rPr>
              <w:t xml:space="preserve">Programa propuesto</w:t>
            </w:r>
          </w:p>
        </w:tc>
        <w:tc>
          <w:tcPr>
            <w:tcW w:type="dxa" w:w="3500"/>
            <w:shd w:fill="1F3864" w:val="clear"/>
            <w:tcMar>
              <w:top w:type="dxa" w:w="80"/>
              <w:left w:type="dxa" w:w="100"/>
              <w:bottom w:type="dxa" w:w="80"/>
              <w:right w:type="dxa" w:w="100"/>
            </w:tcMar>
            <w:vAlign w:val="center"/>
          </w:tcPr>
          <w:p>
            <w:pPr>
              <w:jc w:val="center"/>
            </w:pPr>
            <w:r>
              <w:rPr>
                <w:b/>
                <w:bCs/>
                <w:color w:val="FFFFFF"/>
                <w:sz w:val="19"/>
                <w:szCs w:val="19"/>
              </w:rPr>
              <w:t xml:space="preserve">Contenidos clave</w:t>
            </w:r>
          </w:p>
        </w:tc>
        <w:tc>
          <w:tcPr>
            <w:tcW w:type="dxa" w:w="1700"/>
            <w:shd w:fill="1F3864" w:val="clear"/>
            <w:tcMar>
              <w:top w:type="dxa" w:w="80"/>
              <w:left w:type="dxa" w:w="100"/>
              <w:bottom w:type="dxa" w:w="80"/>
              <w:right w:type="dxa" w:w="100"/>
            </w:tcMar>
            <w:vAlign w:val="center"/>
          </w:tcPr>
          <w:p>
            <w:pPr>
              <w:jc w:val="center"/>
            </w:pPr>
            <w:r>
              <w:rPr>
                <w:b/>
                <w:bCs/>
                <w:color w:val="FFFFFF"/>
                <w:sz w:val="19"/>
                <w:szCs w:val="19"/>
              </w:rPr>
              <w:t xml:space="preserve">Actor líder</w:t>
            </w:r>
          </w:p>
        </w:tc>
      </w:tr>
      <w:tr>
        <w:tc>
          <w:tcPr>
            <w:tcW w:type="dxa" w:w="15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Inicial y Primario (1.°-6.°)</w:t>
            </w:r>
          </w:p>
        </w:tc>
        <w:tc>
          <w:tcPr>
            <w:tcW w:type="dxa" w:w="3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“Mis Primeras Finanzas”: integración transversal en Matemática y Formación Humana</w:t>
            </w:r>
          </w:p>
        </w:tc>
        <w:tc>
          <w:tcPr>
            <w:tcW w:type="dxa" w:w="35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Valor del dinero, diferencia entre necesidad y deseo, ahorro en alcancía, hábitos básicos</w:t>
            </w:r>
          </w:p>
        </w:tc>
        <w:tc>
          <w:tcPr>
            <w:tcW w:type="dxa" w:w="17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MINERD / BCRD</w:t>
            </w:r>
          </w:p>
        </w:tc>
      </w:tr>
      <w:tr>
        <w:tc>
          <w:tcPr>
            <w:tcW w:type="dxa" w:w="1500"/>
            <w:tcMar>
              <w:top w:type="dxa" w:w="80"/>
              <w:left w:type="dxa" w:w="100"/>
              <w:bottom w:type="dxa" w:w="80"/>
              <w:right w:type="dxa" w:w="100"/>
            </w:tcMar>
            <w:vAlign w:val="center"/>
          </w:tcPr>
          <w:p>
            <w:pPr>
              <w:jc w:val="left"/>
            </w:pPr>
            <w:r>
              <w:rPr>
                <w:b w:val="false"/>
                <w:bCs w:val="false"/>
                <w:color w:val="000000"/>
                <w:sz w:val="19"/>
                <w:szCs w:val="19"/>
              </w:rPr>
              <w:t xml:space="preserve">Secundario (1.°-6.°)</w:t>
            </w:r>
          </w:p>
        </w:tc>
        <w:tc>
          <w:tcPr>
            <w:tcW w:type="dxa" w:w="3300"/>
            <w:tcMar>
              <w:top w:type="dxa" w:w="80"/>
              <w:left w:type="dxa" w:w="100"/>
              <w:bottom w:type="dxa" w:w="80"/>
              <w:right w:type="dxa" w:w="100"/>
            </w:tcMar>
            <w:vAlign w:val="center"/>
          </w:tcPr>
          <w:p>
            <w:pPr>
              <w:jc w:val="left"/>
            </w:pPr>
            <w:r>
              <w:rPr>
                <w:b w:val="false"/>
                <w:bCs w:val="false"/>
                <w:color w:val="000000"/>
                <w:sz w:val="19"/>
                <w:szCs w:val="19"/>
              </w:rPr>
              <w:t xml:space="preserve">Asignatura/módulo de Educación Económica y Financiera dentro de Matemática</w:t>
            </w:r>
          </w:p>
        </w:tc>
        <w:tc>
          <w:tcPr>
            <w:tcW w:type="dxa" w:w="3500"/>
            <w:tcMar>
              <w:top w:type="dxa" w:w="80"/>
              <w:left w:type="dxa" w:w="100"/>
              <w:bottom w:type="dxa" w:w="80"/>
              <w:right w:type="dxa" w:w="100"/>
            </w:tcMar>
            <w:vAlign w:val="center"/>
          </w:tcPr>
          <w:p>
            <w:pPr>
              <w:jc w:val="left"/>
            </w:pPr>
            <w:r>
              <w:rPr>
                <w:b w:val="false"/>
                <w:bCs w:val="false"/>
                <w:color w:val="000000"/>
                <w:sz w:val="19"/>
                <w:szCs w:val="19"/>
              </w:rPr>
              <w:t xml:space="preserve">Presupuesto personal, tarjetas de crédito y débito, ahorro formal, riesgos del sobreendeudamiento, sistema financiero regulado</w:t>
            </w:r>
          </w:p>
        </w:tc>
        <w:tc>
          <w:tcPr>
            <w:tcW w:type="dxa" w:w="1700"/>
            <w:tcMar>
              <w:top w:type="dxa" w:w="80"/>
              <w:left w:type="dxa" w:w="100"/>
              <w:bottom w:type="dxa" w:w="80"/>
              <w:right w:type="dxa" w:w="100"/>
            </w:tcMar>
            <w:vAlign w:val="center"/>
          </w:tcPr>
          <w:p>
            <w:pPr>
              <w:jc w:val="left"/>
            </w:pPr>
            <w:r>
              <w:rPr>
                <w:b w:val="false"/>
                <w:bCs w:val="false"/>
                <w:color w:val="000000"/>
                <w:sz w:val="19"/>
                <w:szCs w:val="19"/>
              </w:rPr>
              <w:t xml:space="preserve">MINERD / BCRD / SB</w:t>
            </w:r>
          </w:p>
        </w:tc>
      </w:tr>
      <w:tr>
        <w:tc>
          <w:tcPr>
            <w:tcW w:type="dxa" w:w="15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Técnico-Profesional / Politécnico</w:t>
            </w:r>
          </w:p>
        </w:tc>
        <w:tc>
          <w:tcPr>
            <w:tcW w:type="dxa" w:w="3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“Finanzas para Emprender”: módulo aplicado a proyectos productivos</w:t>
            </w:r>
          </w:p>
        </w:tc>
        <w:tc>
          <w:tcPr>
            <w:tcW w:type="dxa" w:w="35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Costeo, financiamiento formal para Mipymes, pensiones (AFP), seguros básicos</w:t>
            </w:r>
          </w:p>
        </w:tc>
        <w:tc>
          <w:tcPr>
            <w:tcW w:type="dxa" w:w="17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MINERD / INFOTEP / Superintendencias</w:t>
            </w:r>
          </w:p>
        </w:tc>
      </w:tr>
      <w:tr>
        <w:tc>
          <w:tcPr>
            <w:tcW w:type="dxa" w:w="1500"/>
            <w:tcMar>
              <w:top w:type="dxa" w:w="80"/>
              <w:left w:type="dxa" w:w="100"/>
              <w:bottom w:type="dxa" w:w="80"/>
              <w:right w:type="dxa" w:w="100"/>
            </w:tcMar>
            <w:vAlign w:val="center"/>
          </w:tcPr>
          <w:p>
            <w:pPr>
              <w:jc w:val="left"/>
            </w:pPr>
            <w:r>
              <w:rPr>
                <w:b w:val="false"/>
                <w:bCs w:val="false"/>
                <w:color w:val="000000"/>
                <w:sz w:val="19"/>
                <w:szCs w:val="19"/>
              </w:rPr>
              <w:t xml:space="preserve">Educación de Adultos</w:t>
            </w:r>
          </w:p>
        </w:tc>
        <w:tc>
          <w:tcPr>
            <w:tcW w:type="dxa" w:w="3300"/>
            <w:tcMar>
              <w:top w:type="dxa" w:w="80"/>
              <w:left w:type="dxa" w:w="100"/>
              <w:bottom w:type="dxa" w:w="80"/>
              <w:right w:type="dxa" w:w="100"/>
            </w:tcMar>
            <w:vAlign w:val="center"/>
          </w:tcPr>
          <w:p>
            <w:pPr>
              <w:jc w:val="left"/>
            </w:pPr>
            <w:r>
              <w:rPr>
                <w:b w:val="false"/>
                <w:bCs w:val="false"/>
                <w:color w:val="000000"/>
                <w:sz w:val="19"/>
                <w:szCs w:val="19"/>
              </w:rPr>
              <w:t xml:space="preserve">“Finanzas en Familia”: alfabetización financiera acelerada</w:t>
            </w:r>
          </w:p>
        </w:tc>
        <w:tc>
          <w:tcPr>
            <w:tcW w:type="dxa" w:w="3500"/>
            <w:tcMar>
              <w:top w:type="dxa" w:w="80"/>
              <w:left w:type="dxa" w:w="100"/>
              <w:bottom w:type="dxa" w:w="80"/>
              <w:right w:type="dxa" w:w="100"/>
            </w:tcMar>
            <w:vAlign w:val="center"/>
          </w:tcPr>
          <w:p>
            <w:pPr>
              <w:jc w:val="left"/>
            </w:pPr>
            <w:r>
              <w:rPr>
                <w:b w:val="false"/>
                <w:bCs w:val="false"/>
                <w:color w:val="000000"/>
                <w:sz w:val="19"/>
                <w:szCs w:val="19"/>
              </w:rPr>
              <w:t xml:space="preserve">Presupuesto del hogar, remesas, prevención de fraude financiero, banca digital</w:t>
            </w:r>
          </w:p>
        </w:tc>
        <w:tc>
          <w:tcPr>
            <w:tcW w:type="dxa" w:w="1700"/>
            <w:tcMar>
              <w:top w:type="dxa" w:w="80"/>
              <w:left w:type="dxa" w:w="100"/>
              <w:bottom w:type="dxa" w:w="80"/>
              <w:right w:type="dxa" w:w="100"/>
            </w:tcMar>
            <w:vAlign w:val="center"/>
          </w:tcPr>
          <w:p>
            <w:pPr>
              <w:jc w:val="left"/>
            </w:pPr>
            <w:r>
              <w:rPr>
                <w:b w:val="false"/>
                <w:bCs w:val="false"/>
                <w:color w:val="000000"/>
                <w:sz w:val="19"/>
                <w:szCs w:val="19"/>
              </w:rPr>
              <w:t xml:space="preserve">MINERD (subsistema de adultos) / Banca Múltiple</w:t>
            </w:r>
          </w:p>
        </w:tc>
      </w:tr>
      <w:tr>
        <w:tc>
          <w:tcPr>
            <w:tcW w:type="dxa" w:w="15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Formación docente</w:t>
            </w:r>
          </w:p>
        </w:tc>
        <w:tc>
          <w:tcPr>
            <w:tcW w:type="dxa" w:w="3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Certificación continua en Educación Económica y Financiera (INAFOCAM)</w:t>
            </w:r>
          </w:p>
        </w:tc>
        <w:tc>
          <w:tcPr>
            <w:tcW w:type="dxa" w:w="35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Actualización de contenidos, didáctica financiera, uso de la Guía del BCRD</w:t>
            </w:r>
          </w:p>
        </w:tc>
        <w:tc>
          <w:tcPr>
            <w:tcW w:type="dxa" w:w="17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INAFOCAM / BCRD</w:t>
            </w:r>
          </w:p>
        </w:tc>
      </w:tr>
    </w:tbl>
    <w:p>
      <w:pPr>
        <w:spacing w:after="200" w:before="60"/>
      </w:pPr>
      <w:r>
        <w:rPr>
          <w:i/>
          <w:iCs/>
          <w:color w:val="595959"/>
          <w:sz w:val="18"/>
          <w:szCs w:val="18"/>
        </w:rPr>
        <w:t xml:space="preserve">Fuente: Diseño propio a partir de INAFOCAM, ENEEF (eneef.do), MINERD y la “Guía para desarrollar tus habilidades económicas y financieras” del Banco Central (cdn.bancentral.gov.do).</w:t>
      </w:r>
    </w:p>
    <w:p>
      <w:pPr>
        <w:spacing w:after="160" w:line="300"/>
        <w:jc w:val="both"/>
      </w:pPr>
      <w:r>
        <w:rPr>
          <w:sz w:val="21"/>
          <w:szCs w:val="21"/>
        </w:rPr>
        <w:t xml:space="preserve">Complementariamente, se recomienda incorporar el componente de protección al consumidor financiero (prevención de fraude, letra pequeña de contratos y canales de reclamación ante la Superintendencia de Bancos), dado que la alfabetización financiera reduce la vulnerabilidad ante amenazas de ciberseguridad y fraude identificada como riesgo creciente para la población financieramente excluida.</w:t>
      </w:r>
    </w:p>
    <w:p>
      <w:pPr>
        <w:spacing w:after="200" w:before="60"/>
      </w:pPr>
      <w:r>
        <w:rPr>
          <w:i/>
          <w:iCs/>
          <w:color w:val="595959"/>
          <w:sz w:val="18"/>
          <w:szCs w:val="18"/>
        </w:rPr>
        <w:t xml:space="preserve">Fuente: Instituto OMG (iomg.edu.do), “Inclusión Financiera en RD - FinTechs y educación financiera como catalizadores”.</w:t>
      </w:r>
    </w:p>
    <w:p>
      <w:pPr>
        <w:pStyle w:val="Heading1"/>
        <w:pBdr>
          <w:bottom w:val="single" w:color="B08D57" w:sz="6" w:space="4"/>
        </w:pBdr>
        <w:spacing w:after="200" w:before="400"/>
      </w:pPr>
      <w:r>
        <w:rPr>
          <w:b/>
          <w:bCs/>
          <w:color w:val="1F3864"/>
          <w:sz w:val="30"/>
          <w:szCs w:val="30"/>
        </w:rPr>
        <w:t xml:space="preserve">6. Plan de ejecución</w:t>
      </w:r>
    </w:p>
    <w:p>
      <w:pPr>
        <w:pStyle w:val="Heading2"/>
        <w:spacing w:after="120" w:before="280"/>
      </w:pPr>
      <w:r>
        <w:rPr>
          <w:b/>
          <w:bCs/>
          <w:color w:val="1F3864"/>
          <w:sz w:val="24"/>
          <w:szCs w:val="24"/>
        </w:rPr>
        <w:t xml:space="preserve">6.1 Actores institucionales</w:t>
      </w:r>
    </w:p>
    <w:p>
      <w:pPr>
        <w:pStyle w:val="ListParagraph"/>
        <w:numPr>
          <w:ilvl w:val="0"/>
          <w:numId w:val="3"/>
        </w:numPr>
        <w:spacing w:after="90" w:line="280"/>
      </w:pPr>
      <w:r>
        <w:rPr>
          <w:sz w:val="21"/>
          <w:szCs w:val="21"/>
        </w:rPr>
        <w:t xml:space="preserve">Ministerio de Educación (MINERD): rectoría curricular, Dirección General de Currículo, Dirección General de Secundaria.</w:t>
      </w:r>
    </w:p>
    <w:p>
      <w:pPr>
        <w:pStyle w:val="ListParagraph"/>
        <w:numPr>
          <w:ilvl w:val="0"/>
          <w:numId w:val="3"/>
        </w:numPr>
        <w:spacing w:after="90" w:line="280"/>
      </w:pPr>
      <w:r>
        <w:rPr>
          <w:sz w:val="21"/>
          <w:szCs w:val="21"/>
        </w:rPr>
        <w:t xml:space="preserve">Banco Central de la República Dominicana (BCRD): coordinación técnica de la Mesa de Trabajo ENEEF, elaboración de contenidos y encuestas de seguimiento.</w:t>
      </w:r>
    </w:p>
    <w:p>
      <w:pPr>
        <w:pStyle w:val="ListParagraph"/>
        <w:numPr>
          <w:ilvl w:val="0"/>
          <w:numId w:val="3"/>
        </w:numPr>
        <w:spacing w:after="90" w:line="280"/>
      </w:pPr>
      <w:r>
        <w:rPr>
          <w:sz w:val="21"/>
          <w:szCs w:val="21"/>
        </w:rPr>
        <w:t xml:space="preserve">INAFOCAM: certificación y actualización continua del profesorado.</w:t>
      </w:r>
    </w:p>
    <w:p>
      <w:pPr>
        <w:pStyle w:val="ListParagraph"/>
        <w:numPr>
          <w:ilvl w:val="0"/>
          <w:numId w:val="3"/>
        </w:numPr>
        <w:spacing w:after="90" w:line="280"/>
      </w:pPr>
      <w:r>
        <w:rPr>
          <w:sz w:val="21"/>
          <w:szCs w:val="21"/>
        </w:rPr>
        <w:t xml:space="preserve">Superintendencia de Bancos, de Valores y de Pensiones: contenidos de protección al consumidor y productos financieros regulados.</w:t>
      </w:r>
    </w:p>
    <w:p>
      <w:pPr>
        <w:pStyle w:val="ListParagraph"/>
        <w:numPr>
          <w:ilvl w:val="0"/>
          <w:numId w:val="3"/>
        </w:numPr>
        <w:spacing w:after="90" w:line="280"/>
      </w:pPr>
      <w:r>
        <w:rPr>
          <w:sz w:val="21"/>
          <w:szCs w:val="21"/>
        </w:rPr>
        <w:t xml:space="preserve">Banca Múltiple (Banreservas y asociaciones de bancos) y sector fintech: recursos, charlas y alianzas de responsabilidad social, siguiendo el modelo ya iniciado con Banreservas–MINERD (2024).</w:t>
      </w:r>
    </w:p>
    <w:p>
      <w:pPr>
        <w:pStyle w:val="ListParagraph"/>
        <w:numPr>
          <w:ilvl w:val="0"/>
          <w:numId w:val="3"/>
        </w:numPr>
        <w:spacing w:after="90" w:line="280"/>
      </w:pPr>
      <w:r>
        <w:rPr>
          <w:sz w:val="21"/>
          <w:szCs w:val="21"/>
        </w:rPr>
        <w:t xml:space="preserve">Organismos multilaterales (BID, AFI): asistencia técnica y evaluación de impacto, con base en la experiencia ya documentada de la Red AFI para América Latina y el Caribe, en la que República Dominicana participa activamente.</w:t>
      </w:r>
    </w:p>
    <w:p>
      <w:pPr>
        <w:spacing w:after="200" w:before="60"/>
      </w:pPr>
      <w:r>
        <w:rPr>
          <w:i/>
          <w:iCs/>
          <w:color w:val="595959"/>
          <w:sz w:val="18"/>
          <w:szCs w:val="18"/>
        </w:rPr>
        <w:t xml:space="preserve">Fuente: AFI (Alliance for Financial Inclusion), “La educación financiera en América Latina y el Caribe: estudio de casos” (afi-global.org).</w:t>
      </w:r>
    </w:p>
    <w:p>
      <w:pPr>
        <w:pStyle w:val="Heading2"/>
        <w:spacing w:after="120" w:before="280"/>
      </w:pPr>
      <w:r>
        <w:rPr>
          <w:b/>
          <w:bCs/>
          <w:color w:val="1F3864"/>
          <w:sz w:val="24"/>
          <w:szCs w:val="24"/>
        </w:rPr>
        <w:t xml:space="preserve">6.2 Fases de implementación (horizonte de 4 años)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6400"/>
      </w:tblGrid>
      <w:tr>
        <w:trPr>
          <w:tblHeader/>
        </w:trPr>
        <w:tc>
          <w:tcPr>
            <w:tcW w:type="dxa" w:w="1600"/>
            <w:shd w:fill="1F3864" w:val="clear"/>
            <w:tcMar>
              <w:top w:type="dxa" w:w="80"/>
              <w:left w:type="dxa" w:w="100"/>
              <w:bottom w:type="dxa" w:w="80"/>
              <w:right w:type="dxa" w:w="100"/>
            </w:tcMar>
            <w:vAlign w:val="center"/>
          </w:tcPr>
          <w:p>
            <w:pPr>
              <w:jc w:val="center"/>
            </w:pPr>
            <w:r>
              <w:rPr>
                <w:b/>
                <w:bCs/>
                <w:color w:val="FFFFFF"/>
                <w:sz w:val="19"/>
                <w:szCs w:val="19"/>
              </w:rPr>
              <w:t xml:space="preserve">Fase</w:t>
            </w:r>
          </w:p>
        </w:tc>
        <w:tc>
          <w:tcPr>
            <w:tcW w:type="dxa" w:w="2000"/>
            <w:shd w:fill="1F3864" w:val="clear"/>
            <w:tcMar>
              <w:top w:type="dxa" w:w="80"/>
              <w:left w:type="dxa" w:w="100"/>
              <w:bottom w:type="dxa" w:w="80"/>
              <w:right w:type="dxa" w:w="100"/>
            </w:tcMar>
            <w:vAlign w:val="center"/>
          </w:tcPr>
          <w:p>
            <w:pPr>
              <w:jc w:val="center"/>
            </w:pPr>
            <w:r>
              <w:rPr>
                <w:b/>
                <w:bCs/>
                <w:color w:val="FFFFFF"/>
                <w:sz w:val="19"/>
                <w:szCs w:val="19"/>
              </w:rPr>
              <w:t xml:space="preserve">Periodo</w:t>
            </w:r>
          </w:p>
        </w:tc>
        <w:tc>
          <w:tcPr>
            <w:tcW w:type="dxa" w:w="6400"/>
            <w:shd w:fill="1F3864" w:val="clear"/>
            <w:tcMar>
              <w:top w:type="dxa" w:w="80"/>
              <w:left w:type="dxa" w:w="100"/>
              <w:bottom w:type="dxa" w:w="80"/>
              <w:right w:type="dxa" w:w="100"/>
            </w:tcMar>
            <w:vAlign w:val="center"/>
          </w:tcPr>
          <w:p>
            <w:pPr>
              <w:jc w:val="center"/>
            </w:pPr>
            <w:r>
              <w:rPr>
                <w:b/>
                <w:bCs/>
                <w:color w:val="FFFFFF"/>
                <w:sz w:val="19"/>
                <w:szCs w:val="19"/>
              </w:rPr>
              <w:t xml:space="preserve">Actividades principales</w:t>
            </w:r>
          </w:p>
        </w:tc>
      </w:tr>
      <w:tr>
        <w:tc>
          <w:tcPr>
            <w:tcW w:type="dxa" w:w="1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Fase 1 — Diseño y línea base</w:t>
            </w:r>
          </w:p>
        </w:tc>
        <w:tc>
          <w:tcPr>
            <w:tcW w:type="dxa" w:w="2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Año 1</w:t>
            </w:r>
          </w:p>
        </w:tc>
        <w:tc>
          <w:tcPr>
            <w:tcW w:type="dxa" w:w="6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Actualizar la ENEEF, definir competencias por nivel dentro del currículo, aplicar línea base con instrumento equivalente a la ENIEF en una muestra de estudiantes de secundaria, priorizar regiones con menor inclusión financiera.</w:t>
            </w:r>
          </w:p>
        </w:tc>
      </w:tr>
      <w:tr>
        <w:tc>
          <w:tcPr>
            <w:tcW w:type="dxa" w:w="1600"/>
            <w:tcMar>
              <w:top w:type="dxa" w:w="80"/>
              <w:left w:type="dxa" w:w="100"/>
              <w:bottom w:type="dxa" w:w="80"/>
              <w:right w:type="dxa" w:w="100"/>
            </w:tcMar>
            <w:vAlign w:val="center"/>
          </w:tcPr>
          <w:p>
            <w:pPr>
              <w:jc w:val="left"/>
            </w:pPr>
            <w:r>
              <w:rPr>
                <w:b w:val="false"/>
                <w:bCs w:val="false"/>
                <w:color w:val="000000"/>
                <w:sz w:val="19"/>
                <w:szCs w:val="19"/>
              </w:rPr>
              <w:t xml:space="preserve">Fase 2 — Piloto</w:t>
            </w:r>
          </w:p>
        </w:tc>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Año 1-2</w:t>
            </w:r>
          </w:p>
        </w:tc>
        <w:tc>
          <w:tcPr>
            <w:tcW w:type="dxa" w:w="6400"/>
            <w:tcMar>
              <w:top w:type="dxa" w:w="80"/>
              <w:left w:type="dxa" w:w="100"/>
              <w:bottom w:type="dxa" w:w="80"/>
              <w:right w:type="dxa" w:w="100"/>
            </w:tcMar>
            <w:vAlign w:val="center"/>
          </w:tcPr>
          <w:p>
            <w:pPr>
              <w:jc w:val="left"/>
            </w:pPr>
            <w:r>
              <w:rPr>
                <w:b w:val="false"/>
                <w:bCs w:val="false"/>
                <w:color w:val="000000"/>
                <w:sz w:val="19"/>
                <w:szCs w:val="19"/>
              </w:rPr>
              <w:t xml:space="preserve">Implementar el módulo en una muestra representativa de escuelas públicas (con grupo de comparación), capacitar a los docentes piloto vía INAFOCAM, medir resultados a los 6 y 12 meses.</w:t>
            </w:r>
          </w:p>
        </w:tc>
      </w:tr>
      <w:tr>
        <w:tc>
          <w:tcPr>
            <w:tcW w:type="dxa" w:w="1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Fase 3 — Escalamiento nacional</w:t>
            </w:r>
          </w:p>
        </w:tc>
        <w:tc>
          <w:tcPr>
            <w:tcW w:type="dxa" w:w="2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Año 2-3</w:t>
            </w:r>
          </w:p>
        </w:tc>
        <w:tc>
          <w:tcPr>
            <w:tcW w:type="dxa" w:w="6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Extender el módulo a todo el nivel secundario público (861,308 estudiantes según matrícula 2024-2025) y progresivamente a primaria; formalizar la certificación docente obligatoria; distribuir materiales impresos y digitales vía la plataforma República Digital.</w:t>
            </w:r>
          </w:p>
        </w:tc>
      </w:tr>
      <w:tr>
        <w:tc>
          <w:tcPr>
            <w:tcW w:type="dxa" w:w="1600"/>
            <w:tcMar>
              <w:top w:type="dxa" w:w="80"/>
              <w:left w:type="dxa" w:w="100"/>
              <w:bottom w:type="dxa" w:w="80"/>
              <w:right w:type="dxa" w:w="100"/>
            </w:tcMar>
            <w:vAlign w:val="center"/>
          </w:tcPr>
          <w:p>
            <w:pPr>
              <w:jc w:val="left"/>
            </w:pPr>
            <w:r>
              <w:rPr>
                <w:b w:val="false"/>
                <w:bCs w:val="false"/>
                <w:color w:val="000000"/>
                <w:sz w:val="19"/>
                <w:szCs w:val="19"/>
              </w:rPr>
              <w:t xml:space="preserve">Fase 4 — Consolidación y evaluación</w:t>
            </w:r>
          </w:p>
        </w:tc>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Año 3-4</w:t>
            </w:r>
          </w:p>
        </w:tc>
        <w:tc>
          <w:tcPr>
            <w:tcW w:type="dxa" w:w="6400"/>
            <w:tcMar>
              <w:top w:type="dxa" w:w="80"/>
              <w:left w:type="dxa" w:w="100"/>
              <w:bottom w:type="dxa" w:w="80"/>
              <w:right w:type="dxa" w:w="100"/>
            </w:tcMar>
            <w:vAlign w:val="center"/>
          </w:tcPr>
          <w:p>
            <w:pPr>
              <w:jc w:val="left"/>
            </w:pPr>
            <w:r>
              <w:rPr>
                <w:b w:val="false"/>
                <w:bCs w:val="false"/>
                <w:color w:val="000000"/>
                <w:sz w:val="19"/>
                <w:szCs w:val="19"/>
              </w:rPr>
              <w:t xml:space="preserve">Incorporar el componente de educación financiera en instrumentos nacionales de evaluación educativa, publicar una nueva ENIEF/ENIF comparativa, ajustar el programa con base en resultados y sostenerlo con financiamiento público permanente.</w:t>
            </w:r>
          </w:p>
        </w:tc>
      </w:tr>
    </w:tbl>
    <w:p>
      <w:pPr>
        <w:spacing w:after="200" w:before="60"/>
      </w:pPr>
      <w:r>
        <w:rPr>
          <w:i/>
          <w:iCs/>
          <w:color w:val="595959"/>
          <w:sz w:val="18"/>
          <w:szCs w:val="18"/>
        </w:rPr>
        <w:t xml:space="preserve">Fuente: Cifras de matrícula: Ministerio de Educación, año escolar 2024-2025 (presidencia.gob.do; elcaribe.com.do, estadísticas 2023-2024).</w:t>
      </w:r>
    </w:p>
    <w:p>
      <w:r>
        <w:br w:type="page"/>
      </w:r>
    </w:p>
    <w:p>
      <w:pPr>
        <w:pStyle w:val="Heading1"/>
        <w:pBdr>
          <w:bottom w:val="single" w:color="B08D57" w:sz="6" w:space="4"/>
        </w:pBdr>
        <w:spacing w:after="200" w:before="400"/>
      </w:pPr>
      <w:r>
        <w:rPr>
          <w:b/>
          <w:bCs/>
          <w:color w:val="1F3864"/>
          <w:sz w:val="30"/>
          <w:szCs w:val="30"/>
        </w:rPr>
        <w:t xml:space="preserve">7. Proyección de costo-efectividad</w:t>
      </w:r>
    </w:p>
    <w:p>
      <w:pPr>
        <w:pStyle w:val="Heading2"/>
        <w:spacing w:after="120" w:before="280"/>
      </w:pPr>
      <w:r>
        <w:rPr>
          <w:b/>
          <w:bCs/>
          <w:color w:val="1F3864"/>
          <w:sz w:val="24"/>
          <w:szCs w:val="24"/>
        </w:rPr>
        <w:t xml:space="preserve">7.1 Evidencia de costo por estudiante en la región</w:t>
      </w:r>
    </w:p>
    <w:p>
      <w:pPr>
        <w:spacing w:after="160" w:line="300"/>
        <w:jc w:val="both"/>
      </w:pPr>
      <w:r>
        <w:rPr>
          <w:sz w:val="21"/>
          <w:szCs w:val="21"/>
        </w:rPr>
        <w:t xml:space="preserve">El referente más sólido de la región es el piloto “Finanzas en mi Colegio” del Banco Interamericano de Desarrollo (BID), implementado mediante un ensayo controlado aleatorio en 150 escuelas secundarias públicas de seis regiones de Perú. El estudio encontró mejoras significativas en el conocimiento financiero de estudiantes (0.14 desviaciones estándar) y de maestros (0.30 desviaciones estándar), mejoras en autocontrol y hábitos de compra, y una reducción del gasto en bienes de consumo superfluo, todo ello con un costo de apenas US$6.6 por estudiante.</w:t>
      </w:r>
    </w:p>
    <w:p>
      <w:pPr>
        <w:spacing w:after="200" w:before="60"/>
      </w:pPr>
      <w:r>
        <w:rPr>
          <w:i/>
          <w:iCs/>
          <w:color w:val="595959"/>
          <w:sz w:val="18"/>
          <w:szCs w:val="18"/>
        </w:rPr>
        <w:t xml:space="preserve">Fuente: Frisancho, V. (2017), “Evaluación Experimental del Piloto Finanzas en mi Colegio”, Banco Interamericano de Desarrollo (publications.iadb.org).</w:t>
      </w:r>
    </w:p>
    <w:p>
      <w:pPr>
        <w:spacing w:after="160" w:line="300"/>
        <w:jc w:val="both"/>
      </w:pPr>
      <w:r>
        <w:rPr>
          <w:sz w:val="21"/>
          <w:szCs w:val="21"/>
        </w:rPr>
        <w:t xml:space="preserve">En Brasil, la evaluación de impacto de largo plazo (a nueve años del programa escolar de educación financiera) —el primer programa de este tipo en el mundo con seguimiento de tan largo alcance— demostró efectos positivos sostenidos sobre el uso del crédito y el emprendimiento formal de los egresados, evidencia que refuerza que los beneficios de estos programas se acumulan más allá del corto plazo.</w:t>
      </w:r>
    </w:p>
    <w:p>
      <w:pPr>
        <w:spacing w:after="200" w:before="60"/>
      </w:pPr>
      <w:r>
        <w:rPr>
          <w:i/>
          <w:iCs/>
          <w:color w:val="595959"/>
          <w:sz w:val="18"/>
          <w:szCs w:val="18"/>
        </w:rPr>
        <w:t xml:space="preserve">Fuente: Asobancaria, “El impacto de la educación financiera en colegios” (asobancaria.com, diciembre 2022), con base en evaluaciones de impacto en Brasil, Colombia, Perú y Uruguay.</w:t>
      </w:r>
    </w:p>
    <w:p>
      <w:pPr>
        <w:pStyle w:val="Heading2"/>
        <w:spacing w:after="120" w:before="280"/>
      </w:pPr>
      <w:r>
        <w:rPr>
          <w:b/>
          <w:bCs/>
          <w:color w:val="1F3864"/>
          <w:sz w:val="24"/>
          <w:szCs w:val="24"/>
        </w:rPr>
        <w:t xml:space="preserve">7.2 Proyección para República Dominicana</w:t>
      </w:r>
    </w:p>
    <w:p>
      <w:pPr>
        <w:spacing w:after="160" w:line="300"/>
        <w:jc w:val="both"/>
      </w:pPr>
      <w:r>
        <w:rPr>
          <w:sz w:val="21"/>
          <w:szCs w:val="21"/>
        </w:rPr>
        <w:t xml:space="preserve">Tomando como referencia el costo por estudiante de US$6.6 documentado en el piloto peruano —comparable por tratarse de un programa escolar público de intensidad moderada en la región— y la matrícula pública dominicana por nivel (año escolar 2024-2025: 861,308 estudiantes de secundaria y 1,186,589 de primaria en el sector público y semioficial), se estima el siguiente costo de escalamiento. Estas cifras son una proyección orientativa, no un presupuesto oficial del MINERD ni del BCRD, y deben ajustarse con un estudio de costos detallado en la Fase 1.</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400"/>
        <w:gridCol w:w="2000"/>
      </w:tblGrid>
      <w:tr>
        <w:trPr>
          <w:tblHeader/>
        </w:trPr>
        <w:tc>
          <w:tcPr>
            <w:tcW w:type="dxa" w:w="3200"/>
            <w:shd w:fill="1F3864" w:val="clear"/>
            <w:tcMar>
              <w:top w:type="dxa" w:w="80"/>
              <w:left w:type="dxa" w:w="100"/>
              <w:bottom w:type="dxa" w:w="80"/>
              <w:right w:type="dxa" w:w="100"/>
            </w:tcMar>
            <w:vAlign w:val="center"/>
          </w:tcPr>
          <w:p>
            <w:pPr>
              <w:jc w:val="center"/>
            </w:pPr>
            <w:r>
              <w:rPr>
                <w:b/>
                <w:bCs/>
                <w:color w:val="FFFFFF"/>
                <w:sz w:val="19"/>
                <w:szCs w:val="19"/>
              </w:rPr>
              <w:t xml:space="preserve">Etapa de escalamiento</w:t>
            </w:r>
          </w:p>
        </w:tc>
        <w:tc>
          <w:tcPr>
            <w:tcW w:type="dxa" w:w="2400"/>
            <w:shd w:fill="1F3864" w:val="clear"/>
            <w:tcMar>
              <w:top w:type="dxa" w:w="80"/>
              <w:left w:type="dxa" w:w="100"/>
              <w:bottom w:type="dxa" w:w="80"/>
              <w:right w:type="dxa" w:w="100"/>
            </w:tcMar>
            <w:vAlign w:val="center"/>
          </w:tcPr>
          <w:p>
            <w:pPr>
              <w:jc w:val="center"/>
            </w:pPr>
            <w:r>
              <w:rPr>
                <w:b/>
                <w:bCs/>
                <w:color w:val="FFFFFF"/>
                <w:sz w:val="19"/>
                <w:szCs w:val="19"/>
              </w:rPr>
              <w:t xml:space="preserve">Estudiantes cubiertos (aprox.)</w:t>
            </w:r>
          </w:p>
        </w:tc>
        <w:tc>
          <w:tcPr>
            <w:tcW w:type="dxa" w:w="2400"/>
            <w:shd w:fill="1F3864" w:val="clear"/>
            <w:tcMar>
              <w:top w:type="dxa" w:w="80"/>
              <w:left w:type="dxa" w:w="100"/>
              <w:bottom w:type="dxa" w:w="80"/>
              <w:right w:type="dxa" w:w="100"/>
            </w:tcMar>
            <w:vAlign w:val="center"/>
          </w:tcPr>
          <w:p>
            <w:pPr>
              <w:jc w:val="center"/>
            </w:pPr>
            <w:r>
              <w:rPr>
                <w:b/>
                <w:bCs/>
                <w:color w:val="FFFFFF"/>
                <w:sz w:val="19"/>
                <w:szCs w:val="19"/>
              </w:rPr>
              <w:t xml:space="preserve">Costo por estudiante</w:t>
            </w:r>
          </w:p>
        </w:tc>
        <w:tc>
          <w:tcPr>
            <w:tcW w:type="dxa" w:w="2000"/>
            <w:shd w:fill="1F3864" w:val="clear"/>
            <w:tcMar>
              <w:top w:type="dxa" w:w="80"/>
              <w:left w:type="dxa" w:w="100"/>
              <w:bottom w:type="dxa" w:w="80"/>
              <w:right w:type="dxa" w:w="100"/>
            </w:tcMar>
            <w:vAlign w:val="center"/>
          </w:tcPr>
          <w:p>
            <w:pPr>
              <w:jc w:val="center"/>
            </w:pPr>
            <w:r>
              <w:rPr>
                <w:b/>
                <w:bCs/>
                <w:color w:val="FFFFFF"/>
                <w:sz w:val="19"/>
                <w:szCs w:val="19"/>
              </w:rPr>
              <w:t xml:space="preserve">Costo total estimado</w:t>
            </w:r>
          </w:p>
        </w:tc>
      </w:tr>
      <w:tr>
        <w:tc>
          <w:tcPr>
            <w:tcW w:type="dxa" w:w="3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Piloto (Fase 2)</w:t>
            </w:r>
          </w:p>
        </w:tc>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50,000</w:t>
            </w:r>
          </w:p>
        </w:tc>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US$6.6</w:t>
            </w:r>
          </w:p>
        </w:tc>
        <w:tc>
          <w:tcPr>
            <w:tcW w:type="dxa" w:w="2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 US$330,000</w:t>
            </w:r>
          </w:p>
        </w:tc>
      </w:tr>
      <w:tr>
        <w:tc>
          <w:tcPr>
            <w:tcW w:type="dxa" w:w="3200"/>
            <w:tcMar>
              <w:top w:type="dxa" w:w="80"/>
              <w:left w:type="dxa" w:w="100"/>
              <w:bottom w:type="dxa" w:w="80"/>
              <w:right w:type="dxa" w:w="100"/>
            </w:tcMar>
            <w:vAlign w:val="center"/>
          </w:tcPr>
          <w:p>
            <w:pPr>
              <w:jc w:val="left"/>
            </w:pPr>
            <w:r>
              <w:rPr>
                <w:b w:val="false"/>
                <w:bCs w:val="false"/>
                <w:color w:val="000000"/>
                <w:sz w:val="19"/>
                <w:szCs w:val="19"/>
              </w:rPr>
              <w:t xml:space="preserve">Secundaria pública nacional</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 850,000</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US$6.6</w:t>
            </w:r>
          </w:p>
        </w:tc>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 US$5.6 millones</w:t>
            </w:r>
          </w:p>
        </w:tc>
      </w:tr>
      <w:tr>
        <w:tc>
          <w:tcPr>
            <w:tcW w:type="dxa" w:w="3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Primaria + secundaria públicas</w:t>
            </w:r>
          </w:p>
        </w:tc>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 2,030,000</w:t>
            </w:r>
          </w:p>
        </w:tc>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US$6.6</w:t>
            </w:r>
          </w:p>
        </w:tc>
        <w:tc>
          <w:tcPr>
            <w:tcW w:type="dxa" w:w="2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 US$13.4 millones</w:t>
            </w:r>
          </w:p>
        </w:tc>
      </w:tr>
    </w:tbl>
    <w:p>
      <w:pPr>
        <w:spacing w:after="200" w:before="60"/>
      </w:pPr>
      <w:r>
        <w:rPr>
          <w:i/>
          <w:iCs/>
          <w:color w:val="595959"/>
          <w:sz w:val="18"/>
          <w:szCs w:val="18"/>
        </w:rPr>
        <w:t xml:space="preserve">Fuente: Elaboración propia. Costo unitario: Frisancho (2017), BID. Matrícula: presidencia.gob.do / elcaribe.com.do, MINERD.</w:t>
      </w:r>
    </w:p>
    <w:p>
      <w:pPr>
        <w:spacing w:after="160" w:line="300"/>
        <w:jc w:val="both"/>
      </w:pPr>
      <w:r>
        <w:rPr>
          <w:sz w:val="21"/>
          <w:szCs w:val="21"/>
        </w:rPr>
        <w:t xml:space="preserve">Para contextualizar la magnitud de esta inversión: el gobierno dominicano destinó RD$4,690,384,443.95 (equivalentes a decenas de millones de dólares) solo en uniformes, calzado y útiles escolares para el año lectivo 2024-2025, lo que indica que un programa nacional de educación financiera —con un costo estimado de un dígito bajo de millones de dólares para la etapa de secundaria— representa una fracción modesta del gasto social ya movilizado anualmente por el sistema educativo dominicano.</w:t>
      </w:r>
    </w:p>
    <w:p>
      <w:pPr>
        <w:spacing w:after="200" w:before="60"/>
      </w:pPr>
      <w:r>
        <w:rPr>
          <w:i/>
          <w:iCs/>
          <w:color w:val="595959"/>
          <w:sz w:val="18"/>
          <w:szCs w:val="18"/>
        </w:rPr>
        <w:t xml:space="preserve">Fuente: Presidencia de la República Dominicana / eldia.com.do, sobre el paquete escolar 2024-2025.</w:t>
      </w:r>
    </w:p>
    <w:p>
      <w:pPr>
        <w:pStyle w:val="Heading2"/>
        <w:spacing w:after="120" w:before="280"/>
      </w:pPr>
      <w:r>
        <w:rPr>
          <w:b/>
          <w:bCs/>
          <w:color w:val="1F3864"/>
          <w:sz w:val="24"/>
          <w:szCs w:val="24"/>
        </w:rPr>
        <w:t xml:space="preserve">7.3 Efectividad esperada</w:t>
      </w:r>
    </w:p>
    <w:p>
      <w:pPr>
        <w:spacing w:after="160" w:line="300"/>
        <w:jc w:val="both"/>
      </w:pPr>
      <w:r>
        <w:rPr>
          <w:sz w:val="21"/>
          <w:szCs w:val="21"/>
        </w:rPr>
        <w:t xml:space="preserve">Con base en la evidencia internacional citada, y de manera conservadora, se proyectan los siguientes resultados a mediano plazo (3-4 años) si el programa se implementa con la cobertura, la capacitación docente y la evaluación descritas en la sección 6:</w:t>
      </w:r>
    </w:p>
    <w:p>
      <w:pPr>
        <w:pStyle w:val="ListParagraph"/>
        <w:numPr>
          <w:ilvl w:val="0"/>
          <w:numId w:val="3"/>
        </w:numPr>
        <w:spacing w:after="90" w:line="280"/>
      </w:pPr>
      <w:r>
        <w:rPr>
          <w:sz w:val="21"/>
          <w:szCs w:val="21"/>
        </w:rPr>
        <w:t xml:space="preserve">Incremento del conocimiento financiero estudiantil comparable al observado en Perú (+0.14 DE) y mejoras más marcadas entre docentes capacitados (+0.30 DE), replicando el patrón de que la formación de multiplicadores (maestros) amplifica el impacto.</w:t>
      </w:r>
    </w:p>
    <w:p>
      <w:pPr>
        <w:pStyle w:val="ListParagraph"/>
        <w:numPr>
          <w:ilvl w:val="0"/>
          <w:numId w:val="3"/>
        </w:numPr>
        <w:spacing w:after="90" w:line="280"/>
      </w:pPr>
      <w:r>
        <w:rPr>
          <w:sz w:val="21"/>
          <w:szCs w:val="21"/>
        </w:rPr>
        <w:t xml:space="preserve">Aumento medible del hábito de ahorro formal, en línea con el 78.3% de mejora en ahorro y el 69.4% de mejora en control de ingresos ya reportados por la ENIEF 2023 entre quienes participaron en iniciativas de educación financiera en RD.</w:t>
      </w:r>
    </w:p>
    <w:p>
      <w:pPr>
        <w:pStyle w:val="ListParagraph"/>
        <w:numPr>
          <w:ilvl w:val="0"/>
          <w:numId w:val="3"/>
        </w:numPr>
        <w:spacing w:after="90" w:line="280"/>
      </w:pPr>
      <w:r>
        <w:rPr>
          <w:sz w:val="21"/>
          <w:szCs w:val="21"/>
        </w:rPr>
        <w:t xml:space="preserve">Reducción gradual de la brecha de inclusión financiera (45% de adultos aún sin producto financiero en 2023), proyectando que la cohorte de estudiantes formados desde secundaria alcance la adultez con tasas de bancarización sensiblemente superiores al promedio actual.</w:t>
      </w:r>
    </w:p>
    <w:p>
      <w:pPr>
        <w:pStyle w:val="ListParagraph"/>
        <w:numPr>
          <w:ilvl w:val="0"/>
          <w:numId w:val="3"/>
        </w:numPr>
        <w:spacing w:after="90" w:line="280"/>
      </w:pPr>
      <w:r>
        <w:rPr>
          <w:sz w:val="21"/>
          <w:szCs w:val="21"/>
        </w:rPr>
        <w:t xml:space="preserve">Efectos de largo plazo sobre uso responsable del crédito y emprendimiento formal, siguiendo la trayectoria observada nueve años después del programa escolar brasileño.</w:t>
      </w:r>
    </w:p>
    <w:p>
      <w:pPr>
        <w:spacing w:after="160" w:line="300"/>
        <w:jc w:val="both"/>
      </w:pPr>
      <w:r>
        <w:rPr>
          <w:sz w:val="21"/>
          <w:szCs w:val="21"/>
        </w:rPr>
        <w:t xml:space="preserve">La razón costo-beneficio de estos programas es, según el metaanálisis de Kaiser et al. (2020) sobre 76 ensayos controlados aleatorios en 33 países, consistentemente favorable: mejoras significativas en conocimiento y comportamiento financiero a costos bajos, lo que respalda la viabilidad fiscal de escalar el programa dominicano de forma gradual (piloto → secundaria → sistema completo) en lugar de un despliegue nacional inmediato sin evidencia local.</w:t>
      </w:r>
    </w:p>
    <w:p>
      <w:pPr>
        <w:spacing w:after="200" w:before="60"/>
      </w:pPr>
      <w:r>
        <w:rPr>
          <w:i/>
          <w:iCs/>
          <w:color w:val="595959"/>
          <w:sz w:val="18"/>
          <w:szCs w:val="18"/>
        </w:rPr>
        <w:t xml:space="preserve">Fuente: Kaiser, Lusardi, Menkhoff y Urban (2020), vía CEPR/VoxEU y Stanford GSB.</w:t>
      </w:r>
    </w:p>
    <w:p>
      <w:r>
        <w:br w:type="page"/>
      </w:r>
    </w:p>
    <w:p>
      <w:pPr>
        <w:pStyle w:val="Heading1"/>
        <w:pBdr>
          <w:bottom w:val="single" w:color="B08D57" w:sz="6" w:space="4"/>
        </w:pBdr>
        <w:spacing w:after="200" w:before="400"/>
      </w:pPr>
      <w:r>
        <w:rPr>
          <w:b/>
          <w:bCs/>
          <w:color w:val="1F3864"/>
          <w:sz w:val="30"/>
          <w:szCs w:val="30"/>
        </w:rPr>
        <w:t xml:space="preserve">8. Monitoreo y evaluación</w:t>
      </w:r>
    </w:p>
    <w:p>
      <w:pPr>
        <w:spacing w:after="160" w:line="300"/>
        <w:jc w:val="both"/>
      </w:pPr>
      <w:r>
        <w:rPr>
          <w:sz w:val="21"/>
          <w:szCs w:val="21"/>
        </w:rPr>
        <w:t xml:space="preserve">Se recomienda que el sistema de monitoreo se apoye en instrumentos ya existentes en el país, evitando la creación de burocracia paralela:</w:t>
      </w:r>
    </w:p>
    <w:p>
      <w:pPr>
        <w:pStyle w:val="ListParagraph"/>
        <w:numPr>
          <w:ilvl w:val="0"/>
          <w:numId w:val="3"/>
        </w:numPr>
        <w:spacing w:after="90" w:line="280"/>
      </w:pPr>
      <w:r>
        <w:rPr>
          <w:sz w:val="21"/>
          <w:szCs w:val="21"/>
        </w:rPr>
        <w:t xml:space="preserve">Indicador de cobertura docente certificada: reportado por INAFOCAM, con meta de certificación del 100% de los docentes de Matemática de secundaria en 4 años.</w:t>
      </w:r>
    </w:p>
    <w:p>
      <w:pPr>
        <w:pStyle w:val="ListParagraph"/>
        <w:numPr>
          <w:ilvl w:val="0"/>
          <w:numId w:val="3"/>
        </w:numPr>
        <w:spacing w:after="90" w:line="280"/>
      </w:pPr>
      <w:r>
        <w:rPr>
          <w:sz w:val="21"/>
          <w:szCs w:val="21"/>
        </w:rPr>
        <w:t xml:space="preserve">Indicador de conocimiento financiero estudiantil: prueba estandarizada aplicada antes/después del módulo, comparable con la metodología PISA de competencia financiera.</w:t>
      </w:r>
    </w:p>
    <w:p>
      <w:pPr>
        <w:pStyle w:val="ListParagraph"/>
        <w:numPr>
          <w:ilvl w:val="0"/>
          <w:numId w:val="3"/>
        </w:numPr>
        <w:spacing w:after="90" w:line="280"/>
      </w:pPr>
      <w:r>
        <w:rPr>
          <w:sz w:val="21"/>
          <w:szCs w:val="21"/>
        </w:rPr>
        <w:t xml:space="preserve">Indicador de inclusión financiera de la cohorte egresada: seguimiento a través de futuras ediciones de la ENIEF del Banco Central, desagregado por sexo, región y nivel socioeconómico.</w:t>
      </w:r>
    </w:p>
    <w:p>
      <w:pPr>
        <w:pStyle w:val="ListParagraph"/>
        <w:numPr>
          <w:ilvl w:val="0"/>
          <w:numId w:val="3"/>
        </w:numPr>
        <w:spacing w:after="90" w:line="280"/>
      </w:pPr>
      <w:r>
        <w:rPr>
          <w:sz w:val="21"/>
          <w:szCs w:val="21"/>
        </w:rPr>
        <w:t xml:space="preserve">Evaluación de impacto con grupo de comparación en la Fase 2 (piloto), siguiendo el estándar metodológico del BID en Perú, para validar resultados antes del escalamiento nacional.</w:t>
      </w:r>
    </w:p>
    <w:p>
      <w:pPr>
        <w:pStyle w:val="Heading1"/>
        <w:pBdr>
          <w:bottom w:val="single" w:color="B08D57" w:sz="6" w:space="4"/>
        </w:pBdr>
        <w:spacing w:after="200" w:before="400"/>
      </w:pPr>
      <w:r>
        <w:rPr>
          <w:b/>
          <w:bCs/>
          <w:color w:val="1F3864"/>
          <w:sz w:val="30"/>
          <w:szCs w:val="30"/>
        </w:rPr>
        <w:t xml:space="preserve">9. Conclusiones</w:t>
      </w:r>
    </w:p>
    <w:p>
      <w:pPr>
        <w:spacing w:after="160" w:line="300"/>
        <w:jc w:val="both"/>
      </w:pPr>
      <w:r>
        <w:rPr>
          <w:sz w:val="21"/>
          <w:szCs w:val="21"/>
        </w:rPr>
        <w:t xml:space="preserve">La desigualdad en educación financiera en República Dominicana es, ante todo, una desigualdad de cobertura y de continuidad institucional: el país cuenta desde 2017 con una estrategia nacional (ENEEF) y con alianzas activas entre el Banco Central, el MINERD, INAFOCAM y la banca, pero su alcance ha dependido de acuerdos puntuales más que de una política curricular permanente y evaluada. La evidencia internacional —incluyendo estudios de impacto rigurosos en Perú y Brasil— muestra que programas escolares de educación financiera son efectivos y de bajo costo relativo (del orden de US$6.6 por estudiante), lo que hace viable escalar la experiencia dominicana desde un piloto evaluado hasta la cobertura nacional de secundaria y, progresivamente, de primaria, con una inversión estimada en un rango de US$5.6 a US$13.4 millones según el alcance elegido. El principal desafío no es técnico ni de evidencia, sino de sostenibilidad institucional, financiamiento continuo y priorización de las regiones y poblaciones —mujeres, zonas rurales, sector informal— donde la brecha es mayor.</w:t>
      </w:r>
    </w:p>
    <w:p>
      <w:pPr>
        <w:pStyle w:val="Heading1"/>
        <w:pBdr>
          <w:bottom w:val="single" w:color="B08D57" w:sz="6" w:space="4"/>
        </w:pBdr>
        <w:spacing w:after="200" w:before="400"/>
      </w:pPr>
      <w:r>
        <w:rPr>
          <w:b/>
          <w:bCs/>
          <w:color w:val="1F3864"/>
          <w:sz w:val="30"/>
          <w:szCs w:val="30"/>
        </w:rPr>
        <w:t xml:space="preserve">10. Fuentes consultadas</w:t>
      </w:r>
    </w:p>
    <w:p>
      <w:pPr>
        <w:pStyle w:val="ListParagraph"/>
        <w:numPr>
          <w:ilvl w:val="0"/>
          <w:numId w:val="3"/>
        </w:numPr>
        <w:spacing w:after="90" w:line="280"/>
      </w:pPr>
      <w:r>
        <w:rPr>
          <w:sz w:val="21"/>
          <w:szCs w:val="21"/>
        </w:rPr>
        <w:t xml:space="preserve">Superintendencia de Bancos de la República Dominicana — “La educación financiera, un beneficio para usuarios/as y entidades”: sb.gob.do</w:t>
      </w:r>
    </w:p>
    <w:p>
      <w:pPr>
        <w:pStyle w:val="ListParagraph"/>
        <w:numPr>
          <w:ilvl w:val="0"/>
          <w:numId w:val="3"/>
        </w:numPr>
        <w:spacing w:after="90" w:line="280"/>
      </w:pPr>
      <w:r>
        <w:rPr>
          <w:sz w:val="21"/>
          <w:szCs w:val="21"/>
        </w:rPr>
        <w:t xml:space="preserve">Superintendencia de Bancos / Presidencia de la República — Informe “Hacia un sistema financiero inclusivo y sostenible 2025”: presidencia.gob.do</w:t>
      </w:r>
    </w:p>
    <w:p>
      <w:pPr>
        <w:pStyle w:val="ListParagraph"/>
        <w:numPr>
          <w:ilvl w:val="0"/>
          <w:numId w:val="3"/>
        </w:numPr>
        <w:spacing w:after="90" w:line="280"/>
      </w:pPr>
      <w:r>
        <w:rPr>
          <w:sz w:val="21"/>
          <w:szCs w:val="21"/>
        </w:rPr>
        <w:t xml:space="preserve">Banco Central de la República Dominicana — Resumen Ejecutivo ENIEF 2023: cdn.bancentral.gov.do</w:t>
      </w:r>
    </w:p>
    <w:p>
      <w:pPr>
        <w:pStyle w:val="ListParagraph"/>
        <w:numPr>
          <w:ilvl w:val="0"/>
          <w:numId w:val="3"/>
        </w:numPr>
        <w:spacing w:after="90" w:line="280"/>
      </w:pPr>
      <w:r>
        <w:rPr>
          <w:sz w:val="21"/>
          <w:szCs w:val="21"/>
        </w:rPr>
        <w:t xml:space="preserve">Banco Central de la República Dominicana — Guía para desarrollar tus habilidades económicas y financieras: cdn.bancentral.gov.do</w:t>
      </w:r>
    </w:p>
    <w:p>
      <w:pPr>
        <w:pStyle w:val="ListParagraph"/>
        <w:numPr>
          <w:ilvl w:val="0"/>
          <w:numId w:val="3"/>
        </w:numPr>
        <w:spacing w:after="90" w:line="280"/>
      </w:pPr>
      <w:r>
        <w:rPr>
          <w:sz w:val="21"/>
          <w:szCs w:val="21"/>
        </w:rPr>
        <w:t xml:space="preserve">Estrategia Nacional de Educación Económica y Financiera (ENEEF): eneef.do</w:t>
      </w:r>
    </w:p>
    <w:p>
      <w:pPr>
        <w:pStyle w:val="ListParagraph"/>
        <w:numPr>
          <w:ilvl w:val="0"/>
          <w:numId w:val="3"/>
        </w:numPr>
        <w:spacing w:after="90" w:line="280"/>
      </w:pPr>
      <w:r>
        <w:rPr>
          <w:sz w:val="21"/>
          <w:szCs w:val="21"/>
        </w:rPr>
        <w:t xml:space="preserve">Ministerio de Educación de la República Dominicana (MINERD) — acuerdo Banreservas-MINERD (dic. 2024) y estadísticas educativas: ministeriodeeducacion.gob.do</w:t>
      </w:r>
    </w:p>
    <w:p>
      <w:pPr>
        <w:pStyle w:val="ListParagraph"/>
        <w:numPr>
          <w:ilvl w:val="0"/>
          <w:numId w:val="3"/>
        </w:numPr>
        <w:spacing w:after="90" w:line="280"/>
      </w:pPr>
      <w:r>
        <w:rPr>
          <w:sz w:val="21"/>
          <w:szCs w:val="21"/>
        </w:rPr>
        <w:t xml:space="preserve">INAFOCAM — formación docente en Educación Económica y Financiera: inafocam.edu.do</w:t>
      </w:r>
    </w:p>
    <w:p>
      <w:pPr>
        <w:pStyle w:val="ListParagraph"/>
        <w:numPr>
          <w:ilvl w:val="0"/>
          <w:numId w:val="3"/>
        </w:numPr>
        <w:spacing w:after="90" w:line="280"/>
      </w:pPr>
      <w:r>
        <w:rPr>
          <w:sz w:val="21"/>
          <w:szCs w:val="21"/>
        </w:rPr>
        <w:t xml:space="preserve">UNESCO — Estatus socioeconómico y educación en la República Dominicana: unesdoc.unesco.org</w:t>
      </w:r>
    </w:p>
    <w:p>
      <w:pPr>
        <w:pStyle w:val="ListParagraph"/>
        <w:numPr>
          <w:ilvl w:val="0"/>
          <w:numId w:val="3"/>
        </w:numPr>
        <w:spacing w:after="90" w:line="280"/>
      </w:pPr>
      <w:r>
        <w:rPr>
          <w:sz w:val="21"/>
          <w:szCs w:val="21"/>
        </w:rPr>
        <w:t xml:space="preserve">Infobae — “La desigualdad económica y política limita el impacto educativo de las mujeres en RD” (OPD-FUNGLODE, 2026): infobae.com</w:t>
      </w:r>
    </w:p>
    <w:p>
      <w:pPr>
        <w:pStyle w:val="ListParagraph"/>
        <w:numPr>
          <w:ilvl w:val="0"/>
          <w:numId w:val="3"/>
        </w:numPr>
        <w:spacing w:after="90" w:line="280"/>
      </w:pPr>
      <w:r>
        <w:rPr>
          <w:sz w:val="21"/>
          <w:szCs w:val="21"/>
        </w:rPr>
        <w:t xml:space="preserve">elDinero.com.do — cobertura de la ENIEF 2023 y educación financiera escolar: eldinero.com.do</w:t>
      </w:r>
    </w:p>
    <w:p>
      <w:pPr>
        <w:pStyle w:val="ListParagraph"/>
        <w:numPr>
          <w:ilvl w:val="0"/>
          <w:numId w:val="3"/>
        </w:numPr>
        <w:spacing w:after="90" w:line="280"/>
      </w:pPr>
      <w:r>
        <w:rPr>
          <w:sz w:val="21"/>
          <w:szCs w:val="21"/>
        </w:rPr>
        <w:t xml:space="preserve">Instituto OMG — “Inclusión Financiera en RD - FinTechs y educación financiera como catalizadores”: iomg.edu.do</w:t>
      </w:r>
    </w:p>
    <w:p>
      <w:pPr>
        <w:pStyle w:val="ListParagraph"/>
        <w:numPr>
          <w:ilvl w:val="0"/>
          <w:numId w:val="3"/>
        </w:numPr>
        <w:spacing w:after="90" w:line="280"/>
      </w:pPr>
      <w:r>
        <w:rPr>
          <w:sz w:val="21"/>
          <w:szCs w:val="21"/>
        </w:rPr>
        <w:t xml:space="preserve">CODESPA — Programa “Creciendo Contigo” (AFP Crecer): codespa.org</w:t>
      </w:r>
    </w:p>
    <w:p>
      <w:pPr>
        <w:pStyle w:val="ListParagraph"/>
        <w:numPr>
          <w:ilvl w:val="0"/>
          <w:numId w:val="3"/>
        </w:numPr>
        <w:spacing w:after="90" w:line="280"/>
      </w:pPr>
      <w:r>
        <w:rPr>
          <w:sz w:val="21"/>
          <w:szCs w:val="21"/>
        </w:rPr>
        <w:t xml:space="preserve">Alliance for Financial Inclusion (AFI) — “La educación financiera en América Latina y el Caribe: estudio de casos”: afi-global.org</w:t>
      </w:r>
    </w:p>
    <w:p>
      <w:pPr>
        <w:pStyle w:val="ListParagraph"/>
        <w:numPr>
          <w:ilvl w:val="0"/>
          <w:numId w:val="3"/>
        </w:numPr>
        <w:spacing w:after="90" w:line="280"/>
      </w:pPr>
      <w:r>
        <w:rPr>
          <w:sz w:val="21"/>
          <w:szCs w:val="21"/>
        </w:rPr>
        <w:t xml:space="preserve">Banco Interamericano de Desarrollo (BID) — Frisancho, V., “Evaluación Experimental del Piloto Finanzas en mi Colegio” (Perú): publications.iadb.org</w:t>
      </w:r>
    </w:p>
    <w:p>
      <w:pPr>
        <w:pStyle w:val="ListParagraph"/>
        <w:numPr>
          <w:ilvl w:val="0"/>
          <w:numId w:val="3"/>
        </w:numPr>
        <w:spacing w:after="90" w:line="280"/>
      </w:pPr>
      <w:r>
        <w:rPr>
          <w:sz w:val="21"/>
          <w:szCs w:val="21"/>
        </w:rPr>
        <w:t xml:space="preserve">Asobancaria — “El impacto de la educación financiera en colegios” (evidencia Brasil/Colombia/Perú/Uruguay): asobancaria.com</w:t>
      </w:r>
    </w:p>
    <w:p>
      <w:pPr>
        <w:pStyle w:val="ListParagraph"/>
        <w:numPr>
          <w:ilvl w:val="0"/>
          <w:numId w:val="3"/>
        </w:numPr>
        <w:spacing w:after="90" w:line="280"/>
      </w:pPr>
      <w:r>
        <w:rPr>
          <w:sz w:val="21"/>
          <w:szCs w:val="21"/>
        </w:rPr>
        <w:t xml:space="preserve">Kaiser, Lusardi, Menkhoff y Urban (2020) — vía CEPR/VoxEU y Stanford Graduate School of Business, “Financial education is effective and efficient”: cepr.org / gsb.stanford.edu</w:t>
      </w:r>
    </w:p>
    <w:p>
      <w:pPr>
        <w:pStyle w:val="ListParagraph"/>
        <w:numPr>
          <w:ilvl w:val="0"/>
          <w:numId w:val="3"/>
        </w:numPr>
        <w:spacing w:after="90" w:line="280"/>
      </w:pPr>
      <w:r>
        <w:rPr>
          <w:sz w:val="21"/>
          <w:szCs w:val="21"/>
        </w:rPr>
        <w:t xml:space="preserve">Presidencia de la República Dominicana / El Caribe / El Nuevo Diario / El Día — estadísticas de matrícula escolar 2024-2025: presidencia.gob.do, elcaribe.com.do</w:t>
      </w:r>
    </w:p>
    <w:p>
      <w:pPr>
        <w:spacing w:before="400"/>
      </w:pPr>
      <w:r>
        <w:rPr>
          <w:i/>
          <w:iCs/>
          <w:color w:val="595959"/>
          <w:sz w:val="18"/>
          <w:szCs w:val="18"/>
        </w:rPr>
        <w:t xml:space="preserve">Nota metodológica: las proyecciones de costo de la sección 7 son estimaciones orientativas elaboradas a partir de un costo unitario documentado en un contexto comparable (Perú) y de cifras oficiales de matrícula dominicana; no constituyen un presupuesto oficial del Estado dominicano.</w:t>
      </w:r>
    </w:p>
    <w:sectPr>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2026-09-23T00:12:46.635Z</dcterms:created>
  <dcterms:modified xsi:type="dcterms:W3CDTF">2026-09-23T00:12:46.644Z</dcterms:modified>
</cp:coreProperties>
</file>

<file path=docProps/custom.xml><?xml version="1.0" encoding="utf-8"?>
<Properties xmlns="http://schemas.openxmlformats.org/officeDocument/2006/custom-properties" xmlns:vt="http://schemas.openxmlformats.org/officeDocument/2006/docPropsVTypes"/>
</file>