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4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ix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  <w:jc w:val="center"/>
      </w:pPr>
      <w:r>
        <w:rPr>
          <w:b/>
          <w:color w:val="1F2937"/>
          <w:sz w:val="40"/>
        </w:rPr>
        <w:t>SHOPIX</w:t>
      </w:r>
    </w:p>
    <w:p>
      <w:pPr>
        <w:spacing w:before="200" w:after="100"/>
        <w:jc w:val="center"/>
      </w:pPr>
      <w:r>
        <w:rPr>
          <w:b/>
          <w:color w:val="C58B2A"/>
          <w:sz w:val="32"/>
        </w:rPr>
        <w:t>Documento Técnico Interno</w:t>
      </w:r>
    </w:p>
    <w:p>
      <w:pPr>
        <w:spacing w:after="80"/>
      </w:pPr>
      <w:r>
        <w:rPr>
          <w:i/>
          <w:color w:val="5B6472"/>
          <w:sz w:val="20"/>
        </w:rPr>
        <w:t>Documento de referencia interna para equipos de implementación, soporte, ventas técnicas y operación de Shopix.</w:t>
      </w:r>
    </w:p>
    <w:p>
      <w:pPr>
        <w:spacing w:before="200" w:after="100"/>
      </w:pPr>
      <w:r>
        <w:rPr>
          <w:b/>
          <w:color w:val="1F2937"/>
          <w:sz w:val="28"/>
        </w:rPr>
        <w:t>1. Objetivo</w:t>
      </w:r>
    </w:p>
    <w:p>
      <w:pPr>
        <w:spacing w:after="80"/>
      </w:pPr>
      <w:r>
        <w:rPr>
          <w:i w:val="0"/>
          <w:sz w:val="20"/>
        </w:rPr>
        <w:t>Este documento resume las capacidades activas, superficies principales del sistema y consideraciones operativas para equipos internos que implementan, configuran o soportan tiendas y servicios en Shopix.</w:t>
      </w:r>
    </w:p>
    <w:p>
      <w:pPr>
        <w:spacing w:before="200" w:after="100"/>
      </w:pPr>
      <w:r>
        <w:rPr>
          <w:b/>
          <w:color w:val="1F2937"/>
          <w:sz w:val="28"/>
        </w:rPr>
        <w:t>2. Entidades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5156"/>
          </w:tcPr>
          <w:p>
            <w:r>
              <w:t>Tenant</w:t>
            </w:r>
          </w:p>
        </w:tc>
        <w:tc>
          <w:tcPr>
            <w:tcW w:type="dxa" w:w="5156"/>
          </w:tcPr>
          <w:p>
            <w:r>
              <w:t>Representa la tienda o negocio configurado en la plataforma.</w:t>
            </w:r>
          </w:p>
        </w:tc>
      </w:tr>
      <w:tr>
        <w:tc>
          <w:tcPr>
            <w:tcW w:type="dxa" w:w="5156"/>
          </w:tcPr>
          <w:p>
            <w:r>
              <w:t>User</w:t>
            </w:r>
          </w:p>
        </w:tc>
        <w:tc>
          <w:tcPr>
            <w:tcW w:type="dxa" w:w="5156"/>
          </w:tcPr>
          <w:p>
            <w:r>
              <w:t>Usuarios operativos y administrativos asociados a un tenant.</w:t>
            </w:r>
          </w:p>
        </w:tc>
      </w:tr>
      <w:tr>
        <w:tc>
          <w:tcPr>
            <w:tcW w:type="dxa" w:w="5156"/>
          </w:tcPr>
          <w:p>
            <w:r>
              <w:t>Category / Product / ProductVariant</w:t>
            </w:r>
          </w:p>
        </w:tc>
        <w:tc>
          <w:tcPr>
            <w:tcW w:type="dxa" w:w="5156"/>
          </w:tcPr>
          <w:p>
            <w:r>
              <w:t>Modelo de catálogo comercial y control de stock.</w:t>
            </w:r>
          </w:p>
        </w:tc>
      </w:tr>
      <w:tr>
        <w:tc>
          <w:tcPr>
            <w:tcW w:type="dxa" w:w="5156"/>
          </w:tcPr>
          <w:p>
            <w:r>
              <w:t>PaymentMethod</w:t>
            </w:r>
          </w:p>
        </w:tc>
        <w:tc>
          <w:tcPr>
            <w:tcW w:type="dxa" w:w="5156"/>
          </w:tcPr>
          <w:p>
            <w:r>
              <w:t>Configuración de medios de cobro visibles y operativos.</w:t>
            </w:r>
          </w:p>
        </w:tc>
      </w:tr>
      <w:tr>
        <w:tc>
          <w:tcPr>
            <w:tcW w:type="dxa" w:w="5156"/>
          </w:tcPr>
          <w:p>
            <w:r>
              <w:t>AppointmentService / UserScheduleRule</w:t>
            </w:r>
          </w:p>
        </w:tc>
        <w:tc>
          <w:tcPr>
            <w:tcW w:type="dxa" w:w="5156"/>
          </w:tcPr>
          <w:p>
            <w:r>
              <w:t>Servicios, agenda y disponibilidad por profesional.</w:t>
            </w:r>
          </w:p>
        </w:tc>
      </w:tr>
      <w:tr>
        <w:tc>
          <w:tcPr>
            <w:tcW w:type="dxa" w:w="5156"/>
          </w:tcPr>
          <w:p>
            <w:r>
              <w:t>Warehouse / ProductVariantWarehouseStock</w:t>
            </w:r>
          </w:p>
        </w:tc>
        <w:tc>
          <w:tcPr>
            <w:tcW w:type="dxa" w:w="5156"/>
          </w:tcPr>
          <w:p>
            <w:r>
              <w:t>Soporte de almacenes y stock por variante.</w:t>
            </w:r>
          </w:p>
        </w:tc>
      </w:tr>
    </w:tbl>
    <w:p>
      <w:pPr>
        <w:spacing w:before="200" w:after="100"/>
      </w:pPr>
      <w:r>
        <w:rPr>
          <w:b/>
          <w:color w:val="1F2937"/>
          <w:sz w:val="28"/>
        </w:rPr>
        <w:t>3. Flujos soportados</w:t>
      </w:r>
    </w:p>
    <w:p>
      <w:pPr>
        <w:pStyle w:val="ListBullet"/>
        <w:spacing w:after="40"/>
      </w:pPr>
      <w:r>
        <w:rPr>
          <w:sz w:val="20"/>
        </w:rPr>
        <w:t>Creación de tenant desde backoffice.</w:t>
      </w:r>
    </w:p>
    <w:p>
      <w:pPr>
        <w:pStyle w:val="ListBullet"/>
        <w:spacing w:after="40"/>
      </w:pPr>
      <w:r>
        <w:rPr>
          <w:sz w:val="20"/>
        </w:rPr>
        <w:t>Actualización de tenant desde gestión de tienda.</w:t>
      </w:r>
    </w:p>
    <w:p>
      <w:pPr>
        <w:pStyle w:val="ListBullet"/>
        <w:spacing w:after="40"/>
      </w:pPr>
      <w:r>
        <w:rPr>
          <w:sz w:val="20"/>
        </w:rPr>
        <w:t>Carga de productos y variantes para flujo tienda.</w:t>
      </w:r>
    </w:p>
    <w:p>
      <w:pPr>
        <w:pStyle w:val="ListBullet"/>
        <w:spacing w:after="40"/>
      </w:pPr>
      <w:r>
        <w:rPr>
          <w:sz w:val="20"/>
        </w:rPr>
        <w:t>Carga de servicios y horarios para flujo servicio.</w:t>
      </w:r>
    </w:p>
    <w:p>
      <w:pPr>
        <w:pStyle w:val="ListBullet"/>
        <w:spacing w:after="40"/>
      </w:pPr>
      <w:r>
        <w:rPr>
          <w:sz w:val="20"/>
        </w:rPr>
        <w:t>Configuración de métodos de pago y delivery.</w:t>
      </w:r>
    </w:p>
    <w:p>
      <w:pPr>
        <w:pStyle w:val="ListBullet"/>
        <w:spacing w:after="40"/>
      </w:pPr>
      <w:r>
        <w:rPr>
          <w:sz w:val="20"/>
        </w:rPr>
        <w:t>Importación desde documento DOCX estructurado.</w:t>
      </w:r>
    </w:p>
    <w:p>
      <w:pPr>
        <w:spacing w:before="200" w:after="100"/>
      </w:pPr>
      <w:r>
        <w:rPr>
          <w:b/>
          <w:color w:val="1F2937"/>
          <w:sz w:val="28"/>
        </w:rPr>
        <w:t>4. Superficies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Superficie</w:t>
            </w:r>
          </w:p>
        </w:tc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Referencia funcional</w:t>
            </w:r>
          </w:p>
        </w:tc>
      </w:tr>
      <w:tr>
        <w:tc>
          <w:tcPr>
            <w:tcW w:type="dxa" w:w="5156"/>
          </w:tcPr>
          <w:p>
            <w:r>
              <w:t>Gestión de tienda</w:t>
            </w:r>
          </w:p>
        </w:tc>
        <w:tc>
          <w:tcPr>
            <w:tcW w:type="dxa" w:w="5156"/>
          </w:tcPr>
          <w:p>
            <w:r>
              <w:t>Configuración de datos generales, diseño, delivery, redes y operación.</w:t>
            </w:r>
          </w:p>
        </w:tc>
      </w:tr>
      <w:tr>
        <w:tc>
          <w:tcPr>
            <w:tcW w:type="dxa" w:w="5156"/>
          </w:tcPr>
          <w:p>
            <w:r>
              <w:t>Crear tenant</w:t>
            </w:r>
          </w:p>
        </w:tc>
        <w:tc>
          <w:tcPr>
            <w:tcW w:type="dxa" w:w="5156"/>
          </w:tcPr>
          <w:p>
            <w:r>
              <w:t>Alta inicial de negocio, plan y usuarios base.</w:t>
            </w:r>
          </w:p>
        </w:tc>
      </w:tr>
      <w:tr>
        <w:tc>
          <w:tcPr>
            <w:tcW w:type="dxa" w:w="5156"/>
          </w:tcPr>
          <w:p>
            <w:r>
              <w:t>Appointments</w:t>
            </w:r>
          </w:p>
        </w:tc>
        <w:tc>
          <w:tcPr>
            <w:tcW w:type="dxa" w:w="5156"/>
          </w:tcPr>
          <w:p>
            <w:r>
              <w:t>Servicios, agenda, horarios y flujo de citas.</w:t>
            </w:r>
          </w:p>
        </w:tc>
      </w:tr>
      <w:tr>
        <w:tc>
          <w:tcPr>
            <w:tcW w:type="dxa" w:w="5156"/>
          </w:tcPr>
          <w:p>
            <w:r>
              <w:t>Products / Categories</w:t>
            </w:r>
          </w:p>
        </w:tc>
        <w:tc>
          <w:tcPr>
            <w:tcW w:type="dxa" w:w="5156"/>
          </w:tcPr>
          <w:p>
            <w:r>
              <w:t>Catálogo comercial y variantes.</w:t>
            </w:r>
          </w:p>
        </w:tc>
      </w:tr>
      <w:tr>
        <w:tc>
          <w:tcPr>
            <w:tcW w:type="dxa" w:w="5156"/>
          </w:tcPr>
          <w:p>
            <w:r>
              <w:t>PaymentMethods</w:t>
            </w:r>
          </w:p>
        </w:tc>
        <w:tc>
          <w:tcPr>
            <w:tcW w:type="dxa" w:w="5156"/>
          </w:tcPr>
          <w:p>
            <w:r>
              <w:t>Cobros, bancos, referencias y moneda.</w:t>
            </w:r>
          </w:p>
        </w:tc>
      </w:tr>
      <w:tr>
        <w:tc>
          <w:tcPr>
            <w:tcW w:type="dxa" w:w="5156"/>
          </w:tcPr>
          <w:p>
            <w:r>
              <w:t>Warehouses</w:t>
            </w:r>
          </w:p>
        </w:tc>
        <w:tc>
          <w:tcPr>
            <w:tcW w:type="dxa" w:w="5156"/>
          </w:tcPr>
          <w:p>
            <w:r>
              <w:t>Inventario físico y movimientos.</w:t>
            </w:r>
          </w:p>
        </w:tc>
      </w:tr>
    </w:tbl>
    <w:p>
      <w:pPr>
        <w:spacing w:before="200" w:after="100"/>
      </w:pPr>
      <w:r>
        <w:rPr>
          <w:b/>
          <w:color w:val="1F2937"/>
          <w:sz w:val="28"/>
        </w:rPr>
        <w:t>5. Importador DOCX</w:t>
      </w:r>
    </w:p>
    <w:p>
      <w:pPr>
        <w:pStyle w:val="ListBullet"/>
        <w:spacing w:after="40"/>
      </w:pPr>
      <w:r>
        <w:rPr>
          <w:sz w:val="20"/>
        </w:rPr>
        <w:t>El documento importable usa tablas estructuradas con encabezados fijos.</w:t>
      </w:r>
    </w:p>
    <w:p>
      <w:pPr>
        <w:pStyle w:val="ListBullet"/>
        <w:spacing w:after="40"/>
      </w:pPr>
      <w:r>
        <w:rPr>
          <w:sz w:val="20"/>
        </w:rPr>
        <w:t>El parser lee el DOCX desde word/document.xml.</w:t>
      </w:r>
    </w:p>
    <w:p>
      <w:pPr>
        <w:pStyle w:val="ListBullet"/>
        <w:spacing w:after="40"/>
      </w:pPr>
      <w:r>
        <w:rPr>
          <w:sz w:val="20"/>
        </w:rPr>
        <w:t>Existe compatibilidad con ZipArchive y fallback con PharData.</w:t>
      </w:r>
    </w:p>
    <w:p>
      <w:pPr>
        <w:pStyle w:val="ListBullet"/>
        <w:spacing w:after="40"/>
      </w:pPr>
      <w:r>
        <w:rPr>
          <w:sz w:val="20"/>
        </w:rPr>
        <w:t>La importación precarga campos visibles y además aplica payload estructurado al guardar.</w:t>
      </w:r>
    </w:p>
    <w:p>
      <w:pPr>
        <w:pStyle w:val="ListBullet"/>
        <w:spacing w:after="40"/>
      </w:pPr>
      <w:r>
        <w:rPr>
          <w:sz w:val="20"/>
        </w:rPr>
        <w:t>Crea o actualiza tenant, usuarios, métodos de pago, catálogo tienda, catálogo servicio y reglas de horario.</w:t>
      </w:r>
    </w:p>
    <w:p>
      <w:pPr>
        <w:spacing w:before="200" w:after="100"/>
      </w:pPr>
      <w:r>
        <w:rPr>
          <w:b/>
          <w:color w:val="1F2937"/>
          <w:sz w:val="28"/>
        </w:rPr>
        <w:t>6. Consideraciones de soporte</w:t>
      </w:r>
    </w:p>
    <w:p>
      <w:pPr>
        <w:pStyle w:val="ListBullet"/>
        <w:spacing w:after="40"/>
      </w:pPr>
      <w:r>
        <w:rPr>
          <w:sz w:val="20"/>
        </w:rPr>
        <w:t>Si el cliente altera encabezados del DOCX, el importador puede dejar de reconocer bloques.</w:t>
      </w:r>
    </w:p>
    <w:p>
      <w:pPr>
        <w:pStyle w:val="ListBullet"/>
        <w:spacing w:after="40"/>
      </w:pPr>
      <w:r>
        <w:rPr>
          <w:sz w:val="20"/>
        </w:rPr>
        <w:t>El archivo debe ser .docx válido de Word.</w:t>
      </w:r>
    </w:p>
    <w:p>
      <w:pPr>
        <w:pStyle w:val="ListBullet"/>
        <w:spacing w:after="40"/>
      </w:pPr>
      <w:r>
        <w:rPr>
          <w:sz w:val="20"/>
        </w:rPr>
        <w:t>Imágenes y recursos gráficos no se importan desde el formulario estructurado actual.</w:t>
      </w:r>
    </w:p>
    <w:p>
      <w:pPr>
        <w:pStyle w:val="ListBullet"/>
        <w:spacing w:after="40"/>
      </w:pPr>
      <w:r>
        <w:rPr>
          <w:sz w:val="20"/>
        </w:rPr>
        <w:t>La disponibilidad de ciertos módulos depende del plan del tenant.</w:t>
      </w:r>
    </w:p>
    <w:p>
      <w:pPr>
        <w:spacing w:before="200" w:after="100"/>
      </w:pPr>
      <w:r>
        <w:rPr>
          <w:b/>
          <w:color w:val="1F2937"/>
          <w:sz w:val="28"/>
        </w:rPr>
        <w:t>7. Riesgos operativos a vigilar</w:t>
      </w:r>
    </w:p>
    <w:p>
      <w:pPr>
        <w:pStyle w:val="ListBullet"/>
        <w:spacing w:after="40"/>
      </w:pPr>
      <w:r>
        <w:rPr>
          <w:sz w:val="20"/>
        </w:rPr>
        <w:t>Rubro económico inconsistente con tipo de negocio.</w:t>
      </w:r>
    </w:p>
    <w:p>
      <w:pPr>
        <w:pStyle w:val="ListBullet"/>
        <w:spacing w:after="40"/>
      </w:pPr>
      <w:r>
        <w:rPr>
          <w:sz w:val="20"/>
        </w:rPr>
        <w:t>Ubicación incompleta para flujos con delivery o ciudad restringida.</w:t>
      </w:r>
    </w:p>
    <w:p>
      <w:pPr>
        <w:pStyle w:val="ListBullet"/>
        <w:spacing w:after="40"/>
      </w:pPr>
      <w:r>
        <w:rPr>
          <w:sz w:val="20"/>
        </w:rPr>
        <w:t>Usuarios duplicados o correos ya usados.</w:t>
      </w:r>
    </w:p>
    <w:p>
      <w:pPr>
        <w:pStyle w:val="ListBullet"/>
        <w:spacing w:after="40"/>
      </w:pPr>
      <w:r>
        <w:rPr>
          <w:sz w:val="20"/>
        </w:rPr>
        <w:t>Servicios sin profesional o sin reglas de horario.</w:t>
      </w:r>
    </w:p>
    <w:p>
      <w:pPr>
        <w:pStyle w:val="ListBullet"/>
        <w:spacing w:after="40"/>
      </w:pPr>
      <w:r>
        <w:rPr>
          <w:sz w:val="20"/>
        </w:rPr>
        <w:t>Productos sin categoría o stock mal definido en la carga inicial.</w:t>
      </w:r>
    </w:p>
    <w:p>
      <w:pPr>
        <w:spacing w:before="200" w:after="100"/>
      </w:pPr>
      <w:r>
        <w:rPr>
          <w:b/>
          <w:color w:val="1F2937"/>
          <w:sz w:val="28"/>
        </w:rPr>
        <w:t>8. Recomendaciones internas</w:t>
      </w:r>
    </w:p>
    <w:p>
      <w:pPr>
        <w:pStyle w:val="ListBullet"/>
        <w:spacing w:after="40"/>
      </w:pPr>
      <w:r>
        <w:rPr>
          <w:sz w:val="20"/>
        </w:rPr>
        <w:t>Usar siempre el documento importable oficial para levantamientos nuevos.</w:t>
      </w:r>
    </w:p>
    <w:p>
      <w:pPr>
        <w:pStyle w:val="ListBullet"/>
        <w:spacing w:after="40"/>
      </w:pPr>
      <w:r>
        <w:rPr>
          <w:sz w:val="20"/>
        </w:rPr>
        <w:t>Validar con el cliente el tipo de negocio antes de iniciar configuración.</w:t>
      </w:r>
    </w:p>
    <w:p>
      <w:pPr>
        <w:pStyle w:val="ListBullet"/>
        <w:spacing w:after="40"/>
      </w:pPr>
      <w:r>
        <w:rPr>
          <w:sz w:val="20"/>
        </w:rPr>
        <w:t>Revisar datos visibles importados antes de guardar cambios definitivos.</w:t>
      </w:r>
    </w:p>
    <w:p>
      <w:pPr>
        <w:pStyle w:val="ListBullet"/>
        <w:spacing w:after="40"/>
      </w:pPr>
      <w:r>
        <w:rPr>
          <w:sz w:val="20"/>
        </w:rPr>
        <w:t>Mantener separación entre documento comercial, documento general y documento técnico.</w:t>
      </w:r>
    </w:p>
    <w:p>
      <w:pPr>
        <w:spacing w:before="200" w:after="100"/>
      </w:pPr>
      <w:r>
        <w:rPr>
          <w:b/>
          <w:color w:val="1F2937"/>
          <w:sz w:val="28"/>
        </w:rPr>
        <w:t>9. Audiencia objetivo</w:t>
      </w:r>
    </w:p>
    <w:p>
      <w:pPr>
        <w:pStyle w:val="ListBullet"/>
        <w:spacing w:after="40"/>
      </w:pPr>
      <w:r>
        <w:rPr>
          <w:sz w:val="20"/>
        </w:rPr>
        <w:t>Implementación</w:t>
      </w:r>
    </w:p>
    <w:p>
      <w:pPr>
        <w:pStyle w:val="ListBullet"/>
        <w:spacing w:after="40"/>
      </w:pPr>
      <w:r>
        <w:rPr>
          <w:sz w:val="20"/>
        </w:rPr>
        <w:t>Soporte</w:t>
      </w:r>
    </w:p>
    <w:p>
      <w:pPr>
        <w:pStyle w:val="ListBullet"/>
        <w:spacing w:after="40"/>
      </w:pPr>
      <w:r>
        <w:rPr>
          <w:sz w:val="20"/>
        </w:rPr>
        <w:t>Ventas técnicas</w:t>
      </w:r>
    </w:p>
    <w:p>
      <w:pPr>
        <w:pStyle w:val="ListBullet"/>
        <w:spacing w:after="40"/>
      </w:pPr>
      <w:r>
        <w:rPr>
          <w:sz w:val="20"/>
        </w:rPr>
        <w:t>Operación interna</w:t>
      </w:r>
    </w:p>
    <w:sectPr w:rsidR="00FC693F" w:rsidRPr="0006063C" w:rsidSect="00034616"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Shopix · Documento técnico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