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4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ix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4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1F2937"/>
          <w:sz w:val="40"/>
        </w:rPr>
        <w:t>SHOPIX</w:t>
      </w:r>
    </w:p>
    <w:p>
      <w:pPr>
        <w:spacing w:after="60"/>
        <w:jc w:val="center"/>
      </w:pPr>
      <w:r>
        <w:rPr>
          <w:b/>
          <w:color w:val="C58B2A"/>
          <w:sz w:val="32"/>
        </w:rPr>
        <w:t>Formulario Corporativo de Levantamiento</w:t>
      </w:r>
    </w:p>
    <w:p>
      <w:pPr>
        <w:jc w:val="center"/>
      </w:pPr>
      <w:r>
        <w:rPr>
          <w:i/>
          <w:sz w:val="20"/>
        </w:rPr>
        <w:t>Documento importable para creación y gestión de tiendas o servicios en Shopix.</w:t>
      </w:r>
    </w:p>
    <w:p>
      <w:pPr>
        <w:spacing w:after="120"/>
      </w:pPr>
      <w:r>
        <w:rPr>
          <w:i/>
          <w:color w:val="5B6472"/>
          <w:sz w:val="18"/>
        </w:rPr>
        <w:t>Instrucciones: completa las celdas vacías, no cambies los encabezados de las tablas y deja en blanco lo que no aplique. Este documento contempla ambos flujos: tienda y servicio.</w:t>
      </w:r>
    </w:p>
    <w:p>
      <w:pPr>
        <w:spacing w:before="240" w:after="120"/>
      </w:pPr>
      <w:r>
        <w:rPr>
          <w:b/>
          <w:color w:val="1F2937"/>
          <w:sz w:val="26"/>
        </w:rPr>
        <w:t>1. Datos generales y corporativos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515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1F2937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15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1F2937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3969"/>
            <w:shd w:fill="F4EFE6"/>
          </w:tcPr>
          <w:p>
            <w:r>
              <w:t>Nombre comercial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Slug sugerido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Correo principal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Tipo de negocio (Tienda / Servicio)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Rubro económico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Eslogan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Descripción comercial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Código país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Teléfono principal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País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Estado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Ciudad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Dirección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Días operativos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Hora de apertura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Hora de cierre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Modo citas por orden de llegada (Sí/No)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Contribuyente especial (Sí/No)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Delivery habilitado (Sí/No)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Modo tarifa delivery (free/fixed/distance)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Tarifa fija delivery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Tarifa por km delivery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Restringir delivery a ciudad de la tienda (Sí/No)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Notificaciones de delivery (Sí/No)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TikTok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Instagram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Facebook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Color primario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Color secundario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969"/>
            <w:shd w:fill="F4EFE6"/>
          </w:tcPr>
          <w:p>
            <w:r>
              <w:t>Color acento</w:t>
            </w:r>
          </w:p>
        </w:tc>
        <w:tc>
          <w:tcPr>
            <w:tcW w:type="dxa" w:w="5669"/>
          </w:tcPr>
          <w:p>
            <w:r/>
          </w:p>
        </w:tc>
      </w:tr>
    </w:tbl>
    <w:p>
      <w:pPr>
        <w:spacing w:before="240" w:after="120"/>
      </w:pPr>
      <w:r>
        <w:rPr>
          <w:b/>
          <w:color w:val="1F2937"/>
          <w:sz w:val="26"/>
        </w:rPr>
        <w:t>2. Usuarios iniciales</w:t>
      </w:r>
    </w:p>
    <w:p>
      <w:pPr>
        <w:spacing w:after="120"/>
      </w:pPr>
      <w:r>
        <w:rPr>
          <w:i/>
          <w:color w:val="5B6472"/>
          <w:sz w:val="18"/>
        </w:rPr>
        <w:t>Incluye owner, admin, vendedor, almacén, delivery o profesionales operativos según corresponda.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Correo</w:t>
            </w:r>
          </w:p>
        </w:tc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Contraseña</w:t>
            </w:r>
          </w:p>
        </w:tc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Teléfono</w:t>
            </w:r>
          </w:p>
        </w:tc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DNI / RIF</w:t>
            </w:r>
          </w:p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</w:tbl>
    <w:p>
      <w:pPr>
        <w:spacing w:before="240" w:after="120"/>
      </w:pPr>
      <w:r>
        <w:rPr>
          <w:b/>
          <w:color w:val="1F2937"/>
          <w:sz w:val="26"/>
        </w:rPr>
        <w:t>3. Métodos de pago</w:t>
      </w:r>
    </w:p>
    <w:p>
      <w:pPr>
        <w:spacing w:after="120"/>
      </w:pPr>
      <w:r>
        <w:rPr>
          <w:i/>
          <w:color w:val="5B6472"/>
          <w:sz w:val="18"/>
        </w:rPr>
        <w:t>Este bloque aplica a tienda y a servicio. Si un método requiere referencia, coloca Sí; en caso contrario, 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Banco</w:t>
            </w:r>
          </w:p>
        </w:tc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Titular</w:t>
            </w:r>
          </w:p>
        </w:tc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DNI / RIF</w:t>
            </w:r>
          </w:p>
        </w:tc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Requiere referencia</w:t>
            </w:r>
          </w:p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</w:tbl>
    <w:p>
      <w:pPr>
        <w:spacing w:before="240" w:after="120"/>
      </w:pPr>
      <w:r>
        <w:rPr>
          <w:b/>
          <w:color w:val="1F2937"/>
          <w:sz w:val="26"/>
        </w:rPr>
        <w:t>4. Flujo Tienda: catálogo inicial</w:t>
      </w:r>
    </w:p>
    <w:p>
      <w:pPr>
        <w:spacing w:after="120"/>
      </w:pPr>
      <w:r>
        <w:rPr>
          <w:i/>
          <w:color w:val="5B6472"/>
          <w:sz w:val="18"/>
        </w:rPr>
        <w:t>Registra categorías, productos, variantes, precios y stock inicial para comercio físico, delivery o e-commerce.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128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128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Variante</w:t>
            </w:r>
          </w:p>
        </w:tc>
        <w:tc>
          <w:tcPr>
            <w:tcW w:type="dxa" w:w="128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128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Stock</w:t>
            </w:r>
          </w:p>
        </w:tc>
        <w:tc>
          <w:tcPr>
            <w:tcW w:type="dxa" w:w="128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28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Consumible</w:t>
            </w:r>
          </w:p>
        </w:tc>
        <w:tc>
          <w:tcPr>
            <w:tcW w:type="dxa" w:w="128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Activo</w:t>
            </w:r>
          </w:p>
        </w:tc>
      </w:tr>
      <w:tr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</w:tr>
      <w:tr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</w:tr>
      <w:tr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</w:tr>
      <w:tr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</w:tr>
      <w:tr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</w:tr>
      <w:tr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</w:tr>
      <w:tr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</w:tr>
      <w:tr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</w:tr>
    </w:tbl>
    <w:p>
      <w:pPr>
        <w:spacing w:before="240" w:after="120"/>
      </w:pPr>
      <w:r>
        <w:rPr>
          <w:b/>
          <w:color w:val="1F2937"/>
          <w:sz w:val="26"/>
        </w:rPr>
        <w:t>5. Flujo Servicio: servicios iniciales</w:t>
      </w:r>
    </w:p>
    <w:p>
      <w:pPr>
        <w:spacing w:after="120"/>
      </w:pPr>
      <w:r>
        <w:rPr>
          <w:i/>
          <w:color w:val="5B6472"/>
          <w:sz w:val="18"/>
        </w:rPr>
        <w:t>Registra servicios, duración, buffer y profesional responsable. El sistema también creará el producto/variante base para cada servicio.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c>
          <w:tcPr>
            <w:tcW w:type="dxa" w:w="114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114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114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114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Duración min</w:t>
            </w:r>
          </w:p>
        </w:tc>
        <w:tc>
          <w:tcPr>
            <w:tcW w:type="dxa" w:w="114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Buffer min</w:t>
            </w:r>
          </w:p>
        </w:tc>
        <w:tc>
          <w:tcPr>
            <w:tcW w:type="dxa" w:w="114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Profesional</w:t>
            </w:r>
          </w:p>
        </w:tc>
        <w:tc>
          <w:tcPr>
            <w:tcW w:type="dxa" w:w="114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4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type="dxa" w:w="1146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Activo</w:t>
            </w:r>
          </w:p>
        </w:tc>
      </w:tr>
      <w:tr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</w:tr>
      <w:tr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</w:tr>
      <w:tr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</w:tr>
      <w:tr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</w:tr>
      <w:tr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</w:tr>
      <w:tr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</w:tr>
      <w:tr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</w:tr>
      <w:tr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  <w:tc>
          <w:tcPr>
            <w:tcW w:type="dxa" w:w="1146"/>
          </w:tcPr>
          <w:p/>
        </w:tc>
      </w:tr>
    </w:tbl>
    <w:p>
      <w:pPr>
        <w:spacing w:before="240" w:after="120"/>
      </w:pPr>
      <w:r>
        <w:rPr>
          <w:b/>
          <w:color w:val="1F2937"/>
          <w:sz w:val="26"/>
        </w:rPr>
        <w:t>6. Flujo Servicio: horarios por profesional</w:t>
      </w:r>
    </w:p>
    <w:p>
      <w:pPr>
        <w:spacing w:after="120"/>
      </w:pPr>
      <w:r>
        <w:rPr>
          <w:i/>
          <w:color w:val="5B6472"/>
          <w:sz w:val="18"/>
        </w:rPr>
        <w:t>Usa el nombre o correo del profesional cargado en la tabla de usuarios. Día en español o inglés. Horario en formato 24h HH:MM.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Profesional</w:t>
            </w:r>
          </w:p>
        </w:tc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Día</w:t>
            </w:r>
          </w:p>
        </w:tc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Hora inicio</w:t>
            </w:r>
          </w:p>
        </w:tc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Hora fin</w:t>
            </w:r>
          </w:p>
        </w:tc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Intervalo min</w:t>
            </w:r>
          </w:p>
        </w:tc>
        <w:tc>
          <w:tcPr>
            <w:tcW w:type="dxa" w:w="1719"/>
            <w:tcBorders>
              <w:top w:val="single" w:sz="6" w:space="0" w:color="D7DCE3"/>
              <w:left w:val="single" w:sz="6" w:space="0" w:color="D7DCE3"/>
              <w:bottom w:val="single" w:sz="6" w:space="0" w:color="D7DCE3"/>
              <w:right w:val="single" w:sz="6" w:space="0" w:color="D7DCE3"/>
            </w:tcBorders>
            <w:shd w:fill="C58B2A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Activo</w:t>
            </w:r>
          </w:p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</w:tbl>
    <w:p>
      <w:pPr>
        <w:spacing w:before="240" w:after="120"/>
      </w:pPr>
      <w:r>
        <w:rPr>
          <w:b/>
          <w:color w:val="1F2937"/>
          <w:sz w:val="26"/>
        </w:rPr>
        <w:t>7. Observaciones de entrega</w:t>
      </w:r>
    </w:p>
    <w:p>
      <w:pPr>
        <w:spacing w:after="120"/>
      </w:pPr>
      <w:r>
        <w:rPr>
          <w:i/>
          <w:color w:val="5B6472"/>
          <w:sz w:val="18"/>
        </w:rPr>
        <w:t>Activos visuales sugeridos para entregar por separado: logo en alta calidad, imágenes comerciales, QR bancarios, políticas y términos. Este documento importa datos estructurados; los archivos gráficos deben adjuntarse aparte.</w:t>
      </w:r>
    </w:p>
    <w:sectPr w:rsidR="00FC693F" w:rsidRPr="0006063C" w:rsidSect="00034616"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Shopix · Formulario importable de levantamiento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