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F2937"/>
          <w:sz w:val="40"/>
        </w:rPr>
        <w:t>SHOPIX</w:t>
      </w:r>
    </w:p>
    <w:p>
      <w:pPr>
        <w:pStyle w:val="Normal"/>
        <w:spacing w:before="0" w:after="60"/>
        <w:jc w:val="center"/>
        <w:rPr/>
      </w:pPr>
      <w:r>
        <w:rPr>
          <w:b/>
          <w:color w:val="C58B2A"/>
          <w:sz w:val="32"/>
        </w:rPr>
        <w:t>Formulario Corporativo de Levantamiento</w:t>
      </w:r>
    </w:p>
    <w:p>
      <w:pPr>
        <w:pStyle w:val="Normal"/>
        <w:jc w:val="center"/>
        <w:rPr/>
      </w:pPr>
      <w:r>
        <w:rPr>
          <w:i/>
          <w:sz w:val="20"/>
        </w:rPr>
        <w:t>Documento importable para creación y gestión de tiendas o servicios en Shopix.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Instrucciones: completa las celdas vacías, no cambies los encabezados de las tablas y deja en blanco lo que no aplique. Este documento contempla ambos flujos: tienda y servicio.</w:t>
      </w:r>
    </w:p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1. Datos generales y corporativos</w:t>
      </w:r>
    </w:p>
    <w:tbl>
      <w:tblPr>
        <w:tblStyle w:val="TableGrid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68"/>
        <w:gridCol w:w="5669"/>
      </w:tblGrid>
      <w:tr>
        <w:trPr/>
        <w:tc>
          <w:tcPr>
            <w:tcW w:w="396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1F2937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66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1F2937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Respuesta</w:t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Nombre comercial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Slug sugerido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(url /nombre)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Correo principal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Tipo de negocio (Tienda / Servicio)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Rubro económico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Eslogan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 comercial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Código país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Teléfono principal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País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Ciudad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Dirección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Días operativos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Hora de apertura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Hora de cierre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Modo citas por orden de llegada (Sí/No)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Contribuyente especial (Sí/No)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Delivery habilitado (Sí/No)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Modo tarifa delivery (free/fixed/distance)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Tarifa fija delivery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Tarifa por km delivery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Restringir delivery a ciudad de la tienda (Sí/No)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Notificaciones de delivery (Sí/No)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TikTok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Instagram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Facebook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Color primario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Color secundario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8" w:type="dxa"/>
            <w:tcBorders/>
            <w:shd w:fill="F4EFE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Color acento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2. Usuarios iniciales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Incluye owner, admin, vendedor, almacén, delivery o profesionales operativos según corresponda.</w:t>
      </w:r>
    </w:p>
    <w:tbl>
      <w:tblPr>
        <w:tblStyle w:val="TableGrid"/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19"/>
        <w:gridCol w:w="1718"/>
        <w:gridCol w:w="1720"/>
        <w:gridCol w:w="1719"/>
        <w:gridCol w:w="1718"/>
        <w:gridCol w:w="1719"/>
      </w:tblGrid>
      <w:tr>
        <w:trPr/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</w:t>
            </w:r>
          </w:p>
        </w:tc>
        <w:tc>
          <w:tcPr>
            <w:tcW w:w="171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1720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Correo</w:t>
            </w:r>
          </w:p>
        </w:tc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Contraseña</w:t>
            </w:r>
          </w:p>
        </w:tc>
        <w:tc>
          <w:tcPr>
            <w:tcW w:w="171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Teléfono</w:t>
            </w:r>
          </w:p>
        </w:tc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DNI / RIF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3. Métodos de pago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Este bloque aplica a tienda y a servicio. Si un método requiere referencia, coloca Sí; en caso contrario, No.</w:t>
      </w:r>
    </w:p>
    <w:tbl>
      <w:tblPr>
        <w:tblStyle w:val="TableGrid"/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19"/>
        <w:gridCol w:w="1718"/>
        <w:gridCol w:w="1720"/>
        <w:gridCol w:w="1719"/>
        <w:gridCol w:w="1718"/>
        <w:gridCol w:w="1719"/>
      </w:tblGrid>
      <w:tr>
        <w:trPr/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171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Banco</w:t>
            </w:r>
          </w:p>
        </w:tc>
        <w:tc>
          <w:tcPr>
            <w:tcW w:w="1720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Titular</w:t>
            </w:r>
          </w:p>
        </w:tc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DNI / RIF</w:t>
            </w:r>
          </w:p>
        </w:tc>
        <w:tc>
          <w:tcPr>
            <w:tcW w:w="171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Requiere referencia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4. Flujo Tienda: catálogo inicial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Registra categorías, productos, variantes, precios y stock inicial para comercio físico, delivery o e-commerce.</w:t>
      </w:r>
    </w:p>
    <w:tbl>
      <w:tblPr>
        <w:tblStyle w:val="TableGrid"/>
        <w:tblW w:w="10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7"/>
      </w:tblGrid>
      <w:tr>
        <w:trPr/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Categoría</w:t>
            </w:r>
          </w:p>
        </w:tc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Producto</w:t>
            </w:r>
          </w:p>
        </w:tc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Variante</w:t>
            </w:r>
          </w:p>
        </w:tc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Stock</w:t>
            </w:r>
          </w:p>
        </w:tc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128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Consumible</w:t>
            </w:r>
          </w:p>
        </w:tc>
        <w:tc>
          <w:tcPr>
            <w:tcW w:w="1287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Activo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5. Flujo Servicio: servicios iniciales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Registra servicios, duración, buffer y profesional responsable. El sistema también creará el producto/variante base para cada servicio.</w:t>
      </w:r>
    </w:p>
    <w:tbl>
      <w:tblPr>
        <w:tblStyle w:val="TableGrid"/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45"/>
        <w:gridCol w:w="1146"/>
        <w:gridCol w:w="1146"/>
        <w:gridCol w:w="1146"/>
        <w:gridCol w:w="1147"/>
        <w:gridCol w:w="1146"/>
        <w:gridCol w:w="1146"/>
        <w:gridCol w:w="1146"/>
        <w:gridCol w:w="1145"/>
      </w:tblGrid>
      <w:tr>
        <w:trPr/>
        <w:tc>
          <w:tcPr>
            <w:tcW w:w="1145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Servicio</w:t>
            </w:r>
          </w:p>
        </w:tc>
        <w:tc>
          <w:tcPr>
            <w:tcW w:w="1146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Categoría</w:t>
            </w:r>
          </w:p>
        </w:tc>
        <w:tc>
          <w:tcPr>
            <w:tcW w:w="1146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1146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Duración min</w:t>
            </w:r>
          </w:p>
        </w:tc>
        <w:tc>
          <w:tcPr>
            <w:tcW w:w="1147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Buffer min</w:t>
            </w:r>
          </w:p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(min de intervalo)</w:t>
            </w:r>
          </w:p>
        </w:tc>
        <w:tc>
          <w:tcPr>
            <w:tcW w:w="1146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Profesional</w:t>
            </w:r>
          </w:p>
        </w:tc>
        <w:tc>
          <w:tcPr>
            <w:tcW w:w="1146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1146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Color</w:t>
            </w:r>
          </w:p>
        </w:tc>
        <w:tc>
          <w:tcPr>
            <w:tcW w:w="1145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Activo</w:t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6. Flujo Servicio: horarios por profesional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Usa el nombre o correo del profesional cargado en la tabla de usuarios. Día en español o inglés. Horario en formato 24h HH:MM.</w:t>
      </w:r>
    </w:p>
    <w:tbl>
      <w:tblPr>
        <w:tblStyle w:val="TableGrid"/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19"/>
        <w:gridCol w:w="1718"/>
        <w:gridCol w:w="1720"/>
        <w:gridCol w:w="1719"/>
        <w:gridCol w:w="1718"/>
        <w:gridCol w:w="1719"/>
      </w:tblGrid>
      <w:tr>
        <w:trPr/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Profesional</w:t>
            </w:r>
          </w:p>
        </w:tc>
        <w:tc>
          <w:tcPr>
            <w:tcW w:w="171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Día</w:t>
            </w:r>
          </w:p>
        </w:tc>
        <w:tc>
          <w:tcPr>
            <w:tcW w:w="1720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Hora inicio</w:t>
            </w:r>
          </w:p>
        </w:tc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Hora fin</w:t>
            </w:r>
          </w:p>
        </w:tc>
        <w:tc>
          <w:tcPr>
            <w:tcW w:w="1718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Intervalo min</w:t>
            </w:r>
          </w:p>
        </w:tc>
        <w:tc>
          <w:tcPr>
            <w:tcW w:w="1719" w:type="dxa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Activo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120"/>
        <w:rPr/>
      </w:pPr>
      <w:r>
        <w:rPr>
          <w:b/>
          <w:color w:val="1F2937"/>
          <w:sz w:val="26"/>
        </w:rPr>
        <w:t>7. Observaciones de entrega</w:t>
      </w:r>
    </w:p>
    <w:p>
      <w:pPr>
        <w:pStyle w:val="Normal"/>
        <w:spacing w:before="0" w:after="120"/>
        <w:rPr/>
      </w:pPr>
      <w:r>
        <w:rPr>
          <w:i/>
          <w:color w:val="5B6472"/>
          <w:sz w:val="18"/>
        </w:rPr>
        <w:t>Activos visuales sugeridos para entregar por separado: logo en alta calidad, imágenes comerciales, QR bancarios, políticas y términos. Este documento importa datos estructurados; los archivos gráficos deben adjuntarse aparte.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64" w:right="964" w:gutter="0" w:header="0" w:top="850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B7280"/>
        <w:sz w:val="16"/>
      </w:rPr>
      <w:t>Shopix · Formulario importable de levantamiento operativo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B7280"/>
        <w:sz w:val="16"/>
      </w:rPr>
      <w:t>Shopix · Formulario importable de levantamiento operativo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LibreOffice/24.2.2.2$Windows_X86_64 LibreOffice_project/d56cc158d8a96260b836f100ef4b4ef25d6f1a01</Application>
  <AppVersion>15.0000</AppVersion>
  <Pages>3</Pages>
  <Words>327</Words>
  <Characters>2018</Characters>
  <CharactersWithSpaces>2259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2026-05-25T11:35:07Z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