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BROTAR</w:t>
      </w:r>
    </w:p>
    <w:p>
      <w:pPr>
        <w:pStyle w:val="Title"/>
      </w:pPr>
      <w:r>
        <w:rPr>
          <w:b w:val="0"/>
        </w:rPr>
        <w:t>Informe detallado del Sprint 2</w:t>
      </w:r>
    </w:p>
    <w:p>
      <w:pPr>
        <w:pStyle w:val="Subtitle"/>
      </w:pPr>
      <w:r>
        <w:rPr>
          <w:b w:val="0"/>
        </w:rPr>
        <w:t>Implementación del módulo de campañas y evidencia de cierre técnico</w:t>
      </w:r>
    </w:p>
    <w:p>
      <w:r>
        <w:rPr>
          <w:b w:val="0"/>
        </w:rPr>
        <w:t>Proyecto de Sistemas II</w:t>
      </w:r>
    </w:p>
    <w:p>
      <w:r>
        <w:rPr>
          <w:b w:val="0"/>
        </w:rPr>
        <w:t>Equipo de trabajo: Ricardo, Alison y Santiago</w:t>
      </w:r>
    </w:p>
    <w:p>
      <w:r>
        <w:rPr>
          <w:b/>
        </w:rPr>
        <w:t>Estudiantes</w:t>
      </w:r>
    </w:p>
    <w:p>
      <w:r>
        <w:rPr>
          <w:b w:val="0"/>
        </w:rPr>
        <w:t>Ricardo Nuñez del Prado Justiniano</w:t>
      </w:r>
    </w:p>
    <w:p>
      <w:r>
        <w:rPr>
          <w:b w:val="0"/>
        </w:rPr>
        <w:t>Santiago Rocha Mejia</w:t>
      </w:r>
    </w:p>
    <w:p>
      <w:r>
        <w:rPr>
          <w:b w:val="0"/>
        </w:rPr>
        <w:t>Alison Pizarro Apaza</w:t>
      </w:r>
    </w:p>
    <w:p>
      <w:r>
        <w:rPr>
          <w:b w:val="0"/>
        </w:rPr>
        <w:t>Corte documentado: rama DEV, commit 1fcecd4</w:t>
      </w:r>
    </w:p>
    <w:p>
      <w:r>
        <w:rPr>
          <w:b w:val="0"/>
        </w:rPr>
        <w:t>Fecha de preparación: 7 de octubre de 2026</w:t>
      </w:r>
    </w:p>
    <w:p>
      <w:r>
        <w:rPr>
          <w:b w:val="0"/>
        </w:rPr>
        <w:t>Destinatario: docente de Proyecto de Sistemas II</w:t>
      </w:r>
    </w:p>
    <w:p>
      <w:r>
        <w:rPr>
          <w:b w:val="0"/>
        </w:rPr>
        <w:t>Estado: incremento de campañas implementado y publicado; aceptación formal de los líderes y reglas definitivas del cliente pendientes.</w:t>
      </w:r>
    </w:p>
    <w:p>
      <w:r>
        <w:rPr>
          <w:b w:val="0"/>
        </w:rPr>
        <w:t>Fuentes: tarea oficial de Fase 3, código y pruebas de DEV, planificación interna, README y registros de verificación del 5 de octubre de 2026.</w:t>
      </w:r>
    </w:p>
    <w:p>
      <w:r>
        <w:rPr>
          <w:b w:val="0"/>
        </w:rPr>
        <w:t>Este informe distingue el funcionamiento verificado de la aprobación académica y de la validación final del cliente. Los 300 casos automatizados incluyen regresiones de Sprint 1 y no representan 300 historias de usuario.</w:t>
      </w:r>
    </w:p>
    <w:p>
      <w:pPr>
        <w:pStyle w:val="Heading1"/>
        <w:pageBreakBefore/>
      </w:pPr>
      <w:r>
        <w:t>1 Resumen y alcance del incremento</w:t>
      </w:r>
    </w:p>
    <w:p>
      <w:r>
        <w:rPr>
          <w:b w:val="0"/>
        </w:rPr>
        <w:t>El equipo integró el flujo de campañas sobre el acceso y la persistencia del Sprint 1. Un creador puede conservar varios borradores, completar su propuesta, enviarla y corregir observaciones. Un administrador consulta el expediente completo, solicita cambios, aprueba o rechaza; la publicación es una acción separada. El visitante consulta exclusivamente las campañas publicadas con datos reales.</w:t>
      </w:r>
    </w:p>
    <w:p>
      <w:r>
        <w:rPr>
          <w:b w:val="0"/>
        </w:rPr>
        <w:t>El objetivo corresponde a la tarea oficial de Fase 3, Módulo de Campañas, secciones 4 a 10 y 13. Se mantuvieron React, NestJS, TypeORM, PostgreSQL y el repositorio existente. La sección 11 excluye aportes, pagos, checkout, desembolsos, devoluciones, finanzas, KYC/KYB y rendición. Configurar meta o recompensa no equivale a implementar esos módulos.</w:t>
      </w:r>
    </w:p>
    <w:tbl>
      <w:tblPr>
        <w:tblW w:type="auto" w:w="0"/>
        <w:jc w:val="center"/>
        <w:tblLayout w:type="fixed"/>
        <w:tblLook w:firstColumn="1" w:firstRow="1" w:lastColumn="0" w:lastRow="0" w:noHBand="0" w:noVBand="1" w:val="04A0"/>
      </w:tblPr>
      <w:tblGrid>
        <w:gridCol w:w="1656"/>
        <w:gridCol w:w="6552"/>
        <w:gridCol w:w="1584"/>
      </w:tblGrid>
      <w:tr>
        <w:trPr>
          <w:tblHeader/>
          <w:cantSplit/>
        </w:trP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jc w:val="center"/>
            </w:pPr>
            <w:r>
              <w:rPr>
                <w:b/>
                <w:sz w:val="20"/>
              </w:rPr>
              <w:t>Responsable</w:t>
            </w:r>
          </w:p>
        </w:tc>
        <w:tc>
          <w:tcPr>
            <w:tcW w:type="dxa" w:w="65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Tareas vigentes</w:t>
            </w:r>
          </w:p>
        </w:tc>
        <w:tc>
          <w:tcPr>
            <w:tcW w:type="dxa" w:w="15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Cantidad</w:t>
            </w:r>
          </w:p>
        </w:tc>
      </w:tr>
      <w:tr>
        <w:trPr>
          <w:cantSplit/>
        </w:trP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Santiago</w:t>
            </w:r>
          </w:p>
        </w:tc>
        <w:tc>
          <w:tcPr>
            <w:tcW w:type="dxa" w:w="65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S2-02, 03, 04, 05, 10, 11 y 13</w:t>
            </w:r>
          </w:p>
        </w:tc>
        <w:tc>
          <w:tcPr>
            <w:tcW w:type="dxa" w:w="15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7</w:t>
            </w:r>
          </w:p>
        </w:tc>
      </w:tr>
      <w:tr>
        <w:trPr>
          <w:cantSplit/>
        </w:trP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Ricardo</w:t>
            </w:r>
          </w:p>
        </w:tc>
        <w:tc>
          <w:tcPr>
            <w:tcW w:type="dxa" w:w="65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S2-12, 14, 15, 17 y 21</w:t>
            </w:r>
          </w:p>
        </w:tc>
        <w:tc>
          <w:tcPr>
            <w:tcW w:type="dxa" w:w="15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5</w:t>
            </w:r>
          </w:p>
        </w:tc>
      </w:tr>
      <w:tr>
        <w:trPr>
          <w:cantSplit/>
        </w:trP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Alison</w:t>
            </w:r>
          </w:p>
        </w:tc>
        <w:tc>
          <w:tcPr>
            <w:tcW w:type="dxa" w:w="65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S2-16</w:t>
            </w:r>
          </w:p>
        </w:tc>
        <w:tc>
          <w:tcPr>
            <w:tcW w:type="dxa" w:w="15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1</w:t>
            </w:r>
          </w:p>
        </w:tc>
      </w:tr>
    </w:tbl>
    <w:p>
      <w:r>
        <w:rPr>
          <w:b w:val="0"/>
        </w:rPr>
      </w:r>
    </w:p>
    <w:p>
      <w:r>
        <w:rPr>
          <w:b w:val="0"/>
        </w:rPr>
        <w:t>Los identificadores mantienen la numeración original; los saltos corresponden a tareas trasladadas al inventario futuro. Las 13 tareas no son todo el backlog: se conservan 64 historias generales y 62 tareas distribuidas entre los sprints. El alcance de una tarea puede cubrir solamente parte de una historia BG.</w:t>
      </w:r>
    </w:p>
    <w:p>
      <w:pPr>
        <w:pStyle w:val="Heading2"/>
      </w:pPr>
      <w:r>
        <w:t>Criterio de cierre</w:t>
      </w:r>
    </w:p>
    <w:p>
      <w:r>
        <w:rPr>
          <w:b w:val="0"/>
        </w:rPr>
        <w:t>Para las doce tareas funcionales se contrastan resultado, validación, persistencia, permisos y demostración. S2-21 reúne integración, pruebas, documentación y entrega: el código y sus evidencias están publicados en DEV, pero la revisión formal del alcance requiere a los líderes. No se presenta la aceptación externa como completada por aprobar pruebas.</w:t>
      </w:r>
    </w:p>
    <w:p>
      <w:pPr>
        <w:pStyle w:val="Heading2"/>
      </w:pPr>
      <w:r>
        <w:t>Lectura del informe</w:t>
      </w:r>
    </w:p>
    <w:p>
      <w:r>
        <w:rPr>
          <w:b w:val="0"/>
        </w:rPr>
        <w:t>Las secciones 3 a 9 detallan los compromisos. Las secciones 10 a 12 presentan las validaciones, el recorrido de demostración, las decisiones provisionales y la defensa técnica. El documento de principios y patrones explica por separado la justificación del diseño.</w:t>
      </w:r>
    </w:p>
    <w:p>
      <w:pPr>
        <w:pStyle w:val="Heading1"/>
        <w:pageBreakBefore/>
      </w:pPr>
      <w:r>
        <w:t>2 Arquitectura integración y persistencia</w:t>
      </w:r>
    </w:p>
    <w:p>
      <w:r>
        <w:rPr>
          <w:b w:val="0"/>
        </w:rPr>
        <w:t>React/Vite ejecuta la interfaz en 127.0.0.1:5173. Las solicitudes relativas /api pasan por el proxy de Vite a NestJS en 127.0.0.1:3000. Solo PostgreSQL corre en Docker; el contenedor V2 publica 5432 como puerto anfitrión 15433, accesible en loopback. NestJS utiliza el rol limitado brotar_app y la base brotar_db, no el superusuario para atender la API.</w:t>
      </w:r>
    </w:p>
    <w:tbl>
      <w:tblPr>
        <w:tblW w:type="auto" w:w="0"/>
        <w:jc w:val="center"/>
        <w:tblLayout w:type="fixed"/>
        <w:tblLook w:firstColumn="1" w:firstRow="1" w:lastColumn="0" w:lastRow="0" w:noHBand="0" w:noVBand="1" w:val="04A0"/>
      </w:tblPr>
      <w:tblGrid>
        <w:gridCol w:w="1512"/>
        <w:gridCol w:w="5112"/>
        <w:gridCol w:w="3168"/>
      </w:tblGrid>
      <w:tr>
        <w:trPr>
          <w:tblHeade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jc w:val="center"/>
            </w:pPr>
            <w:r>
              <w:rPr>
                <w:b/>
                <w:sz w:val="20"/>
              </w:rPr>
              <w:t>Capa</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Responsabilidad</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Ejemplo</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Interfaz</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Controles, progreso y retroalimentación</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CampaignSectionsEditor</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Hook y cliente</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Estado, solicitudes y contratos</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useCampaignSections</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HTTP</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DTO, autenticación y autorización</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SectionsController</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Aplicación</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Coordinación mediante puertos</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CampaignSections</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Dominio</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Reglas y faltantes sin conexión</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validateFunding</w:t>
            </w:r>
          </w:p>
        </w:tc>
      </w:tr>
      <w:tr>
        <w:trPr>
          <w:cantSplit/>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Infraestructura</w:t>
            </w:r>
          </w:p>
        </w:tc>
        <w:tc>
          <w:tcPr>
            <w:tcW w:type="dxa" w:w="51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SQL, transacciones y persistencia</w:t>
            </w:r>
          </w:p>
        </w:tc>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TypeormSectionsRepository</w:t>
            </w:r>
          </w:p>
        </w:tc>
      </w:tr>
    </w:tbl>
    <w:p>
      <w:r>
        <w:rPr>
          <w:b w:val="0"/>
        </w:rPr>
      </w:r>
    </w:p>
    <w:p>
      <w:r>
        <w:rPr>
          <w:b w:val="0"/>
        </w:rPr>
        <w:t>La infraestructura vigente es infra/postgres-v2. El volumen conserva usuarios, campañas y sesiones tras detener o reiniciar el contenedor. Git distribuye código y SQL de línea base; no distribuye el volumen, cuentas locales, .env, contraseñas ni archivos privados. Cada instalación prepara su propia configuración siguiendo el README.</w:t>
      </w:r>
    </w:p>
    <w:p>
      <w:r>
        <w:rPr>
          <w:b w:val="0"/>
        </w:rPr>
        <w:t>La V2 conserva 59 tablas públicas, 5 vistas, 8 secuencias, 31 enums, 16 funciones propias, 40 triggers y 134 claves foráneas. Se reutilizan las estructuras oficiales. Tres migraciones controlan línea base, estado REJECTED y permiso de auditoría para CREATOR provisional. El API no sincroniza tablas automáticamente ni ejecuta DDL al arrancar.</w:t>
      </w:r>
    </w:p>
    <w:p>
      <w:r>
        <w:rPr>
          <w:b w:val="0"/>
        </w:rPr>
        <w:t>El PDF describe siete etapas; el constructor conserva ocho porque Portada es una etapa independiente entre historia y planificación. Tipo, información general, historia/impacto, portada, plan/presupuesto, financiamiento, recompensas y revisión cubren el contenido solicitado. En donación se omite recompensas. La diferencia de presentación no elimina datos ni crea otra funcionalidad financiera.</w:t>
      </w:r>
    </w:p>
    <w:p>
      <w:pPr>
        <w:pStyle w:val="Heading1"/>
        <w:pageBreakBefore/>
      </w:pPr>
      <w:r>
        <w:t>3 Planificación presupuesto y riesgos</w:t>
      </w:r>
    </w:p>
    <w:p>
      <w:pPr>
        <w:pStyle w:val="Heading2"/>
      </w:pPr>
      <w:r>
        <w:t>S2 02 Planificar actividades e hitos</w:t>
      </w:r>
    </w:p>
    <w:p>
      <w:r>
        <w:rPr>
          <w:b w:val="0"/>
        </w:rPr>
        <w:t>Responsable planificado: Santiago. Historias relacionadas: BG-21.</w:t>
      </w:r>
    </w:p>
    <w:p>
      <w:r>
        <w:rPr>
          <w:b w:val="0"/>
        </w:rPr>
        <w:t>Qué se debía lograr. Registrar actividades, responsables y cronograma; relacionar hitos cuando corresponda y validar fechas coherentes. Guardar y recuperar la planificación del borrador propio.</w:t>
      </w:r>
    </w:p>
    <w:p>
      <w:r>
        <w:rPr>
          <w:b w:val="0"/>
        </w:rPr>
        <w:t>Implementación. El caso CampaignSections valida la propiedad y el estado; validatePlan comprueba responsables, días reales y relación del hito. TypeormSectionsRepository escribe bajo transacción y bloqueo de campaña. El editor conserva el estado de cambios pendientes y recupera las secciones desde la API.</w:t>
      </w:r>
    </w:p>
    <w:p>
      <w:r>
        <w:rPr>
          <w:b w:val="0"/>
        </w:rPr>
        <w:t>Criterios funcionales comprobados. Validar fechas coherentes, responsabilidades, persistencia al salir y volver, campos obligatorios y rechazo de edición por otro usuario.</w:t>
      </w:r>
    </w:p>
    <w:p>
      <w:r>
        <w:rPr>
          <w:b w:val="0"/>
        </w:rPr>
        <w:t>Prueba negativa. Responsable vacío, fin anterior al inicio o fecha 31/02 deben marcar el campo. Otra cuenta no puede leer ni escribir la planificación privada; el API rechaza el acceso aunque conozca el UUID.</w:t>
      </w:r>
    </w:p>
    <w:p>
      <w:r>
        <w:rPr>
          <w:b w:val="0"/>
        </w:rPr>
        <w:t>Cómo demostrarlo. Entrar como creador y abrir Mis borradores. Crear una campaña de ensayo o continuar una propia. Avanzar guardando hasta Plan y presupuesto.</w:t>
      </w:r>
    </w:p>
    <w:p>
      <w:r>
        <w:rPr>
          <w:b w:val="0"/>
        </w:rPr>
        <w:t>Evidencia. backend/test/campaign-sections.test.ts; tests/campaign-sections.test.ts; integración campaign-sections-submission.integration.test.ts.</w:t>
      </w:r>
    </w:p>
    <w:p>
      <w:pPr>
        <w:spacing w:line="245" w:lineRule="auto"/>
      </w:pPr>
      <w:r>
        <w:rPr>
          <w:rFonts w:ascii="Consolas" w:hAnsi="Consolas"/>
          <w:b w:val="0"/>
          <w:sz w:val="18"/>
        </w:rPr>
        <w:t>backend/src/campaigns/domain/sections.ts · línea 31 · export function validatePlan</w:t>
      </w:r>
    </w:p>
    <w:p>
      <w:pPr>
        <w:pStyle w:val="Heading2"/>
      </w:pPr>
      <w:r>
        <w:t>S2 03 Registrar presupuesto y riesgos</w:t>
      </w:r>
    </w:p>
    <w:p>
      <w:r>
        <w:rPr>
          <w:b w:val="0"/>
        </w:rPr>
        <w:t>Responsable planificado: Santiago. Historias relacionadas: BG-22.</w:t>
      </w:r>
    </w:p>
    <w:p>
      <w:r>
        <w:rPr>
          <w:b w:val="0"/>
        </w:rPr>
        <w:t>Qué se debía lograr. Persistir gastos, partidas de presupuesto y riesgos del proyecto. Validar montos mayores a cero y mostrar totales sin imponer reglas de igualdad con la meta no confirmadas.</w:t>
      </w:r>
    </w:p>
    <w:p>
      <w:r>
        <w:rPr>
          <w:b w:val="0"/>
        </w:rPr>
        <w:t>Implementación. El presupuesto y los riesgos se guardan como bloque separado del plan. Se valida la categoría activa y cada importe; los errores usan rutas como items.0.plannedAmount. El total de presentación suma céntimos enteros. No se inventa una obligación de presupuesto igual a meta.</w:t>
      </w:r>
    </w:p>
    <w:p>
      <w:r>
        <w:rPr>
          <w:b w:val="0"/>
        </w:rPr>
        <w:t>Criterios funcionales comprobados. Validar montos, longitudes, riesgos y totales; conservar los datos ante errores y comprobar propiedad desde la API.</w:t>
      </w:r>
    </w:p>
    <w:p>
      <w:r>
        <w:rPr>
          <w:b w:val="0"/>
        </w:rPr>
        <w:t>Prueba negativa. Cero, negativos, tres decimales, categoría inactiva, notas con más de 5000 caracteres o carácter NUL no deben reemplazar los datos anteriores. Descripción de campaña con números sí es válida: no es un nombre personal.</w:t>
      </w:r>
    </w:p>
    <w:p>
      <w:r>
        <w:rPr>
          <w:b w:val="0"/>
        </w:rPr>
        <w:t>Cómo demostrarlo. En Plan y presupuesto, añadir una partida y elegir una categoría de gasto activa del catálogo real.</w:t>
      </w:r>
    </w:p>
    <w:p>
      <w:r>
        <w:rPr>
          <w:b w:val="0"/>
        </w:rPr>
        <w:t>Evidencia. sprint2-quality.test (frontend/backend); campaign-sections.test; integración con lectura posterior a entradas inválidas.</w:t>
      </w:r>
    </w:p>
    <w:p>
      <w:pPr>
        <w:spacing w:line="245" w:lineRule="auto"/>
      </w:pPr>
      <w:r>
        <w:rPr>
          <w:rFonts w:ascii="Consolas" w:hAnsi="Consolas"/>
          <w:b w:val="0"/>
          <w:sz w:val="18"/>
        </w:rPr>
        <w:t>backend/src/campaigns/domain/sections.ts · línea 45 · export function validateBudget</w:t>
      </w:r>
    </w:p>
    <w:p>
      <w:pPr>
        <w:pStyle w:val="Heading1"/>
        <w:pageBreakBefore/>
      </w:pPr>
      <w:r>
        <w:t>4 Financiamiento recompensas y preventas</w:t>
      </w:r>
    </w:p>
    <w:p>
      <w:pPr>
        <w:pStyle w:val="Heading2"/>
      </w:pPr>
      <w:r>
        <w:t>S2 04 Configurar el financiamiento</w:t>
      </w:r>
    </w:p>
    <w:p>
      <w:r>
        <w:rPr>
          <w:b w:val="0"/>
        </w:rPr>
        <w:t>Responsable planificado: Santiago. Historias relacionadas: BG-23.</w:t>
      </w:r>
    </w:p>
    <w:p>
      <w:r>
        <w:rPr>
          <w:b w:val="0"/>
        </w:rPr>
        <w:t>Qué se debía lograr. Guardar meta mayor a cero, moneda, duración y modelo de financiamiento admitidos por la base; validar fechas coherentes y explicar los datos requeridos.</w:t>
      </w:r>
    </w:p>
    <w:p>
      <w:r>
        <w:rPr>
          <w:b w:val="0"/>
        </w:rPr>
        <w:t>Implementación. Se persisten meta, moneda, duración, modelo y fechas opcionales en la campaña. El backend comprueba que la moneda exista y esté activa. Hay dos modelos del esquema: ALL_OR_NOTHING y FLEXIBLE. Si existen recompensas, se protege el cambio de moneda para no dejar importes incoherentes.</w:t>
      </w:r>
    </w:p>
    <w:p>
      <w:r>
        <w:rPr>
          <w:b w:val="0"/>
        </w:rPr>
        <w:t>Criterios funcionales comprobados. Probar meta positiva, moneda y modelo válidos, duración y fechas coherentes, guardado progresivo y respuestas de error por campo.</w:t>
      </w:r>
    </w:p>
    <w:p>
      <w:r>
        <w:rPr>
          <w:b w:val="0"/>
        </w:rPr>
        <w:t>Prueba negativa. Meta 0 o 1.001, duración fraccionaria, moneda inexistente, fin igual/anterior al inicio o solo una fecha deben fallar. 31 de febrero se rechaza, no se convierte silenciosamente en marzo.</w:t>
      </w:r>
    </w:p>
    <w:p>
      <w:r>
        <w:rPr>
          <w:b w:val="0"/>
        </w:rPr>
        <w:t>Cómo demostrarlo. Abrir Financiamiento después de guardar Plan y presupuesto.</w:t>
      </w:r>
    </w:p>
    <w:p>
      <w:r>
        <w:rPr>
          <w:b w:val="0"/>
        </w:rPr>
        <w:t>Evidencia. Validaciones pares frontend/backend y suite PostgreSQL. Las fechas y duración no se fuerzan a equivalencia comercial exacta: esa regla no está confirmada.</w:t>
      </w:r>
    </w:p>
    <w:p>
      <w:pPr>
        <w:spacing w:line="245" w:lineRule="auto"/>
      </w:pPr>
      <w:r>
        <w:rPr>
          <w:rFonts w:ascii="Consolas" w:hAnsi="Consolas"/>
          <w:b w:val="0"/>
          <w:sz w:val="18"/>
        </w:rPr>
        <w:t>backend/src/campaigns/domain/sections.ts · línea 68 · export function validateFunding</w:t>
      </w:r>
    </w:p>
    <w:p>
      <w:pPr>
        <w:pStyle w:val="Heading2"/>
      </w:pPr>
      <w:r>
        <w:t>S2 05 Configurar recompensas y preventas</w:t>
      </w:r>
    </w:p>
    <w:p>
      <w:r>
        <w:rPr>
          <w:b w:val="0"/>
        </w:rPr>
        <w:t>Responsable planificado: Santiago. Historias relacionadas: BG-24.</w:t>
      </w:r>
    </w:p>
    <w:p>
      <w:r>
        <w:rPr>
          <w:b w:val="0"/>
        </w:rPr>
        <w:t>Qué se debía lograr. Gestionar tipo, descripción, aporte mínimo, disponibilidad y fecha estimada de recompensas según la modalidad. Omitir el paso cuando no corresponda; conservar cambios sin activar aportes ni pagos.</w:t>
      </w:r>
    </w:p>
    <w:p>
      <w:r>
        <w:rPr>
          <w:b w:val="0"/>
        </w:rPr>
        <w:t>Implementación. Las recompensas incluyen título, descripción, tipo, aporte mínimo, disponibilidad y entrega estimada. El backend verifica modalidad y moneda. Cambiar a donación exige reconocer la existencia de recompensas, pero conserva sus filas; no activa ventas, inventario de aportes ni checkout.</w:t>
      </w:r>
    </w:p>
    <w:p>
      <w:r>
        <w:rPr>
          <w:b w:val="0"/>
        </w:rPr>
        <w:t>Criterios funcionales comprobados. Probar importes positivos, disponibilidad y fechas, límites de texto y persistencia; omitir recompensas en donación y mantener coherencia al cambiar modalidad.</w:t>
      </w:r>
    </w:p>
    <w:p>
      <w:r>
        <w:rPr>
          <w:b w:val="0"/>
        </w:rPr>
        <w:t>Prueba negativa. Mínimo cero/negativo, disponibilidad negativa/fraccionaria, entrega imposible y texto excesivo deben marcar errores. Vacío significa sin límite de disponibilidad; 0 no se confunde con ese vacío.</w:t>
      </w:r>
    </w:p>
    <w:p>
      <w:r>
        <w:rPr>
          <w:b w:val="0"/>
        </w:rPr>
        <w:t>Cómo demostrarlo. Usar modalidad Recompensa o Preventa. Abrir Recompensas después de Financiamiento.</w:t>
      </w:r>
    </w:p>
    <w:p>
      <w:r>
        <w:rPr>
          <w:b w:val="0"/>
        </w:rPr>
        <w:t>Evidencia. campaign-sections.test.ts y campaign-sections-submission.integration.test.ts: cambio con reconocimiento, conservación y exclusión pública en donación.</w:t>
      </w:r>
    </w:p>
    <w:p>
      <w:pPr>
        <w:spacing w:line="245" w:lineRule="auto"/>
      </w:pPr>
      <w:r>
        <w:rPr>
          <w:rFonts w:ascii="Consolas" w:hAnsi="Consolas"/>
          <w:b w:val="0"/>
          <w:sz w:val="18"/>
        </w:rPr>
        <w:t>backend/src/campaigns/domain/sections.ts · línea 83 · export function validateRewards</w:t>
      </w:r>
    </w:p>
    <w:p>
      <w:pPr>
        <w:pStyle w:val="Heading1"/>
        <w:pageBreakBefore/>
      </w:pPr>
      <w:r>
        <w:t>5 Revisión final y envío de campaña</w:t>
      </w:r>
    </w:p>
    <w:p>
      <w:pPr>
        <w:pStyle w:val="Heading2"/>
      </w:pPr>
      <w:r>
        <w:t>S2 10 Revisar la campaña antes del envío</w:t>
      </w:r>
    </w:p>
    <w:p>
      <w:r>
        <w:rPr>
          <w:b w:val="0"/>
        </w:rPr>
        <w:t>Responsable planificado: Santiago. Historias relacionadas: BG-29.</w:t>
      </w:r>
    </w:p>
    <w:p>
      <w:r>
        <w:rPr>
          <w:b w:val="0"/>
        </w:rPr>
        <w:t>Qué se debía lograr. Mostrar resumen y vista previa de la campaña persistida, indicar campos faltantes y enlazar al paso correspondiente. Cubrir tipo, información general con portada, historia e impacto, plan y presupuesto, financiamiento y recompensas aplicables.</w:t>
      </w:r>
    </w:p>
    <w:p>
      <w:r>
        <w:rPr>
          <w:b w:val="0"/>
        </w:rPr>
        <w:t>Implementación. CampaignSubmissionPanel consulta datos persistidos y faltantes calculados por missingForSubmission. El resumen no se basa solo en el estado local de inputs. Cada faltante tiene campo, etiqueta y posición del asistente. La portada se presenta como etapa separada sin cambiar el alcance funcional del PDF.</w:t>
      </w:r>
    </w:p>
    <w:p>
      <w:r>
        <w:rPr>
          <w:b w:val="0"/>
        </w:rPr>
        <w:t>Criterios funcionales comprobados. Comparar resumen con datos guardados; señalar exactamente los faltantes, volver al campo correspondiente y impedir envíos incompletos en frontend y backend. Revisar los siete pasos esperados por el PDF sin perder datos existentes.</w:t>
      </w:r>
    </w:p>
    <w:p>
      <w:r>
        <w:rPr>
          <w:b w:val="0"/>
        </w:rPr>
        <w:t>Prueba negativa. No debe mostrarse completa una campaña con categoría/moneda inactiva, portada privada/inválida o bloque requerido ausente. Un error al consultar no debe convertirse en éxito ni rellenarse con datos simulados.</w:t>
      </w:r>
    </w:p>
    <w:p>
      <w:r>
        <w:rPr>
          <w:b w:val="0"/>
        </w:rPr>
        <w:t>Cómo demostrarlo. Completar y guardar todos los bloques salvo, por ejemplo, la meta. Abrir Revisión y envío.</w:t>
      </w:r>
    </w:p>
    <w:p>
      <w:r>
        <w:rPr>
          <w:b w:val="0"/>
        </w:rPr>
        <w:t>Evidencia. campaign-submission.test.ts, submission-http.test.ts y prueba PostgreSQL integral: respuesta 422 y corrección de faltantes.</w:t>
      </w:r>
    </w:p>
    <w:p>
      <w:pPr>
        <w:spacing w:line="245" w:lineRule="auto"/>
      </w:pPr>
      <w:r>
        <w:rPr>
          <w:rFonts w:ascii="Consolas" w:hAnsi="Consolas"/>
          <w:b w:val="0"/>
          <w:sz w:val="18"/>
        </w:rPr>
        <w:t>backend/src/campaigns/domain/submission.ts · línea 28 · export function missingForSubmission</w:t>
      </w:r>
    </w:p>
    <w:p>
      <w:pPr>
        <w:pStyle w:val="Heading2"/>
      </w:pPr>
      <w:r>
        <w:t>S2 11 Enviar la campaña a revisión</w:t>
      </w:r>
    </w:p>
    <w:p>
      <w:r>
        <w:rPr>
          <w:b w:val="0"/>
        </w:rPr>
        <w:t>Responsable planificado: Santiago. Historias relacionadas: BG-30.</w:t>
      </w:r>
    </w:p>
    <w:p>
      <w:r>
        <w:rPr>
          <w:b w:val="0"/>
        </w:rPr>
        <w:t>Qué se debía lograr. Permitir al creador propietario enviar una campaña completa a pendiente de revisión. Controlar la transición y registrar usuario y fecha en backend; confirmar recepción y evitar envíos duplicados.</w:t>
      </w:r>
    </w:p>
    <w:p>
      <w:r>
        <w:rPr>
          <w:b w:val="0"/>
        </w:rPr>
        <w:t>Implementación. El envío reutiliza la sesión existente y exige REGISTERED_USER y CREATOR. La API comprueba propiedad, estado editable y completitud; el repositorio vuelve a comprobar bajo bloqueo. La nueva ronda, el estado IN_REVIEW y el historial se registran de manera transaccional.</w:t>
      </w:r>
    </w:p>
    <w:p>
      <w:r>
        <w:rPr>
          <w:b w:val="0"/>
        </w:rPr>
        <w:t>Criterios funcionales comprobados. Probar campaña incompleta, envío válido, doble envío y acceso ajeno; comprobar el rol creador y la transición registrada en la API.</w:t>
      </w:r>
    </w:p>
    <w:p>
      <w:r>
        <w:rPr>
          <w:b w:val="0"/>
        </w:rPr>
        <w:t>Prueba negativa. Sin sesión: 401; sin CREATOR: 403; campaña incompleta: 422; otro propietario: acceso denegado/no disponible. Dos envíos concurrentes no crean dos rondas: la prueba obtiene un éxito y un 409.</w:t>
      </w:r>
    </w:p>
    <w:p>
      <w:r>
        <w:rPr>
          <w:b w:val="0"/>
        </w:rPr>
        <w:t>Cómo demostrarlo. Iniciar sesión con una cuenta de ensayo que tenga CREATOR realmente almacenado. Elegir “creador” en el registro no concede el rol.</w:t>
      </w:r>
    </w:p>
    <w:p>
      <w:r>
        <w:rPr>
          <w:b w:val="0"/>
        </w:rPr>
        <w:t>Evidencia. submission-http.test.ts, campaign-submission.test.ts y escenarios de concurrencia/persistencia del ensayo PostgreSQL integral.</w:t>
      </w:r>
    </w:p>
    <w:p>
      <w:pPr>
        <w:spacing w:line="245" w:lineRule="auto"/>
      </w:pPr>
      <w:r>
        <w:rPr>
          <w:rFonts w:ascii="Consolas" w:hAnsi="Consolas"/>
          <w:b w:val="0"/>
          <w:sz w:val="18"/>
        </w:rPr>
        <w:t>backend/src/campaigns/application/submission.ts · línea 15 · export class CampaignSubmission</w:t>
      </w:r>
    </w:p>
    <w:p>
      <w:pPr>
        <w:pStyle w:val="Heading1"/>
        <w:pageBreakBefore/>
      </w:pPr>
      <w:r>
        <w:t>6 Decisiones administrativas y correcciones</w:t>
      </w:r>
    </w:p>
    <w:p>
      <w:pPr>
        <w:pStyle w:val="Heading2"/>
      </w:pPr>
      <w:r>
        <w:t>S2 12 Decidir sobre campañas recibidas</w:t>
      </w:r>
    </w:p>
    <w:p>
      <w:r>
        <w:rPr>
          <w:b w:val="0"/>
        </w:rPr>
        <w:t>Responsable planificado: Ricardo. Historias relacionadas: BG-42.</w:t>
      </w:r>
    </w:p>
    <w:p>
      <w:r>
        <w:rPr>
          <w:b w:val="0"/>
        </w:rPr>
        <w:t>Qué se debía lograr. Permitir al administrador consultar campañas pendientes y toda la información enviada; aprobar, rechazar con motivo o solicitar cambios con comentarios al creador. Registrar la decisión y su responsable.</w:t>
      </w:r>
    </w:p>
    <w:p>
      <w:r>
        <w:rPr>
          <w:b w:val="0"/>
        </w:rPr>
        <w:t>Implementación. ADMIN consulta el expediente completo y decide aprobar, solicitar cambios o rechazar. Se registra actor autenticado, fecha, motivo y observaciones; no se acepta que el cuerpo elija el revisor. Una ronda esperada impide decidir sobre una revisión que ya cambió.</w:t>
      </w:r>
    </w:p>
    <w:p>
      <w:r>
        <w:rPr>
          <w:b w:val="0"/>
        </w:rPr>
        <w:t>Criterios funcionales comprobados. Probar las tres decisiones, motivos y comentarios requeridos, historial y denegación en la API a usuarios sin permiso administrativo; aprobación no implica publicación.</w:t>
      </w:r>
    </w:p>
    <w:p>
      <w:r>
        <w:rPr>
          <w:b w:val="0"/>
        </w:rPr>
        <w:t>Prueba negativa. Solicitud de cambios o rechazo sin motivo, NUL, más de 5000 caracteres, sección inventada, campos extra y ronda obsoleta no deben escribir. Si la respuesta es incierta, actualizar antes de intentar decidir de nuevo.</w:t>
      </w:r>
    </w:p>
    <w:p>
      <w:r>
        <w:rPr>
          <w:b w:val="0"/>
        </w:rPr>
        <w:t>Cómo demostrarlo. Iniciar sesión como ADMIN y abrir Mi cuenta &gt; Opciones para iniciativas y permisos &gt; Revisión de campañas.</w:t>
      </w:r>
    </w:p>
    <w:p>
      <w:r>
        <w:rPr>
          <w:b w:val="0"/>
        </w:rPr>
        <w:t>Evidencia. administrative-review.test.ts; administrative-review-http.test.ts; administrative-campaigns.test.ts; ensayo completo PostgreSQL.</w:t>
      </w:r>
    </w:p>
    <w:p>
      <w:pPr>
        <w:spacing w:line="245" w:lineRule="auto"/>
      </w:pPr>
      <w:r>
        <w:rPr>
          <w:rFonts w:ascii="Consolas" w:hAnsi="Consolas"/>
          <w:b w:val="0"/>
          <w:sz w:val="18"/>
        </w:rPr>
        <w:t>backend/src/campaigns/domain/administrative-review.ts · línea 12 · export function validateDecision</w:t>
      </w:r>
    </w:p>
    <w:p>
      <w:pPr>
        <w:pStyle w:val="Heading2"/>
      </w:pPr>
      <w:r>
        <w:t>S2 13 Corregir observaciones y reenviar</w:t>
      </w:r>
    </w:p>
    <w:p>
      <w:r>
        <w:rPr>
          <w:b w:val="0"/>
        </w:rPr>
        <w:t>Responsable planificado: Santiago. Historias relacionadas: BG-31.</w:t>
      </w:r>
    </w:p>
    <w:p>
      <w:r>
        <w:rPr>
          <w:b w:val="0"/>
        </w:rPr>
        <w:t>Qué se debía lograr. Mostrar al creador propietario los cambios solicitados; permitir corregir las secciones habilitadas y reenviar la campaña sin perder datos ni historial de decisiones.</w:t>
      </w:r>
    </w:p>
    <w:p>
      <w:r>
        <w:rPr>
          <w:b w:val="0"/>
        </w:rPr>
        <w:t>Implementación. Solo CHANGES_REQUESTED permite la corrección del propietario. Las observaciones de la última ronda se muestran en el constructor. Guardar no borra el historial; reenviar crea otra ronda pendiente y vuelve a bloquear la edición.</w:t>
      </w:r>
    </w:p>
    <w:p>
      <w:r>
        <w:rPr>
          <w:b w:val="0"/>
        </w:rPr>
        <w:t>Criterios funcionales comprobados. Probar lectura de observaciones, corrección persistente, reenvío y restricciones de estado y propiedad; no admitir modificaciones ajenas.</w:t>
      </w:r>
    </w:p>
    <w:p>
      <w:r>
        <w:rPr>
          <w:b w:val="0"/>
        </w:rPr>
        <w:t>Prueba negativa. Otra persona no puede corregir el borrador. IN_REVIEW, APPROVED, PUBLISHED y REJECTED no permiten edición/reenvío en este incremento. Rechazado no significa “cambios solicitados”.</w:t>
      </w:r>
    </w:p>
    <w:p>
      <w:r>
        <w:rPr>
          <w:b w:val="0"/>
        </w:rPr>
        <w:t>Cómo demostrarlo. Después de una solicitud de cambios real, salir de ADMIN e iniciar sesión como creador propietario.</w:t>
      </w:r>
    </w:p>
    <w:p>
      <w:r>
        <w:rPr>
          <w:b w:val="0"/>
        </w:rPr>
        <w:t>Evidencia. Prueba PostgreSQL: varias rondas, observaciones, reenvío y conflictos con la ronda anterior; pruebas de dominio de estados.</w:t>
      </w:r>
    </w:p>
    <w:p>
      <w:pPr>
        <w:spacing w:line="245" w:lineRule="auto"/>
      </w:pPr>
      <w:r>
        <w:rPr>
          <w:rFonts w:ascii="Consolas" w:hAnsi="Consolas"/>
          <w:b w:val="0"/>
          <w:sz w:val="18"/>
        </w:rPr>
        <w:t>backend/src/campaigns/domain/draft.ts · línea 62 · export function allowsBuilderEditing</w:t>
      </w:r>
    </w:p>
    <w:p>
      <w:pPr>
        <w:pStyle w:val="Heading1"/>
        <w:pageBreakBefore/>
      </w:pPr>
      <w:r>
        <w:t>7 Publicación estados y proyectos propios</w:t>
      </w:r>
    </w:p>
    <w:p>
      <w:pPr>
        <w:pStyle w:val="Heading2"/>
      </w:pPr>
      <w:r>
        <w:t>S2 14 Publicar y controlar estados de campaña</w:t>
      </w:r>
    </w:p>
    <w:p>
      <w:r>
        <w:rPr>
          <w:b w:val="0"/>
        </w:rPr>
        <w:t>Responsable planificado: Ricardo. Historias relacionadas: BG-32.</w:t>
      </w:r>
    </w:p>
    <w:p>
      <w:r>
        <w:rPr>
          <w:b w:val="0"/>
        </w:rPr>
        <w:t>Qué se debía lograr. Controlar y registrar en backend borrador, pendiente de revisión, cambios solicitados, aprobada, publicada y rechazada. Separar aprobación de publicación y hacer visible solo lo publicado; conservar motivo de rechazo e historial.</w:t>
      </w:r>
    </w:p>
    <w:p>
      <w:r>
        <w:rPr>
          <w:b w:val="0"/>
        </w:rPr>
        <w:t>Implementación. Aprobar y publicar son operaciones distintas. D05 autoriza provisionalmente solo ADMIN a publicar con la bandera habilitada. La publicación exige aprobación vigente, confirmación expresa, ronda correcta y campaña completa; registra fecha/actor y deja el recurso visible al visitante.</w:t>
      </w:r>
    </w:p>
    <w:p>
      <w:r>
        <w:rPr>
          <w:b w:val="0"/>
        </w:rPr>
        <w:t>Criterios funcionales comprobados. Probar transiciones válidas y rechazadas, permisos de cada actor e historial; excluir de la API pública las campañas aprobadas pero no publicadas y las demás privadas.</w:t>
      </w:r>
    </w:p>
    <w:p>
      <w:r>
        <w:rPr>
          <w:b w:val="0"/>
        </w:rPr>
        <w:t>Prueba negativa. Sin ADMIN, sin bandera habilitada, sin confirmación, en DRAFT/IN_REVIEW/REJECTED o con ronda obsoleta se deniega. La bandera no concede roles. Publicar dos veces no duplica el historial.</w:t>
      </w:r>
    </w:p>
    <w:p>
      <w:r>
        <w:rPr>
          <w:b w:val="0"/>
        </w:rPr>
        <w:t>Cómo demostrarlo. Como ADMIN, aprobar la campaña enviada y confirmar. Leer el aviso de que APPROVED sigue privada.</w:t>
      </w:r>
    </w:p>
    <w:p>
      <w:r>
        <w:rPr>
          <w:b w:val="0"/>
        </w:rPr>
        <w:t>Evidencia. D05 en ADR-005; migración CampaignRejected; pruebas HTTP, dominio, migración aislada y PostgreSQL con publicación concurrente.</w:t>
      </w:r>
    </w:p>
    <w:p>
      <w:pPr>
        <w:spacing w:line="245" w:lineRule="auto"/>
      </w:pPr>
      <w:r>
        <w:rPr>
          <w:rFonts w:ascii="Consolas" w:hAnsi="Consolas"/>
          <w:b w:val="0"/>
          <w:sz w:val="18"/>
        </w:rPr>
        <w:t>backend/src/campaigns/application/administrative-review.ts · línea 21 · publish(actorId</w:t>
      </w:r>
    </w:p>
    <w:p>
      <w:pPr>
        <w:pStyle w:val="Heading2"/>
      </w:pPr>
      <w:r>
        <w:t>S2 15 Gestionar proyectos propios y descartar borradores</w:t>
      </w:r>
    </w:p>
    <w:p>
      <w:r>
        <w:rPr>
          <w:b w:val="0"/>
        </w:rPr>
        <w:t>Responsable planificado: Ricardo. Historias relacionadas: BG-13, BG-14.</w:t>
      </w:r>
    </w:p>
    <w:p>
      <w:r>
        <w:rPr>
          <w:b w:val="0"/>
        </w:rPr>
        <w:t>Qué se debía lograr. Listar campañas propias con detalle y acciones según estado; continuar, consultar y actualizar el borrador. Permitir eliminar o descartar únicamente borradores propios con confirmación y control en backend.</w:t>
      </w:r>
    </w:p>
    <w:p>
      <w:r>
        <w:rPr>
          <w:b w:val="0"/>
        </w:rPr>
        <w:t>Implementación. Projects y TypeormProjectRepository listan solo proyectos propios y permiten abrir un proyecto concreto. Las acciones dependen del estado. El descarte es lógico, exige confirmación y solo afecta DRAFT propio; mantiene relaciones e historial.</w:t>
      </w:r>
    </w:p>
    <w:p>
      <w:r>
        <w:rPr>
          <w:b w:val="0"/>
        </w:rPr>
        <w:t>Criterios funcionales comprobados. Probar lista vacía, detalle propio, continuación, acciones por estado y denegación a otro usuario. El descarte se verifica como criterio adicional de BG-14.</w:t>
      </w:r>
    </w:p>
    <w:p>
      <w:r>
        <w:rPr>
          <w:b w:val="0"/>
        </w:rPr>
        <w:t>Prueba negativa. Una cuenta distinta no debe consultar/descartar esa campaña; tampoco se descartan campañas enviadas, aprobadas o publicadas. Una carrera entre envío y descarte debe abortar sin un historial incoherente.</w:t>
      </w:r>
    </w:p>
    <w:p>
      <w:r>
        <w:rPr>
          <w:b w:val="0"/>
        </w:rPr>
        <w:t>Cómo demostrarlo. Como creador, abrir Mis proyectos. Identificar título, estado y actualización de cada campaña propia.</w:t>
      </w:r>
    </w:p>
    <w:p>
      <w:r>
        <w:rPr>
          <w:b w:val="0"/>
        </w:rPr>
        <w:t>Evidencia. projects.test.ts, projects.integration.test.ts y pruebas de frontend de listas, confirmación, estados y errores.</w:t>
      </w:r>
    </w:p>
    <w:p>
      <w:pPr>
        <w:spacing w:line="245" w:lineRule="auto"/>
      </w:pPr>
      <w:r>
        <w:rPr>
          <w:rFonts w:ascii="Consolas" w:hAnsi="Consolas"/>
          <w:b w:val="0"/>
          <w:sz w:val="18"/>
        </w:rPr>
        <w:t>backend/src/campaigns/application/projects.ts · línea 31 · async discard</w:t>
      </w:r>
    </w:p>
    <w:p>
      <w:pPr>
        <w:pStyle w:val="Heading1"/>
        <w:pageBreakBefore/>
      </w:pPr>
      <w:r>
        <w:t>8 Consulta pública y cola administrativa</w:t>
      </w:r>
    </w:p>
    <w:p>
      <w:pPr>
        <w:pStyle w:val="Heading2"/>
      </w:pPr>
      <w:r>
        <w:t>S2 16 Conectar catálogo y detalle público con campañas reales</w:t>
      </w:r>
    </w:p>
    <w:p>
      <w:r>
        <w:rPr>
          <w:b w:val="0"/>
        </w:rPr>
        <w:t>Responsable planificado: Alison. Historias relacionadas: BG-01, BG-05, BG-06, BG-07, BG-08, BG-12.</w:t>
      </w:r>
    </w:p>
    <w:p>
      <w:r>
        <w:rPr>
          <w:b w:val="0"/>
        </w:rPr>
        <w:t>Qué se debía lograr. Sustituir campañas simuladas por la API pública. Mostrar solo publicadas con imagen, nombre, categoría, avance, meta y creador; buscar por texto y filtrar por categoría, ubicación y tipo. Incluir historia, problema, solución, beneficiarios, impacto y recompensas en el detalle.</w:t>
      </w:r>
    </w:p>
    <w:p>
      <w:r>
        <w:rPr>
          <w:b w:val="0"/>
        </w:rPr>
        <w:t>Implementación. El catálogo y detalle públicos leen la API real; el repositorio filtra PUBLISHED, no descartadas y portada pública válida. El contrato excluye contenido administrativo. El avance procede de la vista de financiamiento, no de cifras de demostración.</w:t>
      </w:r>
    </w:p>
    <w:p>
      <w:r>
        <w:rPr>
          <w:b w:val="0"/>
        </w:rPr>
        <w:t>Criterios funcionales comprobados. Probar filtros, resultados vacíos y errores; comprobar contenido real y exclusión de campañas privadas. El avance debe proceder de datos reales, sin recaudaciones ficticias.</w:t>
      </w:r>
    </w:p>
    <w:p>
      <w:r>
        <w:rPr>
          <w:b w:val="0"/>
        </w:rPr>
        <w:t>Prueba negativa. DRAFT, IN_REVIEW, CHANGES_REQUESTED, APPROVED y REJECTED no se muestran. Un slug privado/inexistente devuelve no disponible. Fallo de red o JSON malformado no se transforma en una campaña inventada.</w:t>
      </w:r>
    </w:p>
    <w:p>
      <w:r>
        <w:rPr>
          <w:b w:val="0"/>
        </w:rPr>
        <w:t>Cómo demostrarlo. Cerrar sesión o usar una ventana privada. Abrir Explorar; debe verse la campaña publicada del ensayo anterior.</w:t>
      </w:r>
    </w:p>
    <w:p>
      <w:r>
        <w:rPr>
          <w:b w:val="0"/>
        </w:rPr>
        <w:t>Evidencia. public-campaigns.test.ts de ambas aplicaciones y public-campaigns.integration.test.ts. Favoritos, aportes y pagos quedan fuera del alcance actual.</w:t>
      </w:r>
    </w:p>
    <w:p>
      <w:pPr>
        <w:spacing w:line="245" w:lineRule="auto"/>
      </w:pPr>
      <w:r>
        <w:rPr>
          <w:rFonts w:ascii="Consolas" w:hAnsi="Consolas"/>
          <w:b w:val="0"/>
          <w:sz w:val="18"/>
        </w:rPr>
        <w:t>backend/src/campaigns/infrastructure/typeorm-public-campaign.repository.ts · línea 7 · export class TypeormPublicCampaignRepository</w:t>
      </w:r>
    </w:p>
    <w:p>
      <w:pPr>
        <w:pStyle w:val="Heading2"/>
      </w:pPr>
      <w:r>
        <w:t>S2 17 Preparar acceso y cola administrativa de campañas</w:t>
      </w:r>
    </w:p>
    <w:p>
      <w:r>
        <w:rPr>
          <w:b w:val="0"/>
        </w:rPr>
        <w:t>Responsable planificado: Ricardo. Historias relacionadas: BG-41.</w:t>
      </w:r>
    </w:p>
    <w:p>
      <w:r>
        <w:rPr>
          <w:b w:val="0"/>
        </w:rPr>
        <w:t>Qué se debía lograr. Preparar navegación y acceso administrativo para listar campañas pendientes y abrir su detalle. Reutilizar la revisión de S2-12; no construir un panel completo con estadísticas ni colas KYC/KYB.</w:t>
      </w:r>
    </w:p>
    <w:p>
      <w:r>
        <w:rPr>
          <w:b w:val="0"/>
        </w:rPr>
        <w:t>Implementación. La cola administrativa reutiliza la lista/detalle y el panel de decisión; distingue navegación de S2-12. Incluye campañas enviadas y aprobadas pendientes de publicación. La autorización se comprueba en servidor, además del acceso condicional de la interfaz.</w:t>
      </w:r>
    </w:p>
    <w:p>
      <w:r>
        <w:rPr>
          <w:b w:val="0"/>
        </w:rPr>
        <w:t>Criterios funcionales comprobados. Probar acceso permitido y denegado, lista vacía, carga y error. Diferenciar esta tarea de S2-12: navegación y cola frente a decisiones y registro de revisión.</w:t>
      </w:r>
    </w:p>
    <w:p>
      <w:r>
        <w:rPr>
          <w:b w:val="0"/>
        </w:rPr>
        <w:t>Prueba negativa. Sin sesión se solicita iniciar sesión; un usuario común no recibe datos administrativos. Lista vacía, carga y error se distinguen. La cola no incorpora estadísticas financieras ni revisión KYC/KYB de Sprint 3.</w:t>
      </w:r>
    </w:p>
    <w:p>
      <w:r>
        <w:rPr>
          <w:b w:val="0"/>
        </w:rPr>
        <w:t>Cómo demostrarlo. Entrar con ADMIN; desde Mi cuenta abrir Revisión de campañas. Consultar la lista y buscar la campaña de ensayo.</w:t>
      </w:r>
    </w:p>
    <w:p>
      <w:r>
        <w:rPr>
          <w:b w:val="0"/>
        </w:rPr>
        <w:t>Evidencia. projects.integration.test.ts, pruebas HTTP de proyectos y pruebas frontend de cola/accesos. Provisión definitiva de ADMIN sigue pendiente en D06.</w:t>
      </w:r>
    </w:p>
    <w:p>
      <w:pPr>
        <w:spacing w:line="245" w:lineRule="auto"/>
      </w:pPr>
      <w:r>
        <w:rPr>
          <w:rFonts w:ascii="Consolas" w:hAnsi="Consolas"/>
          <w:b w:val="0"/>
          <w:sz w:val="18"/>
        </w:rPr>
        <w:t>backend/src/campaigns/infrastructure/projects.controller.ts · línea 30 · export class CampaignReviewQueueController</w:t>
      </w:r>
    </w:p>
    <w:p>
      <w:pPr>
        <w:pStyle w:val="Heading1"/>
        <w:pageBreakBefore/>
      </w:pPr>
      <w:r>
        <w:t>9 Verificación documentación y calidad</w:t>
      </w:r>
    </w:p>
    <w:p>
      <w:pPr>
        <w:pStyle w:val="Heading2"/>
      </w:pPr>
      <w:r>
        <w:t>S2 21 Verificar y documentar el segundo incremento</w:t>
      </w:r>
    </w:p>
    <w:p>
      <w:r>
        <w:rPr>
          <w:b w:val="0"/>
        </w:rPr>
        <w:t>Responsable planificado: Ricardo. Comprende las otras doce tareas y las regresiones de acceso de Sprint 1. El resultado incluye integración de las ramas del equipo, contratos, README, migraciones/permisos, guías y comprobaciones reproducibles. La evidencia publicada se puede localizar en DEV, commit 1fcecd4; no se requiere un PR para afirmar esta entrega porque se publicó directamente en la rama autorizada.</w:t>
      </w:r>
    </w:p>
    <w:p>
      <w:r>
        <w:rPr>
          <w:b w:val="0"/>
        </w:rPr>
        <w:t>Criterios técnicos cubiertos: recorrido de campaña, datos reales, roles y propiedad, campos, fechas, importes, solicitudes duplicadas, persistencia, respuestas inciertas, instalación y documentación. Se conservan ensayos de escritorio, móvil y teclado del 5 de octubre. La aceptación final corresponde a una revisión externa y no se marca como concedida en este informe.</w:t>
      </w:r>
    </w:p>
    <w:tbl>
      <w:tblPr>
        <w:tblW w:type="auto" w:w="0"/>
        <w:jc w:val="center"/>
        <w:tblLayout w:type="fixed"/>
        <w:tblLook w:firstColumn="1" w:firstRow="1" w:lastColumn="0" w:lastRow="0" w:noHBand="0" w:noVBand="1" w:val="04A0"/>
      </w:tblPr>
      <w:tblGrid>
        <w:gridCol w:w="5328"/>
        <w:gridCol w:w="1512"/>
        <w:gridCol w:w="1440"/>
        <w:gridCol w:w="1512"/>
      </w:tblGrid>
      <w:tr>
        <w:trPr>
          <w:tblHeade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jc w:val="center"/>
            </w:pPr>
            <w:r>
              <w:rPr>
                <w:b/>
                <w:sz w:val="20"/>
              </w:rPr>
              <w:t>Conjunto del último ensayo registrado</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Aprobadas</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Fallos</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Omitidas</w:t>
            </w:r>
          </w:p>
        </w:tc>
      </w:tr>
      <w:tr>
        <w:trP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Frontend</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142</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r>
      <w:tr>
        <w:trP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Backend unitarias y HTTP</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131</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0</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0</w:t>
            </w:r>
          </w:p>
        </w:tc>
      </w:tr>
      <w:tr>
        <w:trP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Procedimiento ADMIN local</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8</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r>
      <w:tr>
        <w:trP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Integración PostgreSQL real</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19</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0</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0</w:t>
            </w:r>
          </w:p>
        </w:tc>
      </w:tr>
      <w:tr>
        <w:trPr>
          <w:cantSplit/>
        </w:trPr>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Total</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300</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0</w:t>
            </w:r>
          </w:p>
        </w:tc>
      </w:tr>
    </w:tbl>
    <w:p>
      <w:r>
        <w:rPr>
          <w:b w:val="0"/>
        </w:rPr>
      </w:r>
    </w:p>
    <w:p>
      <w:r>
        <w:rPr>
          <w:b w:val="0"/>
        </w:rPr>
        <w:t>Este conteo corresponde al 5 de octubre, no a pruebas nuevas ejecutadas el día de preparación del informe. El corte previo de instalación limpia aprobó 276 casos; el de permisos, 291; el ajuste de navegación añadió nueve casos frontend, alcanzando 300. Los cortes son acumulativos y no deben sumarse entre sí.</w:t>
      </w:r>
    </w:p>
    <w:p>
      <w:r>
        <w:rPr>
          <w:b w:val="0"/>
        </w:rPr>
        <w:t>Las integraciones crean fixtures efímeros y limpian sus propios registros. Comprueban el servidor real y PostgreSQL; el último ensayo utilizó DB_TEST_RESTART=true y confirmó conservación tras reiniciar el contenedor. Lint, tipos y compilación aprobaron. /api/health/ready respondió 200 con database=connected tanto directamente como a través de Vite.</w:t>
      </w:r>
    </w:p>
    <w:p>
      <w:r>
        <w:rPr>
          <w:b w:val="0"/>
        </w:rPr>
        <w:t>En raíz: bun run check. En backend con pnpm 11.19.0: pnpm run check. Para integraciones locales: activar ALLOW_DB_TEST_WRITES=true y, si se quiere ensayar el reinicio, DB_TEST_RESTART=true; ejecutar pnpm run test:integration con la .env local preparada. Estas opciones nunca deben habilitarse en producción.</w:t>
      </w:r>
    </w:p>
    <w:p>
      <w:pPr>
        <w:pStyle w:val="Heading1"/>
        <w:pageBreakBefore/>
      </w:pPr>
      <w:r>
        <w:t>10 Validaciones seguridad y experiencia de usuario</w:t>
      </w:r>
    </w:p>
    <w:p>
      <w:r>
        <w:rPr>
          <w:b w:val="0"/>
        </w:rPr>
        <w:t>La validación frontend reduce errores de interacción y localiza faltantes; la de backend protege el sistema aunque se envíe HTTP sin utilizar la interfaz. Los DTO rechazan campos extra y entradas anidadas inválidas. Las reglas de dominio verifican fechas reales, montos finitos positivos, precisión de dos decimales, duración entera y coherencia de modalidad. Los catálogos deben existir y estar activos.</w:t>
      </w:r>
    </w:p>
    <w:p>
      <w:r>
        <w:rPr>
          <w:b w:val="0"/>
        </w:rPr>
        <w:t>Se aceptan Ñ, acentos y texto de campaña con números. Los nombres de persona no aceptan una secuencia puramente numérica. Las contraseñas se comparan exactamente, incluidos espacios y representación Unicode, sin recorte ni normalización. El límite se cuenta por puntos de código y el campo HTML no trunca incorrectamente los caracteres admitidos. NUL se rechaza antes de PostgreSQL con errores de campo, no se elimina silenciosamente.</w:t>
      </w:r>
    </w:p>
    <w:p>
      <w:r>
        <w:rPr>
          <w:b w:val="0"/>
        </w:rPr>
        <w:t>La suma de presupuesto usa céntimos de los importes planificados validados; 0.10 y 0.20 producen 0.30. Cantidad, precio unitario e importe planificado son campos distintos: no se impuso una igualdad comercial no confirmada entre ellos, ni entre presupuesto y meta. El total no se presenta como un motor contable o de pagos.</w:t>
      </w:r>
    </w:p>
    <w:p>
      <w:r>
        <w:rPr>
          <w:b w:val="0"/>
        </w:rPr>
        <w:t>Las contraseñas permanecen protegidas por scrypt y sal aleatoria, heredados del Sprint 1. La sesión utiliza una cookie HttpOnly, SameSite y atributos ajustados al entorno; el token se conserva como hash en el servidor y puede revocarse. No se coloca un token de sesión en localStorage. La protección de origen y X-Brotar-Request controla mutaciones; roles, propietario y estado se validan en servidor.</w:t>
      </w:r>
    </w:p>
    <w:p>
      <w:r>
        <w:rPr>
          <w:b w:val="0"/>
        </w:rPr>
        <w:t>Durante un guardado se muestran carga y confirmación, se evita el doble envío y se conservan campos ante un fallo. Un JSON inválido o una respuesta de identidad/estado inesperada no se anuncia como éxito. Un HTTP 409 exige actualizar ronda o estado antes de repetir; un 422 presenta faltantes concretos.</w:t>
      </w:r>
    </w:p>
    <w:p>
      <w:r>
        <w:rPr>
          <w:b w:val="0"/>
        </w:rPr>
        <w:t>El incremento final evita otro login o registro cuando /auth/me confirma sesión, adapta Mi cuenta/Mis borradores y conserva continuar para el borrador seleccionado. Una caída de API no se interpreta como sesión anónima. Estas redirecciones no conceden ADMIN ni CREATOR. Los tests de navegación y contrato se repitieron; el ensayo visual completo posterior al apagado no se repitió.</w:t>
      </w:r>
    </w:p>
    <w:p>
      <w:r>
        <w:rPr>
          <w:b w:val="0"/>
        </w:rPr>
        <w:t>Recuperación sigue en modo de desarrollo local mientras no exista un correo institucional configurado: su enlace se conserva en el buzón privado indicado por el README. No se afirma que se envió email. Las pruebas verifican uso único, caducidad y revocación de sesiones después de restablecer.</w:t>
      </w:r>
    </w:p>
    <w:p>
      <w:pPr>
        <w:pStyle w:val="Heading1"/>
        <w:pageBreakBefore/>
      </w:pPr>
      <w:r>
        <w:t>11 Recorrido de demostración de inicio a fin</w:t>
      </w:r>
    </w:p>
    <w:p>
      <w:r>
        <w:rPr>
          <w:b w:val="0"/>
        </w:rPr>
        <w:t>Preparación. Levantar V2, API y frontend según el README y comprobar readiness. Usar dos cuentas ficticias separadas: creador propietario con REGISTERED_USER y CREATOR, y ADMIN. Registrar una cuenta no concede esos privilegios. El administrador se provisiona por el procedimiento local; ADMIN puede conceder CREATOR desde la interfaz provisional con motivo y confirmación. No se comparten claves administrativas en este informe.</w:t>
      </w:r>
    </w:p>
    <w:p>
      <w:r>
        <w:rPr>
          <w:b w:val="0"/>
        </w:rPr>
        <w:t>1. Entrar como creador. Abrir Mis borradores y crear una campaña. Elegir donación para el recorrido mínimo o recompensa para demostrar su etapa adicional. Crear otro borrador confirma que el primero permanece accesible.</w:t>
      </w:r>
    </w:p>
    <w:p>
      <w:r>
        <w:rPr>
          <w:b w:val="0"/>
        </w:rPr>
        <w:t>2. Guardar información general con categoría y ubicación, historia con problema/solución/beneficiarios/resultados e indicador, y portada válida con texto alternativo. Recargar y seleccionar el mismo ID para comprobar persistencia.</w:t>
      </w:r>
    </w:p>
    <w:p>
      <w:r>
        <w:rPr>
          <w:b w:val="0"/>
        </w:rPr>
        <w:t>3. En Plan y presupuesto, registrar actividad con responsable y fechas, hito si corresponde, partida con categoría e importe positivo y riesgo con mitigación. Guardar cada bloque. Probar un campo inválido antes de corregirlo.</w:t>
      </w:r>
    </w:p>
    <w:p>
      <w:r>
        <w:rPr>
          <w:b w:val="0"/>
        </w:rPr>
        <w:t>4. Guardar meta, moneda activa, duración/modelo y fechas coherentes. Para recompensa/preventa, guardar oferta con mínimo y entrega. En donación confirmar que el paso se omite sin exigir una recompensa.</w:t>
      </w:r>
    </w:p>
    <w:p>
      <w:r>
        <w:rPr>
          <w:b w:val="0"/>
        </w:rPr>
        <w:t>5. Abrir Revisión y envío. Seguir los enlaces a faltantes, guardar correcciones y enviar. Solo la confirmación del servidor y estado IN_REVIEW prueban recepción; un botón pulsado no basta.</w:t>
      </w:r>
    </w:p>
    <w:p>
      <w:r>
        <w:rPr>
          <w:b w:val="0"/>
        </w:rPr>
        <w:t>6. Entrar como ADMIN en otra sesión. Abrir Administración de campañas, consultar el expediente y solicitar cambios con motivo y observación. Verificar la ronda y que no aparece en el catálogo público.</w:t>
      </w:r>
    </w:p>
    <w:p>
      <w:r>
        <w:rPr>
          <w:b w:val="0"/>
        </w:rPr>
        <w:t>7. Volver como creador. En Mis proyectos abrir Corregir campaña, leer observaciones, guardar y reenviar. Confirmar nueva ronda sin pérdida de anteriores. El administrador aprueba el expediente vigente.</w:t>
      </w:r>
    </w:p>
    <w:p>
      <w:r>
        <w:rPr>
          <w:b w:val="0"/>
        </w:rPr>
        <w:t>8. Comprobar que APPROVED sigue privada. ADMIN publica por la acción independiente y confirmada. Abrir Explorar sin sesión, buscar/filtrar y comparar portada, historia, meta e impacto con lo guardado.</w:t>
      </w:r>
    </w:p>
    <w:p>
      <w:r>
        <w:rPr>
          <w:b w:val="0"/>
        </w:rPr>
        <w:t>9. En campañas de ensayo distintas, demostrar rechazo con motivo y descarte confirmado de DRAFT propio. No usar la campaña publicada ni SQL directo para simular esas transiciones. Cerrar sesión y comprobar denegación de rutas privadas.</w:t>
      </w:r>
    </w:p>
    <w:p>
      <w:pPr>
        <w:pStyle w:val="Heading1"/>
        <w:pageBreakBefore/>
      </w:pPr>
      <w:r>
        <w:t>12 Decisiones pendientes defensa y conclusión</w:t>
      </w:r>
    </w:p>
    <w:p>
      <w:pPr>
        <w:pStyle w:val="Heading2"/>
      </w:pPr>
      <w:r>
        <w:t>Decisiones provisionales</w:t>
      </w:r>
    </w:p>
    <w:p>
      <w:r>
        <w:rPr>
          <w:b w:val="0"/>
        </w:rPr>
        <w:t>D05 autoriza provisionalmente que ADMIN publique una campaña ya aprobada y con confirmación. CAMPAIGN_ADMIN_PUBLICATION_ENABLED activa esa operación sin conceder rol. D06 mantiene pendiente la provisión definitiva y relación de CREATOR con KYC/KYB; la habilitación local registra motivo, actor y auditoría sin verificar identidad ni cambiar contraseña. Correo real, textos legales y reglas de verificación continúan pendientes.</w:t>
      </w:r>
    </w:p>
    <w:p>
      <w:pPr>
        <w:pStyle w:val="Heading2"/>
      </w:pPr>
      <w:r>
        <w:t>Límites del resultado</w:t>
      </w:r>
    </w:p>
    <w:p>
      <w:r>
        <w:rPr>
          <w:b w:val="0"/>
        </w:rPr>
        <w:t>Las pruebas aprobadas sostienen el cierre técnico de este alcance, no ausencia absoluta de defectos ni seguridad certificada. La concordancia con Figma se examinó parcialmente, no al cien por ciento de sus pantallas. Sigue el aviso de Vite por un paquete de aproximadamente 505 kB. El fallo recurrente de sockets de Docker Windows se recuperó conservando temporales, pero no se declaró resuelto definitivamente.</w:t>
      </w:r>
    </w:p>
    <w:p>
      <w:pPr>
        <w:pStyle w:val="Heading2"/>
      </w:pPr>
      <w:r>
        <w:t>Preguntas para la defensa</w:t>
      </w:r>
    </w:p>
    <w:p>
      <w:r>
        <w:rPr>
          <w:b w:val="0"/>
        </w:rPr>
        <w:t>¿Por qué aprobar no publica? Porque Fase 3 define APPROVED como estado privado y PUBLISHED como público; la publicación tiene autorización y confirmación independientes. ¿Por qué no basta ocultar botones? Una petición HTTP puede evitar la interfaz; servidor verifica sesión, rol, propiedad y estado. ¿Qué evita dos decisiones? Transacción, bloqueo de campaña/ronda y comparación de expectedRound. ¿Qué ocurre al reiniciar Docker? El volumen conserva la base; la API vuelve a conectarse sin restaurar SQL.</w:t>
      </w:r>
    </w:p>
    <w:p>
      <w:pPr>
        <w:pStyle w:val="Heading2"/>
      </w:pPr>
      <w:r>
        <w:t>Conclusión</w:t>
      </w:r>
    </w:p>
    <w:p>
      <w:r>
        <w:rPr>
          <w:b w:val="0"/>
        </w:rPr>
        <w:t>El Sprint 2 entrega un recorrido integrado de campañas con persistencia y revisión real, manteniendo la base del Sprint 1. Las 13 tareas tienen implementación/evidencia técnica publicada en DEV. Las decisiones comerciales futuras y la aceptación de líderes no se sustituyen por el cierre local; se mantienen separadas para continuar el proyecto sin incorporar módulos expresamente excluidos.</w:t>
      </w:r>
    </w:p>
    <w:p>
      <w:pPr>
        <w:pStyle w:val="Heading2"/>
      </w:pPr>
      <w:r>
        <w:t>Referencias de verificación</w:t>
      </w:r>
    </w:p>
    <w:p>
      <w:pPr>
        <w:spacing w:line="245" w:lineRule="auto"/>
      </w:pPr>
      <w:r>
        <w:rPr>
          <w:rFonts w:ascii="Consolas" w:hAnsi="Consolas"/>
          <w:b w:val="0"/>
          <w:sz w:val="18"/>
        </w:rPr>
        <w:t>docs/requisitos/Brotar_Tarea_Fase3_Modulo_Campanas.pdf</w:t>
      </w:r>
    </w:p>
    <w:p>
      <w:pPr>
        <w:spacing w:line="245" w:lineRule="auto"/>
      </w:pPr>
      <w:r>
        <w:rPr>
          <w:rFonts w:ascii="Consolas" w:hAnsi="Consolas"/>
          <w:b w:val="0"/>
          <w:sz w:val="18"/>
        </w:rPr>
        <w:t>docs/planificacion-sprints.json</w:t>
      </w:r>
    </w:p>
    <w:p>
      <w:pPr>
        <w:spacing w:line="245" w:lineRule="auto"/>
      </w:pPr>
      <w:r>
        <w:rPr>
          <w:rFonts w:ascii="Consolas" w:hAnsi="Consolas"/>
          <w:b w:val="0"/>
          <w:sz w:val="18"/>
        </w:rPr>
        <w:t>docs/ajuste-sprint-2-fase-3-2026-09-30.md</w:t>
      </w:r>
    </w:p>
    <w:p>
      <w:pPr>
        <w:spacing w:line="245" w:lineRule="auto"/>
      </w:pPr>
      <w:r>
        <w:rPr>
          <w:rFonts w:ascii="Consolas" w:hAnsi="Consolas"/>
          <w:b w:val="0"/>
          <w:sz w:val="18"/>
        </w:rPr>
        <w:t>docs/cierre-tecnico-sprint-2-2026-10-05.md</w:t>
      </w:r>
    </w:p>
    <w:p>
      <w:pPr>
        <w:spacing w:line="245" w:lineRule="auto"/>
      </w:pPr>
      <w:r>
        <w:rPr>
          <w:rFonts w:ascii="Consolas" w:hAnsi="Consolas"/>
          <w:b w:val="0"/>
          <w:sz w:val="18"/>
        </w:rPr>
        <w:t>docs/entrega-dev-sprint-2-2026-10-05.md</w:t>
      </w:r>
    </w:p>
    <w:p>
      <w:pPr>
        <w:spacing w:line="245" w:lineRule="auto"/>
      </w:pPr>
      <w:r>
        <w:rPr>
          <w:rFonts w:ascii="Consolas" w:hAnsi="Consolas"/>
          <w:b w:val="0"/>
          <w:sz w:val="18"/>
        </w:rPr>
        <w:t>docs/decisiones/ADR-005-publicacion-administrativa-provisional.md</w:t>
      </w:r>
    </w:p>
    <w:p>
      <w:pPr>
        <w:spacing w:line="245" w:lineRule="auto"/>
      </w:pPr>
      <w:r>
        <w:rPr>
          <w:rFonts w:ascii="Consolas" w:hAnsi="Consolas"/>
          <w:b w:val="0"/>
          <w:sz w:val="18"/>
        </w:rPr>
        <w:t>README.md</w:t>
      </w:r>
    </w:p>
    <w:p>
      <w:r>
        <w:rPr>
          <w:b w:val="0"/>
        </w:rPr>
        <w:t>Los documentos previos conservan su corte histórico. El README, secciones 16 y 17, y el commit 1fcecd4 actualizan publicación, permisos, varios borradores y los 300 casos del último ensayo registrado.</w:t>
      </w:r>
    </w:p>
    <w:sectPr w:rsidR="00FC693F" w:rsidRPr="0006063C" w:rsidSect="00034616">
      <w:footerReference w:type="default" r:id="rId9"/>
      <w:pgSz w:w="12240" w:h="15840"/>
      <w:pgMar w:top="1123"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BROTAR   |   Sprint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Calibri" w:hAnsi="Calibri"/>
      <w:color w:val="000000"/>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2"/>
      <w:szCs w:val="28"/>
      <w:rFonts w:ascii="Calibri" w:hAnsi="Calibri"/>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Fonts w:ascii="Calibri" w:hAnsi="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Fonts w:ascii="Calibri" w:hAnsi="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Fonts w:ascii="Calibri" w:hAnsi="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Fonts w:ascii="Calibri" w:hAnsi="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detallado del Sprint 2</dc:title>
  <dc:subject>Proyecto de Sistemas II Sprint 2</dc:subject>
  <dc:creator>Equipo Brotar</dc:creator>
  <cp:keywords>Brotar, Sprint 2, campañas, calidad, defensa técnica</cp:keywords>
  <dc:description>generated by python-docx</dc:description>
  <cp:lastModifiedBy/>
  <cp:revision>1</cp:revision>
  <dcterms:created xsi:type="dcterms:W3CDTF">2013-12-23T23:15:00Z</dcterms:created>
  <dcterms:modified xsi:type="dcterms:W3CDTF">2013-12-23T23:15:00Z</dcterms:modified>
  <cp:category/>
</cp:coreProperties>
</file>